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commentRangeStart w:id="1"/>
      <w:r>
        <w:rPr>
          <w:rFonts w:ascii="Times New Roman" w:hAnsi="Times New Roman" w:cs="Times New Roman"/>
          <w:sz w:val="24"/>
          <w:szCs w:val="24"/>
        </w:rPr>
        <w:t>Surely invariance is as important as variance, if not for the sake of discriminant validity alone.</w:t>
      </w:r>
      <w:r w:rsidR="006F455F">
        <w:rPr>
          <w:rFonts w:ascii="Times New Roman" w:hAnsi="Times New Roman" w:cs="Times New Roman"/>
          <w:sz w:val="24"/>
          <w:szCs w:val="24"/>
        </w:rPr>
        <w:t xml:space="preserve"> </w:t>
      </w:r>
      <w:commentRangeEnd w:id="1"/>
      <w:r w:rsidR="001D3D05">
        <w:rPr>
          <w:rStyle w:val="CommentReference"/>
        </w:rPr>
        <w:commentReference w:id="1"/>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2"/>
      <w:r w:rsidRPr="005779CC">
        <w:rPr>
          <w:rFonts w:ascii="Times New Roman" w:hAnsi="Times New Roman" w:cs="Times New Roman"/>
          <w:sz w:val="24"/>
          <w:szCs w:val="24"/>
        </w:rPr>
        <w:t xml:space="preserve">example is pilot testing </w:t>
      </w:r>
      <w:commentRangeEnd w:id="2"/>
      <w:r>
        <w:rPr>
          <w:rStyle w:val="CommentReference"/>
        </w:rPr>
        <w:commentReference w:id="2"/>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w:t>
      </w:r>
      <w:r w:rsidRPr="005779CC">
        <w:rPr>
          <w:rFonts w:ascii="Times New Roman" w:hAnsi="Times New Roman" w:cs="Times New Roman"/>
          <w:sz w:val="24"/>
          <w:szCs w:val="24"/>
        </w:rPr>
        <w:lastRenderedPageBreak/>
        <w:t xml:space="preserve">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In the face of slight evidence, either the null is retained and the slight evidence mislabeled as “no evidence”, or the null is rejected and the effect size grossly overestimated.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FE1C62" w:rsidRPr="008C7FDC" w:rsidRDefault="00FE1C62" w:rsidP="008C7FD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 xml:space="preserve">(Data | </w:t>
      </w:r>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(Data |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 xml:space="preserve">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8D35A1">
        <w:rPr>
          <w:rFonts w:ascii="Times New Roman" w:hAnsi="Times New Roman" w:cs="Times New Roman"/>
          <w:sz w:val="24"/>
          <w:szCs w:val="24"/>
        </w:rPr>
        <w:t xml:space="preserve">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r w:rsidR="00083100">
        <w:rPr>
          <w:rFonts w:ascii="Times New Roman" w:hAnsi="Times New Roman" w:cs="Times New Roman"/>
          <w:sz w:val="24"/>
          <w:szCs w:val="24"/>
        </w:rPr>
        <w:t>Since the emphasis of this manuscript is on providing evidence for the null, we will refer throughout this manuscript to the Bayes Factor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constitutes evidence for or against a particular hypothesis</w:t>
      </w:r>
      <w:r w:rsidR="006A5469">
        <w:rPr>
          <w:rFonts w:ascii="Times New Roman" w:hAnsi="Times New Roman" w:cs="Times New Roman"/>
          <w:sz w:val="24"/>
          <w:szCs w:val="24"/>
        </w:rPr>
        <w:t>, and if so, how much evidence it provides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do this, one specifies a hypothetical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8D35A1">
        <w:rPr>
          <w:rFonts w:ascii="Times New Roman" w:hAnsi="Times New Roman" w:cs="Times New Roman"/>
          <w:sz w:val="24"/>
          <w:szCs w:val="24"/>
        </w:rPr>
        <w:t xml:space="preserve">One may even specify and compare several </w:t>
      </w:r>
      <w:r w:rsidR="008D35A1">
        <w:rPr>
          <w:rFonts w:ascii="Times New Roman" w:hAnsi="Times New Roman" w:cs="Times New Roman"/>
          <w:sz w:val="24"/>
          <w:szCs w:val="24"/>
        </w:rPr>
        <w:lastRenderedPageBreak/>
        <w:t>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lastRenderedPageBreak/>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proofErr w:type="spellStart"/>
      <w:r w:rsidR="003746FF" w:rsidRPr="005779CC">
        <w:rPr>
          <w:rFonts w:ascii="Times New Roman" w:hAnsi="Times New Roman" w:cs="Times New Roman"/>
          <w:i/>
          <w:sz w:val="24"/>
          <w:szCs w:val="24"/>
        </w:rPr>
        <w:t>p</w:t>
      </w:r>
      <w:proofErr w:type="spellEnd"/>
      <w:r w:rsidR="003746FF" w:rsidRPr="005779CC">
        <w:rPr>
          <w:rFonts w:ascii="Times New Roman" w:hAnsi="Times New Roman" w:cs="Times New Roman"/>
          <w:i/>
          <w:sz w:val="24"/>
          <w:szCs w:val="24"/>
        </w:rPr>
        <w:t xml:space="preserve">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4"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 xml:space="preserve">of the data given </w:t>
      </w:r>
      <w:r w:rsidR="00B24D5F">
        <w:rPr>
          <w:rFonts w:ascii="Times New Roman" w:hAnsi="Times New Roman" w:cs="Times New Roman"/>
          <w:sz w:val="24"/>
          <w:szCs w:val="24"/>
        </w:rPr>
        <w:lastRenderedPageBreak/>
        <w:t>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say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commentRangeStart w:id="5"/>
      <w:r>
        <w:rPr>
          <w:rFonts w:ascii="Times New Roman" w:hAnsi="Times New Roman" w:cs="Times New Roman"/>
          <w:b/>
          <w:sz w:val="24"/>
          <w:szCs w:val="24"/>
        </w:rPr>
        <w:t>Reanalysis of Select Pilot Tests in Violent Media Research</w:t>
      </w:r>
      <w:commentRangeEnd w:id="5"/>
      <w:r w:rsidR="00EF47B4">
        <w:rPr>
          <w:rStyle w:val="CommentReference"/>
        </w:rPr>
        <w:commentReference w:id="5"/>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commentRangeStart w:id="6"/>
      <w:r w:rsidR="008A5CDD">
        <w:rPr>
          <w:rFonts w:ascii="Times New Roman" w:hAnsi="Times New Roman" w:cs="Times New Roman"/>
          <w:sz w:val="24"/>
          <w:szCs w:val="24"/>
        </w:rPr>
        <w:t xml:space="preserve">The choice of scale is subjective, but appropriate. Effects of violent games are expected to be </w:t>
      </w:r>
      <w:r w:rsidR="008A5CDD">
        <w:rPr>
          <w:rFonts w:ascii="Times New Roman" w:hAnsi="Times New Roman" w:cs="Times New Roman"/>
          <w:sz w:val="24"/>
          <w:szCs w:val="24"/>
        </w:rPr>
        <w:lastRenderedPageBreak/>
        <w:t xml:space="preserve">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commentRangeEnd w:id="6"/>
      <w:r w:rsidR="008A5CDD">
        <w:rPr>
          <w:rStyle w:val="CommentReference"/>
        </w:rPr>
        <w:commentReference w:id="6"/>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 xml:space="preserve">. Bayes Factors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7"/>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7"/>
      <w:r w:rsidR="00E36198">
        <w:rPr>
          <w:rStyle w:val="CommentReference"/>
        </w:rPr>
        <w:commentReference w:id="7"/>
      </w:r>
      <w:r w:rsidRPr="005779CC">
        <w:rPr>
          <w:rFonts w:ascii="Times New Roman" w:hAnsi="Times New Roman" w:cs="Times New Roman"/>
          <w:sz w:val="24"/>
          <w:szCs w:val="24"/>
        </w:rPr>
        <w:t xml:space="preserve">,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Bayes Factors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All the other comparisons are largely uninformative, as might be expected of the very small sample size. The largest of these </w:t>
      </w:r>
      <w:r w:rsidR="00CA670B">
        <w:rPr>
          <w:rFonts w:ascii="Times New Roman" w:hAnsi="Times New Roman" w:cs="Times New Roman"/>
          <w:sz w:val="24"/>
          <w:szCs w:val="24"/>
        </w:rPr>
        <w:t>is BF</w:t>
      </w:r>
      <w:r w:rsidR="00CA670B">
        <w:rPr>
          <w:rFonts w:ascii="Times New Roman" w:hAnsi="Times New Roman" w:cs="Times New Roman"/>
          <w:sz w:val="24"/>
          <w:szCs w:val="24"/>
          <w:vertAlign w:val="subscript"/>
        </w:rPr>
        <w:t>01</w:t>
      </w:r>
      <w:r w:rsidR="00CA670B">
        <w:rPr>
          <w:rFonts w:ascii="Times New Roman" w:hAnsi="Times New Roman" w:cs="Times New Roman"/>
          <w:sz w:val="24"/>
          <w:szCs w:val="24"/>
        </w:rPr>
        <w:t xml:space="preserve"> = 2.55</w:t>
      </w:r>
      <w:r w:rsidR="009E2D20">
        <w:rPr>
          <w:rFonts w:ascii="Times New Roman" w:hAnsi="Times New Roman" w:cs="Times New Roman"/>
          <w:sz w:val="24"/>
          <w:szCs w:val="24"/>
        </w:rPr>
        <w:t>, which is not particularly strong evidence</w:t>
      </w:r>
      <w:r w:rsidR="004B77BD">
        <w:rPr>
          <w:rFonts w:ascii="Times New Roman" w:hAnsi="Times New Roman" w:cs="Times New Roman"/>
          <w:sz w:val="24"/>
          <w:szCs w:val="24"/>
        </w:rPr>
        <w:t xml:space="preserv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CA670B">
        <w:rPr>
          <w:rFonts w:ascii="Times New Roman" w:hAnsi="Times New Roman" w:cs="Times New Roman"/>
          <w:sz w:val="24"/>
          <w:szCs w:val="24"/>
        </w:rPr>
        <w:t xml:space="preserve"> Even large effect sizes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p-values.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w:t>
      </w:r>
      <w:r w:rsidR="00F81424">
        <w:rPr>
          <w:rFonts w:ascii="Times New Roman" w:hAnsi="Times New Roman" w:cs="Times New Roman"/>
          <w:color w:val="FF0000"/>
          <w:sz w:val="24"/>
          <w:szCs w:val="24"/>
        </w:rPr>
        <w:t>07</w:t>
      </w:r>
      <w:r w:rsidR="004D76FB" w:rsidRPr="004D76FB">
        <w:rPr>
          <w:rFonts w:ascii="Times New Roman" w:hAnsi="Times New Roman" w:cs="Times New Roman"/>
          <w:color w:val="FF0000"/>
          <w:sz w:val="24"/>
          <w:szCs w:val="24"/>
        </w:rPr>
        <w:t xml:space="preserve">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been used in meta-analysis as a criterion separating “best-practices” from “not best-practices” research (Anderson et al., 2010).  Indeed, the study by Arriaga et al. (2008), described above, was included as a best-practices study despite evidence that the games differed in feelings of </w:t>
      </w:r>
      <w:r w:rsidR="00E70223">
        <w:rPr>
          <w:rFonts w:ascii="Times New Roman" w:hAnsi="Times New Roman" w:cs="Times New Roman"/>
          <w:sz w:val="24"/>
          <w:szCs w:val="24"/>
        </w:rPr>
        <w:lastRenderedPageBreak/>
        <w:t>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w:t>
      </w:r>
      <w:commentRangeStart w:id="8"/>
      <w:r w:rsidR="00E70223">
        <w:rPr>
          <w:rFonts w:ascii="Times New Roman" w:hAnsi="Times New Roman" w:cs="Times New Roman"/>
          <w:sz w:val="24"/>
          <w:szCs w:val="24"/>
        </w:rPr>
        <w:t>2014</w:t>
      </w:r>
      <w:commentRangeEnd w:id="8"/>
      <w:r w:rsidR="00E70223">
        <w:rPr>
          <w:rStyle w:val="CommentReference"/>
        </w:rPr>
        <w:commentReference w:id="8"/>
      </w:r>
      <w:r w:rsidR="00E70223">
        <w:rPr>
          <w:rFonts w:ascii="Times New Roman" w:hAnsi="Times New Roman" w:cs="Times New Roman"/>
          <w:sz w:val="24"/>
          <w:szCs w:val="24"/>
        </w:rPr>
        <w:t>).</w:t>
      </w:r>
    </w:p>
    <w:p w:rsidR="00731A00" w:rsidRPr="00E30D8F" w:rsidRDefault="00731A00" w:rsidP="00E70223">
      <w:pPr>
        <w:ind w:firstLine="720"/>
        <w:rPr>
          <w:rFonts w:ascii="Times New Roman" w:hAnsi="Times New Roman" w:cs="Times New Roman"/>
          <w:sz w:val="24"/>
          <w:szCs w:val="24"/>
        </w:rPr>
      </w:pPr>
      <w:r>
        <w:rPr>
          <w:rFonts w:ascii="Times New Roman" w:hAnsi="Times New Roman" w:cs="Times New Roman"/>
          <w:sz w:val="24"/>
          <w:szCs w:val="24"/>
        </w:rPr>
        <w:t xml:space="preserve">We </w:t>
      </w:r>
      <w:commentRangeStart w:id="9"/>
      <w:r>
        <w:rPr>
          <w:rFonts w:ascii="Times New Roman" w:hAnsi="Times New Roman" w:cs="Times New Roman"/>
          <w:sz w:val="24"/>
          <w:szCs w:val="24"/>
        </w:rPr>
        <w:t>instead advocate the use of Bayesian statistics</w:t>
      </w:r>
      <w:commentRangeEnd w:id="9"/>
      <w:r w:rsidR="00B44834">
        <w:rPr>
          <w:rStyle w:val="CommentReference"/>
        </w:rPr>
        <w:commentReference w:id="9"/>
      </w:r>
      <w:r>
        <w:rPr>
          <w:rFonts w:ascii="Times New Roman" w:hAnsi="Times New Roman" w:cs="Times New Roman"/>
          <w:sz w:val="24"/>
          <w:szCs w:val="24"/>
        </w:rPr>
        <w:t xml:space="preserve">. Evidence thus collected can favor the null hypothesis of no difference, an alternative hypothesis of </w:t>
      </w:r>
      <w:proofErr w:type="gramStart"/>
      <w:r>
        <w:rPr>
          <w:rFonts w:ascii="Times New Roman" w:hAnsi="Times New Roman" w:cs="Times New Roman"/>
          <w:sz w:val="24"/>
          <w:szCs w:val="24"/>
        </w:rPr>
        <w:t>a confound</w:t>
      </w:r>
      <w:proofErr w:type="gramEnd"/>
      <w:r>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10"/>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77, and N = 100, respectively</w:t>
      </w:r>
      <w:r w:rsidR="0029362F" w:rsidRPr="005779CC">
        <w:rPr>
          <w:rFonts w:ascii="Times New Roman" w:hAnsi="Times New Roman" w:cs="Times New Roman"/>
          <w:sz w:val="24"/>
          <w:szCs w:val="24"/>
        </w:rPr>
        <w:t xml:space="preserve">. </w:t>
      </w:r>
      <w:proofErr w:type="spellStart"/>
      <w:r w:rsidR="00827E74">
        <w:rPr>
          <w:rFonts w:ascii="Times New Roman" w:hAnsi="Times New Roman" w:cs="Times New Roman"/>
          <w:sz w:val="24"/>
          <w:szCs w:val="24"/>
        </w:rPr>
        <w:t>Przybylski</w:t>
      </w:r>
      <w:proofErr w:type="spellEnd"/>
      <w:r w:rsidR="00827E74">
        <w:rPr>
          <w:rFonts w:ascii="Times New Roman" w:hAnsi="Times New Roman" w:cs="Times New Roman"/>
          <w:sz w:val="24"/>
          <w:szCs w:val="24"/>
        </w:rPr>
        <w:t xml:space="preserve"> et al. (2014, Study 1 and 2) perform two experiments with N = 100. </w:t>
      </w:r>
      <w:r w:rsidR="0029362F" w:rsidRPr="005779CC">
        <w:rPr>
          <w:rFonts w:ascii="Times New Roman" w:hAnsi="Times New Roman" w:cs="Times New Roman"/>
          <w:sz w:val="24"/>
          <w:szCs w:val="24"/>
        </w:rPr>
        <w:t>Another study is reported by Elson et al. (2014) with a sample size of 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commentRangeEnd w:id="10"/>
      <w:r w:rsidR="00970001">
        <w:rPr>
          <w:rStyle w:val="CommentReference"/>
        </w:rPr>
        <w:commentReference w:id="10"/>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w:t>
      </w:r>
      <w:r w:rsidR="00591DC0">
        <w:rPr>
          <w:rFonts w:ascii="Times New Roman" w:hAnsi="Times New Roman" w:cs="Times New Roman"/>
          <w:sz w:val="24"/>
          <w:szCs w:val="24"/>
        </w:rPr>
        <w:lastRenderedPageBreak/>
        <w:t xml:space="preserve">that the data are insufficiently precise to favor one hypothesis over the other. </w:t>
      </w:r>
      <w:commentRangeStart w:id="11"/>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11"/>
      <w:r w:rsidR="001C1B37">
        <w:rPr>
          <w:rStyle w:val="CommentReference"/>
        </w:rPr>
        <w:commentReference w:id="11"/>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12"/>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12"/>
      <w:r w:rsidR="000F76FA">
        <w:rPr>
          <w:rStyle w:val="CommentReference"/>
        </w:rPr>
        <w:commentReference w:id="1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C52F0A">
        <w:rPr>
          <w:rFonts w:ascii="Times New Roman" w:hAnsi="Times New Roman" w:cs="Times New Roman"/>
          <w:sz w:val="24"/>
          <w:szCs w:val="24"/>
        </w:rPr>
        <w:t>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t>
      </w:r>
      <w:r w:rsidR="00194DFB" w:rsidRPr="005779CC">
        <w:rPr>
          <w:rFonts w:ascii="Times New Roman" w:hAnsi="Times New Roman" w:cs="Times New Roman"/>
          <w:sz w:val="24"/>
          <w:szCs w:val="24"/>
        </w:rPr>
        <w:lastRenderedPageBreak/>
        <w:t>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Bayes Factor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commentRangeStart w:id="13"/>
      <w:r w:rsidRPr="005779CC">
        <w:rPr>
          <w:rFonts w:ascii="Times New Roman" w:hAnsi="Times New Roman" w:cs="Times New Roman"/>
          <w:sz w:val="24"/>
          <w:szCs w:val="24"/>
        </w:rPr>
        <w:t xml:space="preserve">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null hypothesis gains in </w:t>
      </w:r>
      <w:proofErr w:type="gramStart"/>
      <w:r w:rsidR="00B24D5F">
        <w:rPr>
          <w:rFonts w:ascii="Times New Roman" w:hAnsi="Times New Roman" w:cs="Times New Roman"/>
          <w:sz w:val="24"/>
          <w:szCs w:val="24"/>
        </w:rPr>
        <w:t>probability</w:t>
      </w:r>
      <w:r w:rsidR="002E321B" w:rsidRPr="005779CC">
        <w:rPr>
          <w:rFonts w:ascii="Times New Roman" w:hAnsi="Times New Roman" w:cs="Times New Roman"/>
          <w:sz w:val="24"/>
          <w:szCs w:val="24"/>
        </w:rPr>
        <w:t>,</w:t>
      </w:r>
      <w:proofErr w:type="gramEnd"/>
      <w:r w:rsidR="002E321B" w:rsidRPr="005779CC">
        <w:rPr>
          <w:rFonts w:ascii="Times New Roman" w:hAnsi="Times New Roman" w:cs="Times New Roman"/>
          <w:sz w:val="24"/>
          <w:szCs w:val="24"/>
        </w:rPr>
        <w:t xml:space="preserve"> and the Bayes Factor favors the null over this alternative, indicating evidence for no effect.</w:t>
      </w:r>
      <w:commentRangeEnd w:id="13"/>
      <w:r w:rsidR="0088566E">
        <w:rPr>
          <w:rStyle w:val="CommentReference"/>
        </w:rPr>
        <w:commentReference w:id="13"/>
      </w:r>
      <w:r w:rsidR="004D3876" w:rsidRPr="005779CC">
        <w:rPr>
          <w:rFonts w:ascii="Times New Roman" w:hAnsi="Times New Roman" w:cs="Times New Roman"/>
          <w:sz w:val="24"/>
          <w:szCs w:val="24"/>
        </w:rPr>
        <w:t xml:space="preserve"> </w:t>
      </w:r>
      <w:commentRangeStart w:id="14"/>
      <w:r w:rsidR="004D3876" w:rsidRPr="005779CC">
        <w:rPr>
          <w:rFonts w:ascii="Times New Roman" w:hAnsi="Times New Roman" w:cs="Times New Roman"/>
          <w:sz w:val="24"/>
          <w:szCs w:val="24"/>
        </w:rPr>
        <w:t xml:space="preserve">Again, these Bayes Factors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commentRangeEnd w:id="14"/>
      <w:r w:rsidR="005C3772">
        <w:rPr>
          <w:rStyle w:val="CommentReference"/>
        </w:rPr>
        <w:commentReference w:id="14"/>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This can be formulated as a specific alternative hypothesis and also tested. Meta-analysis estimates the effect as having mean .21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15"/>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15"/>
      <w:r w:rsidR="006C6F26">
        <w:rPr>
          <w:rStyle w:val="CommentReference"/>
        </w:rPr>
        <w:commentReference w:id="15"/>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Bayes Factors can be easily calculated with </w:t>
      </w:r>
      <w:r w:rsidR="004D3876" w:rsidRPr="005779CC">
        <w:rPr>
          <w:rFonts w:ascii="Times New Roman" w:hAnsi="Times New Roman" w:cs="Times New Roman"/>
          <w:sz w:val="24"/>
          <w:szCs w:val="24"/>
        </w:rPr>
        <w:lastRenderedPageBreak/>
        <w:t xml:space="preserve">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r>
      <w:commentRangeStart w:id="16"/>
      <w:r w:rsidRPr="005779CC">
        <w:rPr>
          <w:rFonts w:ascii="Times New Roman" w:hAnsi="Times New Roman" w:cs="Times New Roman"/>
          <w:sz w:val="24"/>
          <w:szCs w:val="24"/>
        </w:rPr>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w:t>
      </w:r>
      <w:commentRangeEnd w:id="16"/>
      <w:r w:rsidR="007B6CCD">
        <w:rPr>
          <w:rStyle w:val="CommentReference"/>
        </w:rPr>
        <w:commentReference w:id="16"/>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Hoekstra, </w:t>
      </w:r>
      <w:proofErr w:type="spellStart"/>
      <w:r w:rsidR="00DC358A">
        <w:rPr>
          <w:rFonts w:ascii="Times New Roman" w:hAnsi="Times New Roman" w:cs="Times New Roman"/>
          <w:sz w:val="24"/>
          <w:szCs w:val="24"/>
        </w:rPr>
        <w:t>Wagenmakers</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commentRangeStart w:id="17"/>
      <w:r>
        <w:rPr>
          <w:rFonts w:ascii="Times New Roman" w:hAnsi="Times New Roman" w:cs="Times New Roman"/>
          <w:b/>
          <w:sz w:val="24"/>
          <w:szCs w:val="24"/>
        </w:rPr>
        <w:t>Reanalysis of Null Findings in VVG Research</w:t>
      </w:r>
      <w:commentRangeEnd w:id="17"/>
      <w:r w:rsidR="00282C2E">
        <w:rPr>
          <w:rStyle w:val="CommentReference"/>
        </w:rPr>
        <w:commentReference w:id="17"/>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18"/>
      <w:r w:rsidRPr="005779CC">
        <w:rPr>
          <w:rFonts w:ascii="Times New Roman" w:hAnsi="Times New Roman" w:cs="Times New Roman"/>
          <w:sz w:val="24"/>
          <w:szCs w:val="24"/>
        </w:rPr>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w:t>
      </w:r>
      <w:commentRangeEnd w:id="18"/>
      <w:r w:rsidR="007B6CCD">
        <w:rPr>
          <w:rStyle w:val="CommentReference"/>
        </w:rPr>
        <w:commentReference w:id="18"/>
      </w:r>
      <w:r w:rsidR="006805CC" w:rsidRPr="005779CC">
        <w:rPr>
          <w:rFonts w:ascii="Times New Roman" w:hAnsi="Times New Roman" w:cs="Times New Roman"/>
          <w:sz w:val="24"/>
          <w:szCs w:val="24"/>
        </w:rPr>
        <w:t xml:space="preserve">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w:t>
      </w:r>
      <w:commentRangeStart w:id="19"/>
      <w:r w:rsidR="006C4016">
        <w:rPr>
          <w:rFonts w:ascii="Times New Roman" w:hAnsi="Times New Roman" w:cs="Times New Roman"/>
          <w:sz w:val="24"/>
          <w:szCs w:val="24"/>
        </w:rPr>
        <w:t>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w:t>
      </w:r>
      <w:commentRangeEnd w:id="19"/>
      <w:r w:rsidR="009E3096">
        <w:rPr>
          <w:rStyle w:val="CommentReference"/>
        </w:rPr>
        <w:commentReference w:id="19"/>
      </w:r>
      <w:r w:rsidR="006C4016">
        <w:rPr>
          <w:rFonts w:ascii="Times New Roman" w:hAnsi="Times New Roman" w:cs="Times New Roman"/>
          <w:sz w:val="24"/>
          <w:szCs w:val="24"/>
        </w:rPr>
        <w:t xml:space="preserve">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w:t>
      </w:r>
      <w:commentRangeStart w:id="20"/>
      <w:r w:rsidR="006C4016">
        <w:rPr>
          <w:rFonts w:ascii="Times New Roman" w:hAnsi="Times New Roman" w:cs="Times New Roman"/>
          <w:sz w:val="24"/>
          <w:szCs w:val="24"/>
        </w:rPr>
        <w:t>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w:t>
      </w:r>
      <w:commentRangeEnd w:id="20"/>
      <w:r w:rsidR="009E3096">
        <w:rPr>
          <w:rStyle w:val="CommentReference"/>
        </w:rPr>
        <w:commentReference w:id="20"/>
      </w:r>
      <w:r w:rsidR="006C4016">
        <w:rPr>
          <w:rFonts w:ascii="Times New Roman" w:hAnsi="Times New Roman" w:cs="Times New Roman"/>
          <w:sz w:val="24"/>
          <w:szCs w:val="24"/>
        </w:rPr>
        <w:t>,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w:t>
      </w:r>
      <w:commentRangeStart w:id="21"/>
      <w:r w:rsidR="00521A07">
        <w:rPr>
          <w:rFonts w:ascii="Times New Roman" w:hAnsi="Times New Roman" w:cs="Times New Roman"/>
          <w:sz w:val="24"/>
          <w:szCs w:val="24"/>
        </w:rPr>
        <w:t>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w:t>
      </w:r>
      <w:commentRangeEnd w:id="21"/>
      <w:r w:rsidR="009E3096">
        <w:rPr>
          <w:rStyle w:val="CommentReference"/>
        </w:rPr>
        <w:commentReference w:id="21"/>
      </w:r>
      <w:r w:rsidR="00521A07">
        <w:rPr>
          <w:rFonts w:ascii="Times New Roman" w:hAnsi="Times New Roman" w:cs="Times New Roman"/>
          <w:sz w:val="24"/>
          <w:szCs w:val="24"/>
        </w:rPr>
        <w:t>,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22"/>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w:t>
      </w:r>
      <w:commentRangeEnd w:id="22"/>
      <w:r w:rsidR="009E3096">
        <w:rPr>
          <w:rStyle w:val="CommentReference"/>
        </w:rPr>
        <w:commentReference w:id="22"/>
      </w:r>
      <w:r w:rsidR="00CE1C70">
        <w:rPr>
          <w:rFonts w:ascii="Times New Roman" w:hAnsi="Times New Roman" w:cs="Times New Roman"/>
          <w:sz w:val="24"/>
          <w:szCs w:val="24"/>
        </w:rPr>
        <w:t>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3"/>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lastRenderedPageBreak/>
        <w:t xml:space="preserve">&amp;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23"/>
      <w:r w:rsidR="003C6205">
        <w:rPr>
          <w:rStyle w:val="CommentReference"/>
        </w:rPr>
        <w:commentReference w:id="23"/>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4"/>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4"/>
      <w:r w:rsidR="00856F16">
        <w:rPr>
          <w:rStyle w:val="CommentReference"/>
        </w:rPr>
        <w:commentReference w:id="24"/>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5"/>
      <w:r w:rsidR="008E118B" w:rsidRPr="00CE1C70">
        <w:rPr>
          <w:rFonts w:ascii="Times New Roman" w:hAnsi="Times New Roman" w:cs="Times New Roman"/>
          <w:sz w:val="24"/>
          <w:szCs w:val="24"/>
        </w:rPr>
        <w:t xml:space="preserve">[.02, .39] </w:t>
      </w:r>
      <w:commentRangeEnd w:id="25"/>
      <w:r w:rsidR="00856F16">
        <w:rPr>
          <w:rStyle w:val="CommentReference"/>
        </w:rPr>
        <w:commentReference w:id="25"/>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Pr="00CE1C70"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26"/>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26"/>
      <w:r>
        <w:rPr>
          <w:rStyle w:val="CommentReference"/>
        </w:rPr>
        <w:commentReference w:id="26"/>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 xml:space="preserve">Among the articles reviewed </w:t>
      </w:r>
      <w:bookmarkStart w:id="27" w:name="_GoBack"/>
      <w:bookmarkEnd w:id="27"/>
      <w:r w:rsidR="00241868">
        <w:rPr>
          <w:rFonts w:ascii="Times New Roman" w:hAnsi="Times New Roman" w:cs="Times New Roman"/>
          <w:sz w:val="24"/>
          <w:szCs w:val="24"/>
        </w:rPr>
        <w:t>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w:t>
      </w:r>
      <w:r w:rsidR="009E0DB7">
        <w:rPr>
          <w:rFonts w:ascii="Times New Roman" w:hAnsi="Times New Roman" w:cs="Times New Roman"/>
          <w:sz w:val="24"/>
          <w:szCs w:val="24"/>
        </w:rPr>
        <w:lastRenderedPageBreak/>
        <w:t xml:space="preserve">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D7269C">
        <w:rPr>
          <w:rFonts w:ascii="Times New Roman" w:hAnsi="Times New Roman" w:cs="Times New Roman"/>
          <w:sz w:val="24"/>
          <w:szCs w:val="24"/>
        </w:rPr>
        <w:t xml:space="preserve">a little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w:t>
      </w:r>
      <w:commentRangeStart w:id="28"/>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commentRangeEnd w:id="28"/>
      <w:r w:rsidR="00D7269C">
        <w:rPr>
          <w:rStyle w:val="CommentReference"/>
        </w:rPr>
        <w:commentReference w:id="28"/>
      </w:r>
      <w:r w:rsidRPr="005779CC">
        <w:rPr>
          <w:rFonts w:ascii="Times New Roman" w:hAnsi="Times New Roman" w:cs="Times New Roman"/>
          <w:sz w:val="24"/>
          <w:szCs w:val="24"/>
        </w:rPr>
        <w:t xml:space="preserve"> a moderately informative replication, but if mean duration is used, </w:t>
      </w:r>
      <w:commentRangeStart w:id="29"/>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w:t>
      </w:r>
      <w:commentRangeEnd w:id="29"/>
      <w:r w:rsidR="00D7269C">
        <w:rPr>
          <w:rStyle w:val="CommentReference"/>
        </w:rPr>
        <w:commentReference w:id="29"/>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 xml:space="preserve">(BF01)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w:t>
      </w:r>
      <w:r w:rsidR="008A202A">
        <w:rPr>
          <w:rFonts w:ascii="Times New Roman" w:hAnsi="Times New Roman" w:cs="Times New Roman"/>
          <w:sz w:val="24"/>
          <w:szCs w:val="24"/>
        </w:rPr>
        <w:lastRenderedPageBreak/>
        <w:t xml:space="preserve">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Bayes Factor reports the strength of reported evidence; drawing inferences from that evidence, </w:t>
      </w:r>
      <w:commentRangeStart w:id="30"/>
      <w:r w:rsidRPr="005779CC">
        <w:rPr>
          <w:rFonts w:ascii="Times New Roman" w:hAnsi="Times New Roman" w:cs="Times New Roman"/>
          <w:sz w:val="24"/>
          <w:szCs w:val="24"/>
        </w:rPr>
        <w:t>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w:t>
      </w:r>
      <w:commentRangeEnd w:id="30"/>
      <w:r w:rsidR="00D7269C">
        <w:rPr>
          <w:rStyle w:val="CommentReference"/>
        </w:rPr>
        <w:commentReference w:id="30"/>
      </w:r>
      <w:r>
        <w:rPr>
          <w:rFonts w:ascii="Times New Roman" w:hAnsi="Times New Roman" w:cs="Times New Roman"/>
          <w:sz w:val="24"/>
          <w:szCs w:val="24"/>
        </w:rPr>
        <w:t xml:space="preserve"> We further urge researchers to attempt a thorough and systematic validation of the CRTT in an attempt to choose a limited number of methods which clearly measure a limited number of constructs. </w:t>
      </w:r>
      <w:r w:rsidR="009E0DB7">
        <w:rPr>
          <w:rStyle w:val="CommentReference"/>
        </w:rPr>
        <w:commentReference w:id="31"/>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2" w:author="Engelhardt, Christopher Robert" w:date="2014-10-14T10:11:00Z">
        <w:r w:rsidR="00357017" w:rsidRPr="00357017">
          <w:rPr>
            <w:rFonts w:ascii="Times New Roman" w:hAnsi="Times New Roman" w:cs="Times New Roman"/>
            <w:i/>
            <w:sz w:val="24"/>
            <w:szCs w:val="24"/>
          </w:rPr>
          <w:delText>p</w:delText>
        </w:r>
      </w:del>
      <w:ins w:id="33"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w:t>
      </w:r>
      <w:r w:rsidR="00B27E6E">
        <w:rPr>
          <w:rFonts w:ascii="Times New Roman" w:hAnsi="Times New Roman" w:cs="Times New Roman"/>
          <w:sz w:val="24"/>
          <w:szCs w:val="24"/>
        </w:rPr>
        <w:lastRenderedPageBreak/>
        <w:t xml:space="preserve">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4"/>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4"/>
      <w:r w:rsidR="0018187E">
        <w:rPr>
          <w:rStyle w:val="CommentReference"/>
        </w:rPr>
        <w:commentReference w:id="34"/>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5"/>
      <w:r w:rsidR="0061024A">
        <w:rPr>
          <w:rFonts w:ascii="Times New Roman" w:hAnsi="Times New Roman" w:cs="Times New Roman"/>
          <w:sz w:val="24"/>
          <w:szCs w:val="24"/>
        </w:rPr>
        <w:t>whether for</w:t>
      </w:r>
      <w:commentRangeEnd w:id="35"/>
      <w:r w:rsidR="00CE1C70">
        <w:rPr>
          <w:rStyle w:val="CommentReference"/>
        </w:rPr>
        <w:commentReference w:id="35"/>
      </w:r>
      <w:r w:rsidR="0061024A">
        <w:rPr>
          <w:rFonts w:ascii="Times New Roman" w:hAnsi="Times New Roman" w:cs="Times New Roman"/>
          <w:sz w:val="24"/>
          <w:szCs w:val="24"/>
        </w:rPr>
        <w:t xml:space="preserve"> or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36"/>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36"/>
      <w:r>
        <w:rPr>
          <w:rStyle w:val="CommentReference"/>
        </w:rPr>
        <w:commentReference w:id="36"/>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37"/>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37"/>
      <w:proofErr w:type="gramEnd"/>
      <w:r w:rsidR="00472FD7">
        <w:rPr>
          <w:rStyle w:val="CommentReference"/>
        </w:rPr>
        <w:commentReference w:id="37"/>
      </w:r>
    </w:p>
    <w:tbl>
      <w:tblPr>
        <w:tblW w:w="9000" w:type="dxa"/>
        <w:tblInd w:w="93" w:type="dxa"/>
        <w:tblLook w:val="04A0" w:firstRow="1" w:lastRow="0" w:firstColumn="1" w:lastColumn="0" w:noHBand="0" w:noVBand="1"/>
      </w:tblPr>
      <w:tblGrid>
        <w:gridCol w:w="3240"/>
        <w:gridCol w:w="691"/>
        <w:gridCol w:w="1229"/>
        <w:gridCol w:w="691"/>
        <w:gridCol w:w="1229"/>
        <w:gridCol w:w="730"/>
        <w:gridCol w:w="1190"/>
      </w:tblGrid>
      <w:tr w:rsidR="00472FD7" w:rsidRPr="00472FD7" w:rsidTr="00472FD7">
        <w:trPr>
          <w:trHeight w:val="315"/>
        </w:trPr>
        <w:tc>
          <w:tcPr>
            <w:tcW w:w="3240" w:type="dxa"/>
            <w:tcBorders>
              <w:top w:val="nil"/>
              <w:left w:val="nil"/>
              <w:bottom w:val="nil"/>
              <w:right w:val="nil"/>
            </w:tcBorders>
            <w:shd w:val="clear" w:color="auto" w:fill="auto"/>
            <w:noWrap/>
            <w:vAlign w:val="bottom"/>
            <w:hideMark/>
          </w:tcPr>
          <w:p w:rsidR="00472FD7" w:rsidRPr="00472FD7" w:rsidRDefault="00472FD7" w:rsidP="00472FD7">
            <w:pPr>
              <w:spacing w:after="0" w:line="240" w:lineRule="auto"/>
              <w:rPr>
                <w:rFonts w:ascii="Calibri" w:eastAsia="Times New Roman" w:hAnsi="Calibri" w:cs="Times New Roman"/>
                <w:color w:val="000000"/>
              </w:rPr>
            </w:pP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Difficulty</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Pace</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Competitiveness</w:t>
            </w:r>
          </w:p>
        </w:tc>
      </w:tr>
      <w:tr w:rsidR="00472FD7" w:rsidRPr="00472FD7" w:rsidTr="00472FD7">
        <w:trPr>
          <w:trHeight w:val="375"/>
        </w:trPr>
        <w:tc>
          <w:tcPr>
            <w:tcW w:w="324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Valadez &amp; Ferguson</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73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19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1.30933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0.757991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0.887017</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1.636268</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0.392349</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15.87443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15.30861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38"/>
      <w:r w:rsidR="009C3A9A">
        <w:rPr>
          <w:rFonts w:ascii="Times New Roman" w:hAnsi="Times New Roman" w:cs="Times New Roman"/>
          <w:sz w:val="24"/>
          <w:szCs w:val="24"/>
        </w:rPr>
        <w:t>alternative</w:t>
      </w:r>
      <w:commentRangeEnd w:id="38"/>
      <w:r w:rsidR="009C3A9A">
        <w:rPr>
          <w:rStyle w:val="CommentReference"/>
        </w:rPr>
        <w:commentReference w:id="38"/>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39"/>
            <w:r w:rsidRPr="00011737">
              <w:rPr>
                <w:rFonts w:ascii="Calibri" w:eastAsia="Times New Roman" w:hAnsi="Calibri" w:cs="Times New Roman"/>
                <w:color w:val="000000"/>
              </w:rPr>
              <w:t>Time (pre-, post-) X Game (Red Dead Redemption, FIFA)</w:t>
            </w:r>
            <w:commentRangeEnd w:id="39"/>
            <w:r w:rsidR="009C3A9A">
              <w:rPr>
                <w:rStyle w:val="CommentReference"/>
              </w:rPr>
              <w:commentReference w:id="39"/>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827E74" w:rsidRDefault="00827E74">
      <w:pPr>
        <w:pStyle w:val="CommentText"/>
      </w:pPr>
      <w:r>
        <w:rPr>
          <w:rStyle w:val="CommentReference"/>
        </w:rPr>
        <w:annotationRef/>
      </w:r>
      <w:r>
        <w:t>Maybe a BF for certain studies arguing an effect would be appropriate, too?</w:t>
      </w:r>
    </w:p>
    <w:p w:rsidR="00827E74" w:rsidRDefault="00827E74">
      <w:pPr>
        <w:pStyle w:val="CommentText"/>
      </w:pPr>
    </w:p>
    <w:p w:rsidR="00827E74" w:rsidRDefault="00827E74">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Joe" w:date="2014-11-24T14:37:00Z" w:initials="J">
    <w:p w:rsidR="00827E74" w:rsidRDefault="00827E74">
      <w:pPr>
        <w:pStyle w:val="CommentText"/>
      </w:pPr>
      <w:r>
        <w:rPr>
          <w:rStyle w:val="CommentReference"/>
        </w:rPr>
        <w:annotationRef/>
      </w:r>
      <w:proofErr w:type="gramStart"/>
      <w:r>
        <w:t>weak</w:t>
      </w:r>
      <w:proofErr w:type="gramEnd"/>
    </w:p>
  </w:comment>
  <w:comment w:id="2" w:author="Dirk Mügge" w:date="2014-10-15T18:51:00Z" w:initials="DM">
    <w:p w:rsidR="00827E74" w:rsidRDefault="00827E74" w:rsidP="00CE13F5">
      <w:pPr>
        <w:pStyle w:val="CommentText"/>
      </w:pPr>
      <w:r>
        <w:rPr>
          <w:rStyle w:val="CommentReference"/>
        </w:rPr>
        <w:annotationRef/>
      </w:r>
      <w:r>
        <w:t>Another example: analysis of attrition</w:t>
      </w:r>
    </w:p>
  </w:comment>
  <w:comment w:id="3" w:author="bartholowlab" w:date="2014-11-17T16:28:00Z" w:initials="b">
    <w:p w:rsidR="00827E74" w:rsidRDefault="00827E74"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5" w:author="bartholowlab" w:date="2014-11-18T20:41:00Z" w:initials="b">
    <w:p w:rsidR="00827E74" w:rsidRDefault="00827E74">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827E74" w:rsidRDefault="00827E74">
      <w:pPr>
        <w:pStyle w:val="CommentText"/>
      </w:pPr>
    </w:p>
    <w:p w:rsidR="00827E74" w:rsidRDefault="00827E74">
      <w:pPr>
        <w:pStyle w:val="CommentText"/>
      </w:pPr>
      <w:r>
        <w:t>Pick either BF01 or BF10 and stick with it!</w:t>
      </w:r>
    </w:p>
  </w:comment>
  <w:comment w:id="6" w:author="Joe" w:date="2014-11-23T16:35:00Z" w:initials="J">
    <w:p w:rsidR="00827E74" w:rsidRDefault="00827E74">
      <w:pPr>
        <w:pStyle w:val="CommentText"/>
      </w:pPr>
      <w:r>
        <w:rPr>
          <w:rStyle w:val="CommentReference"/>
        </w:rPr>
        <w:annotationRef/>
      </w:r>
      <w:r>
        <w:t>Is this the right place for this?</w:t>
      </w:r>
    </w:p>
  </w:comment>
  <w:comment w:id="7" w:author="Dirk Mügge" w:date="2014-10-15T14:47:00Z" w:initials="DM">
    <w:p w:rsidR="00827E74" w:rsidRDefault="00827E74">
      <w:pPr>
        <w:pStyle w:val="CommentText"/>
      </w:pPr>
      <w:r>
        <w:rPr>
          <w:rStyle w:val="CommentReference"/>
        </w:rPr>
        <w:annotationRef/>
      </w:r>
      <w:r>
        <w:t>IMO contrast analyses should have been applied. ;)</w:t>
      </w:r>
    </w:p>
  </w:comment>
  <w:comment w:id="8" w:author="Joe" w:date="2014-11-25T11:05:00Z" w:initials="J">
    <w:p w:rsidR="00827E74" w:rsidRDefault="00827E74">
      <w:pPr>
        <w:pStyle w:val="CommentText"/>
      </w:pPr>
      <w:r>
        <w:rPr>
          <w:rStyle w:val="CommentReference"/>
        </w:rPr>
        <w:annotationRef/>
      </w:r>
      <w:r>
        <w:t>?</w:t>
      </w:r>
    </w:p>
  </w:comment>
  <w:comment w:id="9" w:author="Dirk Mügge" w:date="2014-10-15T15:08:00Z" w:initials="DM">
    <w:p w:rsidR="00827E74" w:rsidRDefault="00827E74">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0" w:author="Joe" w:date="2014-11-25T11:10:00Z" w:initials="J">
    <w:p w:rsidR="00827E74" w:rsidRDefault="00827E74">
      <w:pPr>
        <w:pStyle w:val="CommentText"/>
      </w:pPr>
      <w:r>
        <w:rPr>
          <w:rStyle w:val="CommentReference"/>
        </w:rPr>
        <w:annotationRef/>
      </w:r>
      <w:r>
        <w:t xml:space="preserve">I need to separate </w:t>
      </w:r>
      <w:proofErr w:type="spellStart"/>
      <w:r>
        <w:t>the”improved</w:t>
      </w:r>
      <w:proofErr w:type="spellEnd"/>
      <w:r>
        <w:t>-control” studies from the other null findings.</w:t>
      </w:r>
    </w:p>
  </w:comment>
  <w:comment w:id="11" w:author="Joe" w:date="2014-11-20T00:44:00Z" w:initials="J">
    <w:p w:rsidR="00827E74" w:rsidRDefault="00827E74">
      <w:pPr>
        <w:pStyle w:val="CommentText"/>
      </w:pPr>
      <w:r>
        <w:rPr>
          <w:rStyle w:val="CommentReference"/>
        </w:rPr>
        <w:annotationRef/>
      </w:r>
      <w:r>
        <w:t>Maybe should move up or move later.</w:t>
      </w:r>
    </w:p>
  </w:comment>
  <w:comment w:id="12" w:author="bartholowlab" w:date="2014-10-06T13:59:00Z" w:initials="b">
    <w:p w:rsidR="00827E74" w:rsidRDefault="00827E74">
      <w:pPr>
        <w:pStyle w:val="CommentText"/>
      </w:pPr>
      <w:r>
        <w:rPr>
          <w:rStyle w:val="CommentReference"/>
        </w:rPr>
        <w:annotationRef/>
      </w:r>
      <w:r>
        <w:t>Can turn the bracketed segments into ellipses.</w:t>
      </w:r>
    </w:p>
  </w:comment>
  <w:comment w:id="13" w:author="Joe" w:date="2014-11-29T22:52:00Z" w:initials="J">
    <w:p w:rsidR="0088566E" w:rsidRDefault="0088566E">
      <w:pPr>
        <w:pStyle w:val="CommentText"/>
      </w:pPr>
      <w:r>
        <w:rPr>
          <w:rStyle w:val="CommentReference"/>
        </w:rPr>
        <w:annotationRef/>
      </w:r>
      <w:r>
        <w:t>Redundant with previous explanation of hypothesis comparison in pilot testing?</w:t>
      </w:r>
    </w:p>
  </w:comment>
  <w:comment w:id="14" w:author="Joe" w:date="2014-11-29T08:30:00Z" w:initials="J">
    <w:p w:rsidR="00827E74" w:rsidRDefault="00827E74">
      <w:pPr>
        <w:pStyle w:val="CommentText"/>
      </w:pPr>
      <w:r>
        <w:rPr>
          <w:rStyle w:val="CommentReference"/>
        </w:rPr>
        <w:annotationRef/>
      </w:r>
      <w:r>
        <w:t xml:space="preserve">Redundant with previous citation of Morey, </w:t>
      </w:r>
      <w:proofErr w:type="spellStart"/>
      <w:r>
        <w:t>Rouder</w:t>
      </w:r>
      <w:proofErr w:type="spellEnd"/>
      <w:r>
        <w:t>, &amp; Jamil?</w:t>
      </w:r>
    </w:p>
  </w:comment>
  <w:comment w:id="15" w:author="bartholowlab" w:date="2014-10-07T15:01:00Z" w:initials="b">
    <w:p w:rsidR="00827E74" w:rsidRDefault="00827E74">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827E74" w:rsidRDefault="00827E74">
      <w:pPr>
        <w:pStyle w:val="CommentText"/>
      </w:pPr>
    </w:p>
    <w:p w:rsidR="00827E74" w:rsidRPr="006C6F26" w:rsidRDefault="00827E74">
      <w:pPr>
        <w:pStyle w:val="CommentText"/>
      </w:pPr>
      <w:r>
        <w:t>If the effect is somewhere in between, well, that’s why we’ve got H</w:t>
      </w:r>
      <w:r>
        <w:rPr>
          <w:vertAlign w:val="subscript"/>
        </w:rPr>
        <w:t>A1</w:t>
      </w:r>
      <w:r>
        <w:t xml:space="preserve"> on the default prior. </w:t>
      </w:r>
    </w:p>
  </w:comment>
  <w:comment w:id="16" w:author="Joe" w:date="2014-11-29T08:57:00Z" w:initials="J">
    <w:p w:rsidR="00827E74" w:rsidRDefault="00827E74">
      <w:pPr>
        <w:pStyle w:val="CommentText"/>
      </w:pPr>
      <w:r>
        <w:rPr>
          <w:rStyle w:val="CommentReference"/>
        </w:rPr>
        <w:annotationRef/>
      </w:r>
      <w:r>
        <w:t>Could cite EJ’s Cortex paper and its use of “confirmatory” and “exploratory” Bayes Factors.</w:t>
      </w:r>
    </w:p>
  </w:comment>
  <w:comment w:id="17" w:author="Joe" w:date="2014-11-24T17:34:00Z" w:initials="J">
    <w:p w:rsidR="00827E74" w:rsidRDefault="00827E74">
      <w:pPr>
        <w:pStyle w:val="CommentText"/>
      </w:pPr>
      <w:r>
        <w:rPr>
          <w:rStyle w:val="CommentReference"/>
        </w:rPr>
        <w:annotationRef/>
      </w:r>
      <w:r>
        <w:t>Pick up here, cleaning and clarifying Table 3.</w:t>
      </w:r>
    </w:p>
    <w:p w:rsidR="00827E74" w:rsidRDefault="00827E74">
      <w:pPr>
        <w:pStyle w:val="CommentText"/>
      </w:pPr>
    </w:p>
    <w:p w:rsidR="00827E74" w:rsidRPr="00282C2E" w:rsidRDefault="00827E74">
      <w:pPr>
        <w:pStyle w:val="CommentText"/>
      </w:pPr>
      <w:r>
        <w:t xml:space="preserve">Double check definition of scale to get appropriate HA1 (e.g., </w:t>
      </w:r>
      <w:proofErr w:type="spellStart"/>
      <w:r>
        <w:t>rscale</w:t>
      </w:r>
      <w:proofErr w:type="spellEnd"/>
      <w:r>
        <w:t xml:space="preserve"> = .2 vs </w:t>
      </w:r>
      <w:proofErr w:type="spellStart"/>
      <w:r>
        <w:t>rscale</w:t>
      </w:r>
      <w:proofErr w:type="spellEnd"/>
      <w:r>
        <w:t xml:space="preserve"> = .4)</w:t>
      </w:r>
    </w:p>
  </w:comment>
  <w:comment w:id="18" w:author="Joe" w:date="2014-11-29T08:59:00Z" w:initials="J">
    <w:p w:rsidR="00827E74" w:rsidRDefault="00827E74">
      <w:pPr>
        <w:pStyle w:val="CommentText"/>
      </w:pPr>
      <w:r>
        <w:rPr>
          <w:rStyle w:val="CommentReference"/>
        </w:rPr>
        <w:annotationRef/>
      </w:r>
      <w:r>
        <w:t xml:space="preserve">Maybe make a distinction </w:t>
      </w:r>
      <w:proofErr w:type="gramStart"/>
      <w:r>
        <w:t>between  studies</w:t>
      </w:r>
      <w:proofErr w:type="gramEnd"/>
      <w:r>
        <w:t xml:space="preserve"> that claimed better controls vs those that didn’t? Or investigate how </w:t>
      </w:r>
      <w:proofErr w:type="spellStart"/>
      <w:r>
        <w:t>Przyblyski</w:t>
      </w:r>
      <w:proofErr w:type="spellEnd"/>
      <w:r>
        <w:t xml:space="preserve"> or Ivory or Tear differ from Ferguson or Adachi or Elson?</w:t>
      </w:r>
    </w:p>
  </w:comment>
  <w:comment w:id="19" w:author="Joe" w:date="2014-11-29T11:46:00Z" w:initials="J">
    <w:p w:rsidR="00827E74" w:rsidRDefault="00827E74">
      <w:pPr>
        <w:pStyle w:val="CommentText"/>
      </w:pPr>
      <w:r>
        <w:rPr>
          <w:rStyle w:val="CommentReference"/>
        </w:rPr>
        <w:annotationRef/>
      </w:r>
      <w:r>
        <w:t>Again, state as BF02 not BF20</w:t>
      </w:r>
    </w:p>
  </w:comment>
  <w:comment w:id="20" w:author="Joe" w:date="2014-11-29T11:47:00Z" w:initials="J">
    <w:p w:rsidR="00827E74" w:rsidRDefault="00827E74">
      <w:pPr>
        <w:pStyle w:val="CommentText"/>
      </w:pPr>
      <w:r>
        <w:rPr>
          <w:rStyle w:val="CommentReference"/>
        </w:rPr>
        <w:annotationRef/>
      </w:r>
      <w:r>
        <w:t>BF02</w:t>
      </w:r>
    </w:p>
  </w:comment>
  <w:comment w:id="21" w:author="Joe" w:date="2014-11-29T11:47:00Z" w:initials="J">
    <w:p w:rsidR="00827E74" w:rsidRDefault="00827E74">
      <w:pPr>
        <w:pStyle w:val="CommentText"/>
      </w:pPr>
      <w:r>
        <w:rPr>
          <w:rStyle w:val="CommentReference"/>
        </w:rPr>
        <w:annotationRef/>
      </w:r>
      <w:r>
        <w:t>Bf02</w:t>
      </w:r>
    </w:p>
  </w:comment>
  <w:comment w:id="22" w:author="Joe" w:date="2014-11-29T11:47:00Z" w:initials="J">
    <w:p w:rsidR="00827E74" w:rsidRDefault="00827E74">
      <w:pPr>
        <w:pStyle w:val="CommentText"/>
      </w:pPr>
      <w:r>
        <w:rPr>
          <w:rStyle w:val="CommentReference"/>
        </w:rPr>
        <w:annotationRef/>
      </w:r>
      <w:r>
        <w:t>Bf02</w:t>
      </w:r>
    </w:p>
  </w:comment>
  <w:comment w:id="23" w:author="bartholowlab" w:date="2014-10-09T16:56:00Z" w:initials="b">
    <w:p w:rsidR="00827E74" w:rsidRDefault="00827E74">
      <w:pPr>
        <w:pStyle w:val="CommentText"/>
      </w:pPr>
      <w:r>
        <w:rPr>
          <w:rStyle w:val="CommentReference"/>
        </w:rPr>
        <w:annotationRef/>
      </w:r>
      <w:r>
        <w:t>Is there a better citation for the SHS or did it really just grow out of a subsection of the MAACL</w:t>
      </w:r>
    </w:p>
  </w:comment>
  <w:comment w:id="24" w:author="Dirk Mügge" w:date="2014-10-15T17:28:00Z" w:initials="DM">
    <w:p w:rsidR="00827E74" w:rsidRDefault="00827E74">
      <w:pPr>
        <w:pStyle w:val="CommentText"/>
      </w:pPr>
      <w:r>
        <w:rPr>
          <w:rStyle w:val="CommentReference"/>
        </w:rPr>
        <w:annotationRef/>
      </w:r>
      <w:r>
        <w:t>Looks like the expectations about the game explained the effect, not the actual content.</w:t>
      </w:r>
    </w:p>
  </w:comment>
  <w:comment w:id="25" w:author="Dirk Mügge" w:date="2014-10-15T17:30:00Z" w:initials="DM">
    <w:p w:rsidR="00827E74" w:rsidRDefault="00827E74">
      <w:pPr>
        <w:pStyle w:val="CommentText"/>
      </w:pPr>
      <w:r>
        <w:rPr>
          <w:rStyle w:val="CommentReference"/>
        </w:rPr>
        <w:annotationRef/>
      </w:r>
      <w:r>
        <w:t>An advocate of NHST may argue that NHST supports the alternative hypothesis and, hence, the benefit of Bayesian testing is small.</w:t>
      </w:r>
    </w:p>
  </w:comment>
  <w:comment w:id="26" w:author="Joe" w:date="2014-11-23T16:06:00Z" w:initials="J">
    <w:p w:rsidR="00827E74" w:rsidRDefault="00827E74">
      <w:pPr>
        <w:pStyle w:val="CommentText"/>
      </w:pPr>
      <w:r>
        <w:rPr>
          <w:rStyle w:val="CommentReference"/>
        </w:rPr>
        <w:annotationRef/>
      </w:r>
      <w:r>
        <w:t xml:space="preserve">Notes: </w:t>
      </w:r>
      <w:proofErr w:type="spellStart"/>
      <w:r>
        <w:t>Bartholow</w:t>
      </w:r>
      <w:proofErr w:type="spellEnd"/>
      <w:r>
        <w:t xml:space="preserve"> &amp; Anderson has outrageous (10:1, 17:1) Bayes factor b/c they claim to have gotten nearly r = .5. Anderson Gentile Buckley p = .09 corresponds to about even odds I guess. I might look at the particular subgroups.  I think at these sample sizes and effect sizes the BFs will generally support the alternative.</w:t>
      </w:r>
    </w:p>
  </w:comment>
  <w:comment w:id="28" w:author="Joe" w:date="2014-11-29T11:54:00Z" w:initials="J">
    <w:p w:rsidR="00827E74" w:rsidRDefault="00827E74">
      <w:pPr>
        <w:pStyle w:val="CommentText"/>
      </w:pPr>
      <w:r>
        <w:rPr>
          <w:rStyle w:val="CommentReference"/>
        </w:rPr>
        <w:annotationRef/>
      </w:r>
      <w:r>
        <w:t>BF02</w:t>
      </w:r>
    </w:p>
  </w:comment>
  <w:comment w:id="29" w:author="Joe" w:date="2014-11-29T11:55:00Z" w:initials="J">
    <w:p w:rsidR="00827E74" w:rsidRDefault="00827E74">
      <w:pPr>
        <w:pStyle w:val="CommentText"/>
      </w:pPr>
      <w:r>
        <w:rPr>
          <w:rStyle w:val="CommentReference"/>
        </w:rPr>
        <w:annotationRef/>
      </w:r>
      <w:r>
        <w:t>BF02</w:t>
      </w:r>
    </w:p>
  </w:comment>
  <w:comment w:id="30" w:author="Joe" w:date="2014-11-29T11:56:00Z" w:initials="J">
    <w:p w:rsidR="00827E74" w:rsidRDefault="00827E74">
      <w:pPr>
        <w:pStyle w:val="CommentText"/>
      </w:pPr>
      <w:r>
        <w:rPr>
          <w:rStyle w:val="CommentReference"/>
        </w:rPr>
        <w:annotationRef/>
      </w:r>
      <w:r>
        <w:t>Need to edit this part.</w:t>
      </w:r>
    </w:p>
  </w:comment>
  <w:comment w:id="31" w:author="bartholowlab" w:date="2014-11-17T21:50:00Z" w:initials="b">
    <w:p w:rsidR="00827E74" w:rsidRDefault="00827E74">
      <w:pPr>
        <w:pStyle w:val="CommentText"/>
      </w:pPr>
      <w:r>
        <w:rPr>
          <w:rStyle w:val="CommentReference"/>
        </w:rPr>
        <w:annotationRef/>
      </w:r>
      <w:r>
        <w:t>Considering deletion.</w:t>
      </w:r>
    </w:p>
  </w:comment>
  <w:comment w:id="34" w:author="Dirk Mügge" w:date="2014-10-15T18:07:00Z" w:initials="DM">
    <w:p w:rsidR="00827E74" w:rsidRDefault="00827E74">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5" w:author="bartholowlab" w:date="2014-11-29T12:00:00Z" w:initials="b">
    <w:p w:rsidR="00827E74" w:rsidRDefault="00827E74">
      <w:pPr>
        <w:pStyle w:val="CommentText"/>
      </w:pPr>
      <w:r>
        <w:rPr>
          <w:rStyle w:val="CommentReference"/>
        </w:rPr>
        <w:annotationRef/>
      </w:r>
      <w:r>
        <w:t>Maybe I should add an Anderson et al. paper or a smallish-N paper for the effect as counterpoint?</w:t>
      </w:r>
    </w:p>
    <w:p w:rsidR="00827E74" w:rsidRDefault="00827E74">
      <w:pPr>
        <w:pStyle w:val="CommentText"/>
      </w:pPr>
    </w:p>
    <w:p w:rsidR="00827E74" w:rsidRDefault="00827E74" w:rsidP="00D7269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827E74" w:rsidRDefault="00827E74">
      <w:pPr>
        <w:pStyle w:val="CommentText"/>
      </w:pPr>
    </w:p>
    <w:p w:rsidR="00827E74" w:rsidRDefault="00827E74" w:rsidP="00D7269C">
      <w:pPr>
        <w:pStyle w:val="CommentText"/>
      </w:pPr>
      <w:r>
        <w:t>-</w:t>
      </w:r>
      <w:r>
        <w:rPr>
          <w:rStyle w:val="CommentReference"/>
        </w:rPr>
        <w:annotationRef/>
      </w:r>
      <w:r>
        <w:t>Maybe I’ll grab the VVG study with the smallest possible N. Or the Gentile Anderson Buckley one with the colossal N.</w:t>
      </w:r>
    </w:p>
    <w:p w:rsidR="00827E74" w:rsidRDefault="00827E74">
      <w:pPr>
        <w:pStyle w:val="CommentText"/>
      </w:pPr>
    </w:p>
    <w:p w:rsidR="00827E74" w:rsidRDefault="00827E74">
      <w:pPr>
        <w:pStyle w:val="CommentText"/>
      </w:pPr>
      <w:r>
        <w:t>---------------------</w:t>
      </w:r>
    </w:p>
    <w:p w:rsidR="00827E74" w:rsidRDefault="00827E74">
      <w:pPr>
        <w:pStyle w:val="CommentText"/>
      </w:pPr>
    </w:p>
    <w:p w:rsidR="00827E74" w:rsidRDefault="00827E74">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827E74" w:rsidRDefault="00827E74">
      <w:pPr>
        <w:pStyle w:val="CommentText"/>
      </w:pPr>
    </w:p>
  </w:comment>
  <w:comment w:id="36" w:author="bartholowlab" w:date="2014-10-09T12:12:00Z" w:initials="b">
    <w:p w:rsidR="00827E74" w:rsidRDefault="00827E74">
      <w:pPr>
        <w:pStyle w:val="CommentText"/>
      </w:pPr>
      <w:r>
        <w:rPr>
          <w:rStyle w:val="CommentReference"/>
        </w:rPr>
        <w:annotationRef/>
      </w:r>
      <w:r>
        <w:t>Check APA formatting.</w:t>
      </w:r>
    </w:p>
  </w:comment>
  <w:comment w:id="37" w:author="Joe" w:date="2014-11-23T13:47:00Z" w:initials="J">
    <w:p w:rsidR="00827E74" w:rsidRDefault="00827E74">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38" w:author="bartholowlab" w:date="2014-11-02T19:03:00Z" w:initials="b">
    <w:p w:rsidR="00827E74" w:rsidRDefault="00827E74">
      <w:pPr>
        <w:pStyle w:val="CommentText"/>
      </w:pPr>
      <w:r>
        <w:rPr>
          <w:rStyle w:val="CommentReference"/>
        </w:rPr>
        <w:annotationRef/>
      </w:r>
      <w:r>
        <w:t>Mention #groups, study design, etc.</w:t>
      </w:r>
    </w:p>
  </w:comment>
  <w:comment w:id="39" w:author="bartholowlab" w:date="2014-11-02T19:02:00Z" w:initials="b">
    <w:p w:rsidR="00827E74" w:rsidRDefault="00827E74">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22E" w:rsidRDefault="00C9022E" w:rsidP="007B41C0">
      <w:pPr>
        <w:spacing w:after="0" w:line="240" w:lineRule="auto"/>
      </w:pPr>
      <w:r>
        <w:separator/>
      </w:r>
    </w:p>
  </w:endnote>
  <w:endnote w:type="continuationSeparator" w:id="0">
    <w:p w:rsidR="00C9022E" w:rsidRDefault="00C9022E" w:rsidP="007B41C0">
      <w:pPr>
        <w:spacing w:after="0" w:line="240" w:lineRule="auto"/>
      </w:pPr>
      <w:r>
        <w:continuationSeparator/>
      </w:r>
    </w:p>
  </w:endnote>
  <w:endnote w:type="continuationNotice" w:id="1">
    <w:p w:rsidR="00C9022E" w:rsidRDefault="00C90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22E" w:rsidRDefault="00C9022E" w:rsidP="007B41C0">
      <w:pPr>
        <w:spacing w:after="0" w:line="240" w:lineRule="auto"/>
      </w:pPr>
      <w:r>
        <w:separator/>
      </w:r>
    </w:p>
  </w:footnote>
  <w:footnote w:type="continuationSeparator" w:id="0">
    <w:p w:rsidR="00C9022E" w:rsidRDefault="00C9022E" w:rsidP="007B41C0">
      <w:pPr>
        <w:spacing w:after="0" w:line="240" w:lineRule="auto"/>
      </w:pPr>
      <w:r>
        <w:continuationSeparator/>
      </w:r>
    </w:p>
  </w:footnote>
  <w:footnote w:type="continuationNotice" w:id="1">
    <w:p w:rsidR="00C9022E" w:rsidRDefault="00C9022E">
      <w:pPr>
        <w:spacing w:after="0" w:line="240" w:lineRule="auto"/>
      </w:pPr>
    </w:p>
  </w:footnote>
  <w:footnote w:id="2">
    <w:p w:rsidR="00827E74" w:rsidRDefault="00827E74">
      <w:pPr>
        <w:pStyle w:val="FootnoteText"/>
      </w:pPr>
      <w:r>
        <w:rPr>
          <w:rStyle w:val="FootnoteReference"/>
        </w:rPr>
        <w:footnoteRef/>
      </w:r>
      <w:r>
        <w:t xml:space="preserve"> </w:t>
      </w:r>
      <w:r w:rsidRPr="007B41C0">
        <w:t xml:space="preserve">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827E74" w:rsidRDefault="00827E74">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827E74" w:rsidRDefault="00827E74">
        <w:pPr>
          <w:pStyle w:val="Header"/>
          <w:jc w:val="right"/>
        </w:pPr>
        <w:r>
          <w:fldChar w:fldCharType="begin"/>
        </w:r>
        <w:r>
          <w:instrText xml:space="preserve"> PAGE   \* MERGEFORMAT </w:instrText>
        </w:r>
        <w:r>
          <w:fldChar w:fldCharType="separate"/>
        </w:r>
        <w:r w:rsidR="00A517AC">
          <w:rPr>
            <w:noProof/>
          </w:rPr>
          <w:t>16</w:t>
        </w:r>
        <w:r>
          <w:rPr>
            <w:noProof/>
          </w:rPr>
          <w:fldChar w:fldCharType="end"/>
        </w:r>
      </w:p>
    </w:sdtContent>
  </w:sdt>
  <w:p w:rsidR="00827E74" w:rsidRDefault="00827E74"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3100"/>
    <w:rsid w:val="000871A6"/>
    <w:rsid w:val="00091732"/>
    <w:rsid w:val="000A2FA4"/>
    <w:rsid w:val="000A751E"/>
    <w:rsid w:val="000F3281"/>
    <w:rsid w:val="000F76FA"/>
    <w:rsid w:val="00106C1E"/>
    <w:rsid w:val="001438FC"/>
    <w:rsid w:val="00147741"/>
    <w:rsid w:val="001657D3"/>
    <w:rsid w:val="00167F27"/>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32495"/>
    <w:rsid w:val="00436246"/>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3772"/>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A3CB6"/>
    <w:rsid w:val="006A5469"/>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8566E"/>
    <w:rsid w:val="00891433"/>
    <w:rsid w:val="008A202A"/>
    <w:rsid w:val="008A534A"/>
    <w:rsid w:val="008A5CDD"/>
    <w:rsid w:val="008B4B2A"/>
    <w:rsid w:val="008C7FDC"/>
    <w:rsid w:val="008D35A1"/>
    <w:rsid w:val="008E118B"/>
    <w:rsid w:val="00917FB5"/>
    <w:rsid w:val="0095271F"/>
    <w:rsid w:val="0095292C"/>
    <w:rsid w:val="00953484"/>
    <w:rsid w:val="009538A3"/>
    <w:rsid w:val="00953FAB"/>
    <w:rsid w:val="00970001"/>
    <w:rsid w:val="00973433"/>
    <w:rsid w:val="0098217C"/>
    <w:rsid w:val="00996435"/>
    <w:rsid w:val="0099649A"/>
    <w:rsid w:val="009A7E7E"/>
    <w:rsid w:val="009B0C9B"/>
    <w:rsid w:val="009B764A"/>
    <w:rsid w:val="009C3A9A"/>
    <w:rsid w:val="009C4204"/>
    <w:rsid w:val="009D0168"/>
    <w:rsid w:val="009D1EEA"/>
    <w:rsid w:val="009E0DB7"/>
    <w:rsid w:val="009E2D20"/>
    <w:rsid w:val="009E3096"/>
    <w:rsid w:val="009F6300"/>
    <w:rsid w:val="009F689E"/>
    <w:rsid w:val="00A05144"/>
    <w:rsid w:val="00A20F43"/>
    <w:rsid w:val="00A32F69"/>
    <w:rsid w:val="00A517AC"/>
    <w:rsid w:val="00A57223"/>
    <w:rsid w:val="00A6263A"/>
    <w:rsid w:val="00A67377"/>
    <w:rsid w:val="00A67872"/>
    <w:rsid w:val="00A92BF3"/>
    <w:rsid w:val="00A92D1E"/>
    <w:rsid w:val="00A94BAC"/>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5E3F"/>
    <w:rsid w:val="00C35968"/>
    <w:rsid w:val="00C47553"/>
    <w:rsid w:val="00C52F0A"/>
    <w:rsid w:val="00C535C4"/>
    <w:rsid w:val="00C67F0F"/>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D25F3"/>
    <w:rsid w:val="00ED3D56"/>
    <w:rsid w:val="00EE3FB8"/>
    <w:rsid w:val="00EE6C0B"/>
    <w:rsid w:val="00EF049E"/>
    <w:rsid w:val="00EF47B4"/>
    <w:rsid w:val="00F00B55"/>
    <w:rsid w:val="00F25A46"/>
    <w:rsid w:val="00F52B2A"/>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0795C8C-826F-407A-9B66-B59C7993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9164</Words>
  <Characters>52235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26</cp:revision>
  <cp:lastPrinted>2014-11-17T20:19:00Z</cp:lastPrinted>
  <dcterms:created xsi:type="dcterms:W3CDTF">2014-11-13T05:10:00Z</dcterms:created>
  <dcterms:modified xsi:type="dcterms:W3CDTF">2014-11-30T05:42:00Z</dcterms:modified>
</cp:coreProperties>
</file>