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 xml:space="preserve">However, among all this study of things that change, there is also a need to understand that which does not change. </w:t>
      </w:r>
      <w:commentRangeStart w:id="1"/>
      <w:r>
        <w:rPr>
          <w:rFonts w:ascii="Times New Roman" w:hAnsi="Times New Roman" w:cs="Times New Roman"/>
          <w:sz w:val="24"/>
          <w:szCs w:val="24"/>
        </w:rPr>
        <w:t>Surely invariance is as important as variance, if not for the sake of discriminant validity alone.</w:t>
      </w:r>
      <w:r w:rsidR="006F455F">
        <w:rPr>
          <w:rFonts w:ascii="Times New Roman" w:hAnsi="Times New Roman" w:cs="Times New Roman"/>
          <w:sz w:val="24"/>
          <w:szCs w:val="24"/>
        </w:rPr>
        <w:t xml:space="preserve"> </w:t>
      </w:r>
      <w:commentRangeEnd w:id="1"/>
      <w:r w:rsidR="001D3D05">
        <w:rPr>
          <w:rStyle w:val="CommentReference"/>
        </w:rPr>
        <w:commentReference w:id="1"/>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r>
      <w:r w:rsidR="00C67F0F" w:rsidRPr="005779CC">
        <w:rPr>
          <w:rFonts w:ascii="Times New Roman" w:hAnsi="Times New Roman" w:cs="Times New Roman"/>
          <w:sz w:val="24"/>
          <w:szCs w:val="24"/>
        </w:rPr>
        <w:t>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data’s inability to discriminate between the null and alternative hypotheses (e.g.</w:t>
      </w:r>
      <w:r w:rsidR="00C67F0F">
        <w:rPr>
          <w:rFonts w:ascii="Times New Roman" w:hAnsi="Times New Roman" w:cs="Times New Roman"/>
          <w:sz w:val="24"/>
          <w:szCs w:val="24"/>
        </w:rPr>
        <w:t>,</w:t>
      </w:r>
      <w:r w:rsidR="00C67F0F" w:rsidRPr="005779CC">
        <w:rPr>
          <w:rFonts w:ascii="Times New Roman" w:hAnsi="Times New Roman" w:cs="Times New Roman"/>
          <w:sz w:val="24"/>
          <w:szCs w:val="24"/>
        </w:rPr>
        <w:t xml:space="preserve"> poor statistical power).</w:t>
      </w:r>
      <w:r w:rsidR="00C67F0F">
        <w:rPr>
          <w:rFonts w:ascii="Times New Roman" w:hAnsi="Times New Roman" w:cs="Times New Roman"/>
          <w:sz w:val="24"/>
          <w:szCs w:val="24"/>
        </w:rPr>
        <w:t xml:space="preserve"> This is because, when the null hypothesis is true, </w:t>
      </w:r>
      <w:r w:rsidR="00C67F0F">
        <w:rPr>
          <w:rFonts w:ascii="Times New Roman" w:hAnsi="Times New Roman" w:cs="Times New Roman"/>
          <w:i/>
          <w:sz w:val="24"/>
          <w:szCs w:val="24"/>
        </w:rPr>
        <w:t>p</w:t>
      </w:r>
      <w:r w:rsidR="00C67F0F">
        <w:rPr>
          <w:rFonts w:ascii="Times New Roman" w:hAnsi="Times New Roman" w:cs="Times New Roman"/>
          <w:sz w:val="24"/>
          <w:szCs w:val="24"/>
        </w:rPr>
        <w:t xml:space="preserve">-value is uniformly distributed between 0 and 1. We note also that NHST cannot provide evidence for the null because is not </w:t>
      </w:r>
      <w:r w:rsidR="00C67F0F" w:rsidRPr="00972553">
        <w:rPr>
          <w:rFonts w:ascii="Times New Roman" w:hAnsi="Times New Roman" w:cs="Times New Roman"/>
          <w:i/>
          <w:sz w:val="24"/>
          <w:szCs w:val="24"/>
        </w:rPr>
        <w:t>consistent</w:t>
      </w:r>
      <w:r w:rsidR="00C67F0F">
        <w:rPr>
          <w:rFonts w:ascii="Times New Roman" w:hAnsi="Times New Roman" w:cs="Times New Roman"/>
          <w:i/>
          <w:sz w:val="24"/>
          <w:szCs w:val="24"/>
        </w:rPr>
        <w:t>.</w:t>
      </w:r>
      <w:r w:rsidR="00C67F0F">
        <w:rPr>
          <w:rFonts w:ascii="Times New Roman" w:hAnsi="Times New Roman" w:cs="Times New Roman"/>
          <w:sz w:val="24"/>
          <w:szCs w:val="24"/>
        </w:rPr>
        <w:t xml:space="preserve"> Whereas a true effect measured with increasing power leads to p-values that tend towards zero, a null effect measured with increasing power does not give p-values tending towards 1.  Large-sample studies of null effects will still reject the null 5% of the time.</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w:t>
      </w:r>
      <w:r w:rsidR="001D3D05">
        <w:rPr>
          <w:rFonts w:ascii="Times New Roman" w:hAnsi="Times New Roman" w:cs="Times New Roman"/>
          <w:sz w:val="24"/>
          <w:szCs w:val="24"/>
        </w:rPr>
        <w:t>ever</w:t>
      </w:r>
      <w:r w:rsidR="006F455F">
        <w:rPr>
          <w:rFonts w:ascii="Times New Roman" w:hAnsi="Times New Roman" w:cs="Times New Roman"/>
          <w:sz w:val="24"/>
          <w:szCs w:val="24"/>
        </w:rPr>
        <w:t>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2"/>
      <w:r w:rsidRPr="005779CC">
        <w:rPr>
          <w:rFonts w:ascii="Times New Roman" w:hAnsi="Times New Roman" w:cs="Times New Roman"/>
          <w:sz w:val="24"/>
          <w:szCs w:val="24"/>
        </w:rPr>
        <w:t xml:space="preserve">example is pilot testing </w:t>
      </w:r>
      <w:commentRangeEnd w:id="2"/>
      <w:r>
        <w:rPr>
          <w:rStyle w:val="CommentReference"/>
        </w:rPr>
        <w:commentReference w:id="2"/>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w:t>
      </w:r>
      <w:r w:rsidR="00FE1C62">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researchers hope to </w:t>
      </w:r>
      <w:r w:rsidRPr="005779CC">
        <w:rPr>
          <w:rFonts w:ascii="Times New Roman" w:hAnsi="Times New Roman" w:cs="Times New Roman"/>
          <w:sz w:val="24"/>
          <w:szCs w:val="24"/>
        </w:rPr>
        <w:lastRenderedPageBreak/>
        <w:t xml:space="preserve">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 xml:space="preserve">examine the inferential challenges of matching stimuli and </w:t>
      </w:r>
      <w:r w:rsidR="001D3D05">
        <w:rPr>
          <w:rFonts w:ascii="Times New Roman" w:hAnsi="Times New Roman" w:cs="Times New Roman"/>
          <w:sz w:val="24"/>
          <w:szCs w:val="24"/>
        </w:rPr>
        <w:t xml:space="preserve">of </w:t>
      </w:r>
      <w:r>
        <w:rPr>
          <w:rFonts w:ascii="Times New Roman" w:hAnsi="Times New Roman" w:cs="Times New Roman"/>
          <w:sz w:val="24"/>
          <w:szCs w:val="24"/>
        </w:rPr>
        <w:t>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3"/>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3"/>
      <w:r w:rsidR="00CE13F5">
        <w:rPr>
          <w:rStyle w:val="CommentReference"/>
        </w:rPr>
        <w:commentReference w:id="3"/>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proofErr w:type="gramStart"/>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“a little evidence”</w:t>
      </w:r>
      <w:proofErr w:type="gramEnd"/>
      <w:r w:rsidR="00CE13F5">
        <w:rPr>
          <w:rFonts w:ascii="Times New Roman" w:hAnsi="Times New Roman" w:cs="Times New Roman"/>
          <w:sz w:val="24"/>
          <w:szCs w:val="24"/>
        </w:rPr>
        <w:t xml:space="preserv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1D3D05">
        <w:rPr>
          <w:rFonts w:ascii="Times New Roman" w:hAnsi="Times New Roman" w:cs="Times New Roman"/>
          <w:sz w:val="24"/>
          <w:szCs w:val="24"/>
        </w:rPr>
        <w:t>In the face of slight evidence, either the null is retained and the slight evidence mislabeled as “no evidence”, or the null is rejected and the effect size grossly overestimated.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 xml:space="preserve">Hoekstra, Morey, </w:t>
      </w:r>
      <w:proofErr w:type="spellStart"/>
      <w:r w:rsidR="00A94BAC">
        <w:rPr>
          <w:rFonts w:ascii="Times New Roman" w:hAnsi="Times New Roman" w:cs="Times New Roman"/>
          <w:sz w:val="24"/>
          <w:szCs w:val="24"/>
        </w:rPr>
        <w:t>Rouder</w:t>
      </w:r>
      <w:proofErr w:type="spellEnd"/>
      <w:r w:rsidR="00A94BAC">
        <w:rPr>
          <w:rFonts w:ascii="Times New Roman" w:hAnsi="Times New Roman" w:cs="Times New Roman"/>
          <w:sz w:val="24"/>
          <w:szCs w:val="24"/>
        </w:rPr>
        <w:t xml:space="preserve">, &amp; </w:t>
      </w:r>
      <w:proofErr w:type="spellStart"/>
      <w:r w:rsidR="00A94BAC">
        <w:rPr>
          <w:rFonts w:ascii="Times New Roman" w:hAnsi="Times New Roman" w:cs="Times New Roman"/>
          <w:sz w:val="24"/>
          <w:szCs w:val="24"/>
        </w:rPr>
        <w:t>Wagenmakers</w:t>
      </w:r>
      <w:proofErr w:type="spellEnd"/>
      <w:r w:rsidR="00A94BAC">
        <w:rPr>
          <w:rFonts w:ascii="Times New Roman" w:hAnsi="Times New Roman" w:cs="Times New Roman"/>
          <w:sz w:val="24"/>
          <w:szCs w:val="24"/>
        </w:rPr>
        <w:t>,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model comparison as the ideal approach when studying and testing invariances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w:t>
      </w:r>
      <w:r w:rsidR="00AF6639">
        <w:rPr>
          <w:rFonts w:ascii="Times New Roman" w:hAnsi="Times New Roman" w:cs="Times New Roman"/>
          <w:sz w:val="24"/>
          <w:szCs w:val="24"/>
        </w:rPr>
        <w:lastRenderedPageBreak/>
        <w:t xml:space="preserve">probability of the data given the alternative against the probability of the data given the null. </w:t>
      </w:r>
      <w:r w:rsidR="00A94BAC">
        <w:rPr>
          <w:rFonts w:ascii="Times New Roman" w:hAnsi="Times New Roman" w:cs="Times New Roman"/>
          <w:sz w:val="24"/>
          <w:szCs w:val="24"/>
        </w:rPr>
        <w:t>When the effect size is near zero, the data are more probable given the null hypothesis than they are given the alternative hypothesis. As the effect size moves away from zero, the data are less probable given the null and more probable given the alternative hypothesis.  Increasing sample size yields a more precise estimate of the effect size, exaggerating the difference in probabilities between the two hypotheses.</w:t>
      </w:r>
    </w:p>
    <w:p w:rsidR="00FE1C62" w:rsidRPr="008C7FDC" w:rsidRDefault="00FE1C62" w:rsidP="008C7FD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Pr</w:t>
      </w:r>
      <w:proofErr w:type="spellEnd"/>
      <w:r>
        <w:rPr>
          <w:rFonts w:ascii="Times New Roman" w:hAnsi="Times New Roman" w:cs="Times New Roman"/>
          <w:sz w:val="24"/>
          <w:szCs w:val="24"/>
        </w:rPr>
        <w:t>(</w:t>
      </w:r>
      <w:proofErr w:type="gramEnd"/>
      <w:r w:rsidR="007E3D00">
        <w:rPr>
          <w:rFonts w:ascii="Times New Roman" w:hAnsi="Times New Roman" w:cs="Times New Roman"/>
          <w:sz w:val="24"/>
          <w:szCs w:val="24"/>
        </w:rPr>
        <w:t>H</w:t>
      </w:r>
      <w:r w:rsidR="007E3D00">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w:t>
      </w:r>
      <w:proofErr w:type="spellStart"/>
      <w:r w:rsidR="007E3D00">
        <w:rPr>
          <w:rFonts w:ascii="Times New Roman" w:hAnsi="Times New Roman" w:cs="Times New Roman"/>
          <w:sz w:val="24"/>
          <w:szCs w:val="24"/>
        </w:rPr>
        <w:t>Pr</w:t>
      </w:r>
      <w:proofErr w:type="spellEnd"/>
      <w:r w:rsidR="007E3D00">
        <w:rPr>
          <w:rFonts w:ascii="Times New Roman" w:hAnsi="Times New Roman" w:cs="Times New Roman"/>
          <w:sz w:val="24"/>
          <w:szCs w:val="24"/>
        </w:rPr>
        <w:t>(H</w:t>
      </w:r>
      <w:r w:rsidR="007E3D00">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w:t>
      </w:r>
      <w:proofErr w:type="spellStart"/>
      <w:r w:rsidR="007E3D00">
        <w:rPr>
          <w:rFonts w:ascii="Times New Roman" w:hAnsi="Times New Roman" w:cs="Times New Roman"/>
          <w:sz w:val="24"/>
          <w:szCs w:val="24"/>
        </w:rPr>
        <w:t>Pr</w:t>
      </w:r>
      <w:proofErr w:type="spellEnd"/>
      <w:r w:rsidR="007E3D00">
        <w:rPr>
          <w:rFonts w:ascii="Times New Roman" w:hAnsi="Times New Roman" w:cs="Times New Roman"/>
          <w:sz w:val="24"/>
          <w:szCs w:val="24"/>
        </w:rPr>
        <w:t xml:space="preserve">(Data | </w:t>
      </w:r>
      <w:r w:rsidR="008C7FDC">
        <w:rPr>
          <w:rFonts w:ascii="Times New Roman" w:hAnsi="Times New Roman" w:cs="Times New Roman"/>
          <w:sz w:val="24"/>
          <w:szCs w:val="24"/>
        </w:rPr>
        <w:t>H</w:t>
      </w:r>
      <w:r w:rsidR="008C7FDC">
        <w:rPr>
          <w:rFonts w:ascii="Times New Roman" w:hAnsi="Times New Roman" w:cs="Times New Roman"/>
          <w:sz w:val="24"/>
          <w:szCs w:val="24"/>
          <w:vertAlign w:val="subscript"/>
        </w:rPr>
        <w:t>1</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(Data | H</w:t>
      </w:r>
      <w:r w:rsidR="008C7FDC">
        <w:rPr>
          <w:rFonts w:ascii="Times New Roman" w:hAnsi="Times New Roman" w:cs="Times New Roman"/>
          <w:sz w:val="24"/>
          <w:szCs w:val="24"/>
          <w:vertAlign w:val="subscript"/>
        </w:rPr>
        <w:t>0</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(H</w:t>
      </w:r>
      <w:r w:rsidR="008C7FDC">
        <w:rPr>
          <w:rFonts w:ascii="Times New Roman" w:hAnsi="Times New Roman" w:cs="Times New Roman"/>
          <w:sz w:val="24"/>
          <w:szCs w:val="24"/>
          <w:vertAlign w:val="subscript"/>
        </w:rPr>
        <w:t>1</w:t>
      </w:r>
      <w:r w:rsidR="008C7FDC">
        <w:rPr>
          <w:rFonts w:ascii="Times New Roman" w:hAnsi="Times New Roman" w:cs="Times New Roman"/>
          <w:sz w:val="24"/>
          <w:szCs w:val="24"/>
        </w:rPr>
        <w:t xml:space="preserve">) / </w:t>
      </w:r>
      <w:proofErr w:type="spellStart"/>
      <w:r w:rsidR="008C7FDC">
        <w:rPr>
          <w:rFonts w:ascii="Times New Roman" w:hAnsi="Times New Roman" w:cs="Times New Roman"/>
          <w:sz w:val="24"/>
          <w:szCs w:val="24"/>
        </w:rPr>
        <w:t>Pr</w:t>
      </w:r>
      <w:proofErr w:type="spellEnd"/>
      <w:r w:rsidR="008C7FDC">
        <w:rPr>
          <w:rFonts w:ascii="Times New Roman" w:hAnsi="Times New Roman" w:cs="Times New Roman"/>
          <w:sz w:val="24"/>
          <w:szCs w:val="24"/>
        </w:rPr>
        <w:t xml:space="preserve"> (H</w:t>
      </w:r>
      <w:r w:rsidR="008C7FDC">
        <w:rPr>
          <w:rFonts w:ascii="Times New Roman" w:hAnsi="Times New Roman" w:cs="Times New Roman"/>
          <w:sz w:val="24"/>
          <w:szCs w:val="24"/>
          <w:vertAlign w:val="subscript"/>
        </w:rPr>
        <w:t>0</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Bayes Facto</w:t>
      </w:r>
      <w:r w:rsidR="008D35A1">
        <w:rPr>
          <w:rFonts w:ascii="Times New Roman" w:hAnsi="Times New Roman" w:cs="Times New Roman"/>
          <w:sz w:val="24"/>
          <w:szCs w:val="24"/>
        </w:rPr>
        <w:t>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8D35A1">
        <w:rPr>
          <w:rFonts w:ascii="Times New Roman" w:hAnsi="Times New Roman" w:cs="Times New Roman"/>
          <w:sz w:val="24"/>
          <w:szCs w:val="24"/>
        </w:rPr>
        <w:t xml:space="preserve">The Bayes Factor is in continuous odds units ranging from 0 (indicating perfect evidence for one hypothesis) to infinity (indicating perfect evidence for the other hypothesis). A Bayes Factor of or near 1 indicates that the evidence are inconclusive, and that either hypothesis predicts the data equally well. </w:t>
      </w:r>
      <w:r w:rsidR="00083100">
        <w:rPr>
          <w:rFonts w:ascii="Times New Roman" w:hAnsi="Times New Roman" w:cs="Times New Roman"/>
          <w:sz w:val="24"/>
          <w:szCs w:val="24"/>
        </w:rPr>
        <w:t>Since the emphasis of this manuscript is on providing evidence for the null, we will refer throughout this manuscript to the Bayes Factor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Theorem simply takes the prior beliefs and multiplies them by the Bayes Factor. For example, if the null and alternative hypotheses seem equally probable (1:1 odds), and the Bayes Factor is 3:1 in favor of the null hypothesis, then the null hypothesis is now favored with 3:1 odds. If the null hypothesis seems, a priori, highly probable (say, 10:1 odds), and the Bayes Factor is 2:1 in favor of the null, then the null hypothesis is now given 20:1 odds. When the data are incapable of discriminating the null from the alternative, the Bayes Factor is 1, and the posterior odds are equal to the prior odds – the data have not changed our beliefs. </w:t>
      </w:r>
      <w:r w:rsidR="006B0D25">
        <w:rPr>
          <w:rFonts w:ascii="Times New Roman" w:hAnsi="Times New Roman" w:cs="Times New Roman"/>
          <w:sz w:val="24"/>
          <w:szCs w:val="24"/>
        </w:rPr>
        <w:t xml:space="preserve">Compare this to 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preventing 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constitutes evidence for or against a particular hypothesis</w:t>
      </w:r>
      <w:r w:rsidR="006A5469">
        <w:rPr>
          <w:rFonts w:ascii="Times New Roman" w:hAnsi="Times New Roman" w:cs="Times New Roman"/>
          <w:sz w:val="24"/>
          <w:szCs w:val="24"/>
        </w:rPr>
        <w:t>, and if so, how much evidence it provides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do this, one specifies a hypothetical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sidR="008D35A1">
        <w:rPr>
          <w:rFonts w:ascii="Times New Roman" w:hAnsi="Times New Roman" w:cs="Times New Roman"/>
          <w:sz w:val="24"/>
          <w:szCs w:val="24"/>
        </w:rPr>
        <w:t xml:space="preserve">One may even specify and compare several </w:t>
      </w:r>
      <w:r w:rsidR="008D35A1">
        <w:rPr>
          <w:rFonts w:ascii="Times New Roman" w:hAnsi="Times New Roman" w:cs="Times New Roman"/>
          <w:sz w:val="24"/>
          <w:szCs w:val="24"/>
        </w:rPr>
        <w:lastRenderedPageBreak/>
        <w:t>alternative hypotheses. For example,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like an alarming prospect,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Morey,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&amp; Province, 2012;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which include the R package “</w:t>
      </w:r>
      <w:proofErr w:type="spellStart"/>
      <w:r w:rsidR="005C3772">
        <w:rPr>
          <w:rFonts w:ascii="Times New Roman" w:hAnsi="Times New Roman" w:cs="Times New Roman"/>
          <w:sz w:val="24"/>
          <w:szCs w:val="24"/>
        </w:rPr>
        <w:t>BayesFactor</w:t>
      </w:r>
      <w:proofErr w:type="spellEnd"/>
      <w:r w:rsidR="005C3772">
        <w:rPr>
          <w:rFonts w:ascii="Times New Roman" w:hAnsi="Times New Roman" w:cs="Times New Roman"/>
          <w:sz w:val="24"/>
          <w:szCs w:val="24"/>
        </w:rPr>
        <w:t xml:space="preserve">” (Morey, </w:t>
      </w:r>
      <w:proofErr w:type="spellStart"/>
      <w:r w:rsidR="005C3772">
        <w:rPr>
          <w:rFonts w:ascii="Times New Roman" w:hAnsi="Times New Roman" w:cs="Times New Roman"/>
          <w:sz w:val="24"/>
          <w:szCs w:val="24"/>
        </w:rPr>
        <w:t>Rouder</w:t>
      </w:r>
      <w:proofErr w:type="spellEnd"/>
      <w:r w:rsidR="005C3772">
        <w:rPr>
          <w:rFonts w:ascii="Times New Roman" w:hAnsi="Times New Roman" w:cs="Times New Roman"/>
          <w:sz w:val="24"/>
          <w:szCs w:val="24"/>
        </w:rPr>
        <w:t xml:space="preserve">, &amp; Jamil, 2014) as well as online calculators for t-tests and multiple </w:t>
      </w:r>
      <w:proofErr w:type="gramStart"/>
      <w:r w:rsidR="005C3772">
        <w:rPr>
          <w:rFonts w:ascii="Times New Roman" w:hAnsi="Times New Roman" w:cs="Times New Roman"/>
          <w:sz w:val="24"/>
          <w:szCs w:val="24"/>
        </w:rPr>
        <w:t>regression</w:t>
      </w:r>
      <w:proofErr w:type="gramEnd"/>
      <w:r w:rsidR="005C3772">
        <w:rPr>
          <w:rFonts w:ascii="Times New Roman" w:hAnsi="Times New Roman" w:cs="Times New Roman"/>
          <w:sz w:val="24"/>
          <w:szCs w:val="24"/>
        </w:rPr>
        <w:t xml:space="preserve">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 xml:space="preserve">an alternative hypothesis modeling the effect as a normal distribution with a non-zero mean, for example, δ ~ N(mean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lastRenderedPageBreak/>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proofErr w:type="spellStart"/>
      <w:r w:rsidR="003746FF" w:rsidRPr="005779CC">
        <w:rPr>
          <w:rFonts w:ascii="Times New Roman" w:hAnsi="Times New Roman" w:cs="Times New Roman"/>
          <w:i/>
          <w:sz w:val="24"/>
          <w:szCs w:val="24"/>
        </w:rPr>
        <w:t>p</w:t>
      </w:r>
      <w:proofErr w:type="spellEnd"/>
      <w:r w:rsidR="003746FF" w:rsidRPr="005779CC">
        <w:rPr>
          <w:rFonts w:ascii="Times New Roman" w:hAnsi="Times New Roman" w:cs="Times New Roman"/>
          <w:i/>
          <w:sz w:val="24"/>
          <w:szCs w:val="24"/>
        </w:rPr>
        <w:t xml:space="preserve"> </w:t>
      </w:r>
      <w:r w:rsidR="003746FF" w:rsidRPr="005779CC">
        <w:rPr>
          <w:rFonts w:ascii="Times New Roman" w:hAnsi="Times New Roman" w:cs="Times New Roman"/>
          <w:sz w:val="24"/>
          <w:szCs w:val="24"/>
        </w:rPr>
        <w:t xml:space="preserve">to .0036 (Arriaga,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Indeed, pilot tests using NHST in this way are constructed so that the researcher is on the wrong side of the null hypothesis.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w:t>
      </w:r>
      <w:r w:rsidR="00A20F43">
        <w:rPr>
          <w:rFonts w:ascii="Times New Roman" w:hAnsi="Times New Roman" w:cs="Times New Roman"/>
          <w:sz w:val="24"/>
          <w:szCs w:val="24"/>
        </w:rPr>
        <w:t xml:space="preserve">misapplication of </w:t>
      </w:r>
      <w:r w:rsidRPr="005779CC">
        <w:rPr>
          <w:rFonts w:ascii="Times New Roman" w:hAnsi="Times New Roman" w:cs="Times New Roman"/>
          <w:sz w:val="24"/>
          <w:szCs w:val="24"/>
        </w:rPr>
        <w:t xml:space="preserve">statistical procedure, 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4"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xml:space="preserve">: δ ~ </w:t>
      </w:r>
      <w:proofErr w:type="gramStart"/>
      <w:r w:rsidR="00263380">
        <w:rPr>
          <w:rFonts w:ascii="Times New Roman" w:hAnsi="Times New Roman" w:cs="Times New Roman"/>
          <w:sz w:val="24"/>
          <w:szCs w:val="24"/>
        </w:rPr>
        <w:t>Cauchy(</w:t>
      </w:r>
      <w:proofErr w:type="gramEnd"/>
      <w:r w:rsidR="00263380">
        <w:rPr>
          <w:rFonts w:ascii="Times New Roman" w:hAnsi="Times New Roman" w:cs="Times New Roman"/>
          <w:sz w:val="24"/>
          <w:szCs w:val="24"/>
        </w:rPr>
        <w:t>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w:t>
      </w:r>
      <w:proofErr w:type="gramStart"/>
      <w:r w:rsidR="00263380">
        <w:rPr>
          <w:rFonts w:ascii="Times New Roman" w:hAnsi="Times New Roman" w:cs="Times New Roman"/>
          <w:sz w:val="24"/>
          <w:szCs w:val="24"/>
        </w:rPr>
        <w:t>Uniform(</w:t>
      </w:r>
      <w:proofErr w:type="gramEnd"/>
      <w:r w:rsidR="00263380">
        <w:rPr>
          <w:rFonts w:ascii="Times New Roman" w:hAnsi="Times New Roman" w:cs="Times New Roman"/>
          <w:sz w:val="24"/>
          <w:szCs w:val="24"/>
        </w:rPr>
        <w:t xml:space="preserve">-.1, .1), see the </w:t>
      </w:r>
      <w:proofErr w:type="spellStart"/>
      <w:r w:rsidR="00263380" w:rsidRPr="00DF057E">
        <w:rPr>
          <w:rFonts w:ascii="Courier New" w:hAnsi="Courier New" w:cs="Courier New"/>
          <w:sz w:val="24"/>
          <w:szCs w:val="24"/>
        </w:rPr>
        <w:t>nullInterval</w:t>
      </w:r>
      <w:proofErr w:type="spellEnd"/>
      <w:r w:rsidR="00263380">
        <w:rPr>
          <w:rFonts w:ascii="Times New Roman" w:hAnsi="Times New Roman" w:cs="Times New Roman"/>
          <w:sz w:val="24"/>
          <w:szCs w:val="24"/>
        </w:rPr>
        <w:t xml:space="preserve"> argument for the </w:t>
      </w:r>
      <w:proofErr w:type="spellStart"/>
      <w:r w:rsidR="00263380" w:rsidRPr="00DF057E">
        <w:rPr>
          <w:rFonts w:ascii="Courier New" w:hAnsi="Courier New" w:cs="Courier New"/>
          <w:sz w:val="24"/>
          <w:szCs w:val="24"/>
        </w:rPr>
        <w:t>ttestBF</w:t>
      </w:r>
      <w:proofErr w:type="spellEnd"/>
      <w:r w:rsidR="00263380">
        <w:rPr>
          <w:rFonts w:ascii="Times New Roman" w:hAnsi="Times New Roman" w:cs="Times New Roman"/>
          <w:sz w:val="24"/>
          <w:szCs w:val="24"/>
        </w:rPr>
        <w:t xml:space="preserve"> function in the </w:t>
      </w:r>
      <w:proofErr w:type="spellStart"/>
      <w:r w:rsidR="00263380">
        <w:rPr>
          <w:rFonts w:ascii="Times New Roman" w:hAnsi="Times New Roman" w:cs="Times New Roman"/>
          <w:sz w:val="24"/>
          <w:szCs w:val="24"/>
        </w:rPr>
        <w:t>BayesFactor</w:t>
      </w:r>
      <w:proofErr w:type="spellEnd"/>
      <w:r w:rsidR="00263380">
        <w:rPr>
          <w:rFonts w:ascii="Times New Roman" w:hAnsi="Times New Roman" w:cs="Times New Roman"/>
          <w:sz w:val="24"/>
          <w:szCs w:val="24"/>
        </w:rPr>
        <w:t xml:space="preserve">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 xml:space="preserve">of the data given </w:t>
      </w:r>
      <w:r w:rsidR="00B24D5F">
        <w:rPr>
          <w:rFonts w:ascii="Times New Roman" w:hAnsi="Times New Roman" w:cs="Times New Roman"/>
          <w:sz w:val="24"/>
          <w:szCs w:val="24"/>
        </w:rPr>
        <w:lastRenderedPageBreak/>
        <w:t>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Because Bayes Factors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w:t>
      </w:r>
      <w:r w:rsidR="00DF057E">
        <w:rPr>
          <w:rFonts w:ascii="Times New Roman" w:hAnsi="Times New Roman" w:cs="Times New Roman"/>
          <w:sz w:val="24"/>
          <w:szCs w:val="24"/>
        </w:rPr>
        <w:t xml:space="preserve">Recall that posterior beliefs are the product of prior beliefs and the Bayes Factor.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proofErr w:type="spellEnd"/>
      <w:r w:rsidR="006A0394" w:rsidRPr="005779CC">
        <w:rPr>
          <w:rFonts w:ascii="Times New Roman" w:hAnsi="Times New Roman" w:cs="Times New Roman"/>
          <w:sz w:val="24"/>
          <w:szCs w:val="24"/>
        </w:rPr>
        <w:t xml:space="preserve">.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proofErr w:type="spellStart"/>
      <w:r w:rsidR="00F940E1">
        <w:rPr>
          <w:rFonts w:ascii="Times New Roman" w:hAnsi="Times New Roman" w:cs="Times New Roman"/>
          <w:sz w:val="24"/>
          <w:szCs w:val="24"/>
        </w:rPr>
        <w:t>Rouder</w:t>
      </w:r>
      <w:proofErr w:type="spellEnd"/>
      <w:r w:rsidR="00F940E1">
        <w:rPr>
          <w:rFonts w:ascii="Times New Roman" w:hAnsi="Times New Roman" w:cs="Times New Roman"/>
          <w:sz w:val="24"/>
          <w:szCs w:val="24"/>
        </w:rPr>
        <w:t xml:space="preserve">, Morey, and </w:t>
      </w:r>
      <w:proofErr w:type="spellStart"/>
      <w:r w:rsidR="00F940E1">
        <w:rPr>
          <w:rFonts w:ascii="Times New Roman" w:hAnsi="Times New Roman" w:cs="Times New Roman"/>
          <w:sz w:val="24"/>
          <w:szCs w:val="24"/>
        </w:rPr>
        <w:t>Wagenmakers</w:t>
      </w:r>
      <w:proofErr w:type="spellEnd"/>
      <w:r w:rsidR="00F940E1">
        <w:rPr>
          <w:rFonts w:ascii="Times New Roman" w:hAnsi="Times New Roman" w:cs="Times New Roman"/>
          <w:sz w:val="24"/>
          <w:szCs w:val="24"/>
        </w:rPr>
        <w:t xml:space="preserve"> (submitted)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Pr="00F940E1">
        <w:rPr>
          <w:rFonts w:ascii="Times New Roman" w:hAnsi="Times New Roman" w:cs="Times New Roman"/>
          <w:sz w:val="24"/>
          <w:szCs w:val="24"/>
        </w:rPr>
        <w:t>agree a Bayes factor of say 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We use the </w:t>
      </w:r>
      <w:proofErr w:type="spellStart"/>
      <w:r w:rsidR="00EF47B4">
        <w:rPr>
          <w:rFonts w:ascii="Times New Roman" w:hAnsi="Times New Roman" w:cs="Times New Roman"/>
          <w:sz w:val="24"/>
          <w:szCs w:val="24"/>
        </w:rPr>
        <w:t>ttestBF</w:t>
      </w:r>
      <w:proofErr w:type="spellEnd"/>
      <w:r w:rsidR="00EF47B4">
        <w:rPr>
          <w:rFonts w:ascii="Times New Roman" w:hAnsi="Times New Roman" w:cs="Times New Roman"/>
          <w:sz w:val="24"/>
          <w:szCs w:val="24"/>
        </w:rPr>
        <w:t xml:space="preserve"> function in the </w:t>
      </w:r>
      <w:proofErr w:type="spellStart"/>
      <w:r w:rsidR="00EF47B4">
        <w:rPr>
          <w:rFonts w:ascii="Times New Roman" w:hAnsi="Times New Roman" w:cs="Times New Roman"/>
          <w:sz w:val="24"/>
          <w:szCs w:val="24"/>
        </w:rPr>
        <w:t>BayesFactor</w:t>
      </w:r>
      <w:proofErr w:type="spellEnd"/>
      <w:r w:rsidR="00EF47B4">
        <w:rPr>
          <w:rFonts w:ascii="Times New Roman" w:hAnsi="Times New Roman" w:cs="Times New Roman"/>
          <w:sz w:val="24"/>
          <w:szCs w:val="24"/>
        </w:rPr>
        <w:t xml:space="preserve">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Pr>
          <w:rFonts w:ascii="Times New Roman" w:hAnsi="Times New Roman" w:cs="Times New Roman"/>
          <w:sz w:val="24"/>
          <w:szCs w:val="24"/>
        </w:rPr>
        <w:t>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w:t>
      </w:r>
      <w:proofErr w:type="gramStart"/>
      <w:r w:rsidR="003653F9">
        <w:rPr>
          <w:rFonts w:ascii="Times New Roman" w:hAnsi="Times New Roman" w:cs="Times New Roman"/>
          <w:sz w:val="24"/>
          <w:szCs w:val="24"/>
        </w:rPr>
        <w:t>Cauchy(</w:t>
      </w:r>
      <w:proofErr w:type="gramEnd"/>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w:t>
      </w:r>
      <w:r w:rsidR="008A5CDD">
        <w:rPr>
          <w:rFonts w:ascii="Times New Roman" w:hAnsi="Times New Roman" w:cs="Times New Roman"/>
          <w:sz w:val="24"/>
          <w:szCs w:val="24"/>
        </w:rPr>
        <w:lastRenderedPageBreak/>
        <w:t xml:space="preserve">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xml:space="preserve">= .21), so confounds should be controlled for on a similarly small scale. Increasing this scale variable will increase evidence for the null, while decreasing this scale variable will decrease the evidence for the null, as it is easy to demonstrate that there are not large effects, but difficult to demonstrate that there are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 xml:space="preserve">. Bayes Factors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proofErr w:type="spellStart"/>
      <w:r w:rsidR="006A3CB6">
        <w:rPr>
          <w:rFonts w:ascii="Times New Roman" w:hAnsi="Times New Roman" w:cs="Times New Roman"/>
          <w:sz w:val="24"/>
          <w:szCs w:val="24"/>
        </w:rPr>
        <w:t>nonsignificant</w:t>
      </w:r>
      <w:proofErr w:type="spellEnd"/>
      <w:r w:rsidR="006A3CB6">
        <w:rPr>
          <w:rFonts w:ascii="Times New Roman" w:hAnsi="Times New Roman" w:cs="Times New Roman"/>
          <w:sz w:val="24"/>
          <w:szCs w:val="24"/>
        </w:rPr>
        <w:t xml:space="preserve">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Bayes Factors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All the other comparisons are largely uninformative, as might be expected of the very small sample size. The largest of these </w:t>
      </w:r>
      <w:r w:rsidR="00CA670B">
        <w:rPr>
          <w:rFonts w:ascii="Times New Roman" w:hAnsi="Times New Roman" w:cs="Times New Roman"/>
          <w:sz w:val="24"/>
          <w:szCs w:val="24"/>
        </w:rPr>
        <w:t>is BF</w:t>
      </w:r>
      <w:r w:rsidR="00CA670B">
        <w:rPr>
          <w:rFonts w:ascii="Times New Roman" w:hAnsi="Times New Roman" w:cs="Times New Roman"/>
          <w:sz w:val="24"/>
          <w:szCs w:val="24"/>
          <w:vertAlign w:val="subscript"/>
        </w:rPr>
        <w:t>01</w:t>
      </w:r>
      <w:r w:rsidR="00CA670B">
        <w:rPr>
          <w:rFonts w:ascii="Times New Roman" w:hAnsi="Times New Roman" w:cs="Times New Roman"/>
          <w:sz w:val="24"/>
          <w:szCs w:val="24"/>
        </w:rPr>
        <w:t xml:space="preserve"> = 2.55</w:t>
      </w:r>
      <w:r w:rsidR="009E2D20">
        <w:rPr>
          <w:rFonts w:ascii="Times New Roman" w:hAnsi="Times New Roman" w:cs="Times New Roman"/>
          <w:sz w:val="24"/>
          <w:szCs w:val="24"/>
        </w:rPr>
        <w:t>, which is not particularly strong evidence</w:t>
      </w:r>
      <w:r w:rsidR="004B77BD">
        <w:rPr>
          <w:rFonts w:ascii="Times New Roman" w:hAnsi="Times New Roman" w:cs="Times New Roman"/>
          <w:sz w:val="24"/>
          <w:szCs w:val="24"/>
        </w:rPr>
        <w:t xml:space="preserv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CA670B">
        <w:rPr>
          <w:rFonts w:ascii="Times New Roman" w:hAnsi="Times New Roman" w:cs="Times New Roman"/>
          <w:sz w:val="24"/>
          <w:szCs w:val="24"/>
        </w:rPr>
        <w:t xml:space="preserve"> Even large effect sizes and modest amounts of evidence can result in </w:t>
      </w:r>
      <w:proofErr w:type="spellStart"/>
      <w:r w:rsidR="00CA670B">
        <w:rPr>
          <w:rFonts w:ascii="Times New Roman" w:hAnsi="Times New Roman" w:cs="Times New Roman"/>
          <w:sz w:val="24"/>
          <w:szCs w:val="24"/>
        </w:rPr>
        <w:t>nonsignificant</w:t>
      </w:r>
      <w:proofErr w:type="spellEnd"/>
      <w:r w:rsidR="00CA670B">
        <w:rPr>
          <w:rFonts w:ascii="Times New Roman" w:hAnsi="Times New Roman" w:cs="Times New Roman"/>
          <w:sz w:val="24"/>
          <w:szCs w:val="24"/>
        </w:rPr>
        <w:t xml:space="preserve"> p-values.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w:t>
      </w:r>
      <w:r w:rsidR="00F81424">
        <w:rPr>
          <w:rFonts w:ascii="Times New Roman" w:hAnsi="Times New Roman" w:cs="Times New Roman"/>
          <w:color w:val="FF0000"/>
          <w:sz w:val="24"/>
          <w:szCs w:val="24"/>
        </w:rPr>
        <w:t>07</w:t>
      </w:r>
      <w:r w:rsidR="004D76FB" w:rsidRPr="004D76FB">
        <w:rPr>
          <w:rFonts w:ascii="Times New Roman" w:hAnsi="Times New Roman" w:cs="Times New Roman"/>
          <w:color w:val="FF0000"/>
          <w:sz w:val="24"/>
          <w:szCs w:val="24"/>
        </w:rPr>
        <w:t xml:space="preserve">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could be presented as “not statistically significant”. </w:t>
      </w:r>
      <w:r w:rsidR="00E70223">
        <w:rPr>
          <w:rFonts w:ascii="Times New Roman" w:hAnsi="Times New Roman" w:cs="Times New Roman"/>
          <w:sz w:val="24"/>
          <w:szCs w:val="24"/>
        </w:rPr>
        <w:t xml:space="preserve">Despite the inferential flaws of this approach, such pilot testing has been used in meta-analysis as a criterion separating “best-practices” from “not best-practices” research (Anderson et al., 2010).  Indeed, the study by Arriaga et al. (2008), described above, was included as a best-practices study despite evidence that the games differed in feelings of </w:t>
      </w:r>
      <w:r w:rsidR="00E70223">
        <w:rPr>
          <w:rFonts w:ascii="Times New Roman" w:hAnsi="Times New Roman" w:cs="Times New Roman"/>
          <w:sz w:val="24"/>
          <w:szCs w:val="24"/>
        </w:rPr>
        <w:lastRenderedPageBreak/>
        <w:t>competence and difficulty, confounds which can cause aggressive outcomes (</w:t>
      </w:r>
      <w:proofErr w:type="spellStart"/>
      <w:r w:rsidR="00E70223">
        <w:rPr>
          <w:rFonts w:ascii="Times New Roman" w:hAnsi="Times New Roman" w:cs="Times New Roman"/>
          <w:sz w:val="24"/>
          <w:szCs w:val="24"/>
        </w:rPr>
        <w:t>Przybylski</w:t>
      </w:r>
      <w:proofErr w:type="spellEnd"/>
      <w:r w:rsidR="00E70223">
        <w:rPr>
          <w:rFonts w:ascii="Times New Roman" w:hAnsi="Times New Roman" w:cs="Times New Roman"/>
          <w:sz w:val="24"/>
          <w:szCs w:val="24"/>
        </w:rPr>
        <w:t xml:space="preserve"> et al., </w:t>
      </w:r>
      <w:commentRangeStart w:id="5"/>
      <w:r w:rsidR="00E70223">
        <w:rPr>
          <w:rFonts w:ascii="Times New Roman" w:hAnsi="Times New Roman" w:cs="Times New Roman"/>
          <w:sz w:val="24"/>
          <w:szCs w:val="24"/>
        </w:rPr>
        <w:t>2014</w:t>
      </w:r>
      <w:commentRangeEnd w:id="5"/>
      <w:r w:rsidR="00E70223">
        <w:rPr>
          <w:rStyle w:val="CommentReference"/>
        </w:rPr>
        <w:commentReference w:id="5"/>
      </w:r>
      <w:r w:rsidR="00E70223">
        <w:rPr>
          <w:rFonts w:ascii="Times New Roman" w:hAnsi="Times New Roman" w:cs="Times New Roman"/>
          <w:sz w:val="24"/>
          <w:szCs w:val="24"/>
        </w:rPr>
        <w:t>).</w:t>
      </w:r>
    </w:p>
    <w:p w:rsidR="00731A00" w:rsidRPr="00E30D8F" w:rsidRDefault="00731A00" w:rsidP="00E70223">
      <w:pPr>
        <w:ind w:firstLine="720"/>
        <w:rPr>
          <w:rFonts w:ascii="Times New Roman" w:hAnsi="Times New Roman" w:cs="Times New Roman"/>
          <w:sz w:val="24"/>
          <w:szCs w:val="24"/>
        </w:rPr>
      </w:pPr>
      <w:r>
        <w:rPr>
          <w:rFonts w:ascii="Times New Roman" w:hAnsi="Times New Roman" w:cs="Times New Roman"/>
          <w:sz w:val="24"/>
          <w:szCs w:val="24"/>
        </w:rPr>
        <w:t xml:space="preserve">We instead advocate the use of Bayesian statistics. Evidence thus collected can favor the null hypothesis of no difference, an alternative hypothesis of </w:t>
      </w:r>
      <w:proofErr w:type="gramStart"/>
      <w:r>
        <w:rPr>
          <w:rFonts w:ascii="Times New Roman" w:hAnsi="Times New Roman" w:cs="Times New Roman"/>
          <w:sz w:val="24"/>
          <w:szCs w:val="24"/>
        </w:rPr>
        <w:t>a confound</w:t>
      </w:r>
      <w:proofErr w:type="gramEnd"/>
      <w:r>
        <w:rPr>
          <w:rFonts w:ascii="Times New Roman" w:hAnsi="Times New Roman" w:cs="Times New Roman"/>
          <w:sz w:val="24"/>
          <w:szCs w:val="24"/>
        </w:rPr>
        <w:t>, or indicate an absence of evidence for either hypothesis. Researchers are rewarded for more thorough pilot testing by larger Bayes factors for the correct inference.</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r w:rsidR="00E70223">
        <w:rPr>
          <w:rFonts w:ascii="Times New Roman" w:hAnsi="Times New Roman" w:cs="Times New Roman"/>
          <w:sz w:val="24"/>
          <w:szCs w:val="24"/>
        </w:rPr>
        <w:t xml:space="preserve"> Bayesian analysis is needed to demonstrate that the null hypothesis better predicts the effect of Factor B than does a reasonable alternative hypothesis.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Pr>
          <w:rFonts w:ascii="Times New Roman" w:hAnsi="Times New Roman" w:cs="Times New Roman"/>
          <w:sz w:val="24"/>
          <w:szCs w:val="24"/>
        </w:rPr>
        <w:t>refutations have been small.</w:t>
      </w:r>
      <w:commentRangeStart w:id="6"/>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77, and N = 100, respectively</w:t>
      </w:r>
      <w:r w:rsidR="0029362F" w:rsidRPr="005779CC">
        <w:rPr>
          <w:rFonts w:ascii="Times New Roman" w:hAnsi="Times New Roman" w:cs="Times New Roman"/>
          <w:sz w:val="24"/>
          <w:szCs w:val="24"/>
        </w:rPr>
        <w:t xml:space="preserve">. </w:t>
      </w:r>
      <w:proofErr w:type="spellStart"/>
      <w:r w:rsidR="00827E74">
        <w:rPr>
          <w:rFonts w:ascii="Times New Roman" w:hAnsi="Times New Roman" w:cs="Times New Roman"/>
          <w:sz w:val="24"/>
          <w:szCs w:val="24"/>
        </w:rPr>
        <w:t>Przybylski</w:t>
      </w:r>
      <w:proofErr w:type="spellEnd"/>
      <w:r w:rsidR="00827E74">
        <w:rPr>
          <w:rFonts w:ascii="Times New Roman" w:hAnsi="Times New Roman" w:cs="Times New Roman"/>
          <w:sz w:val="24"/>
          <w:szCs w:val="24"/>
        </w:rPr>
        <w:t xml:space="preserve"> et al. (2014, Study 1 and 2) perform two experiments with N = 100. </w:t>
      </w:r>
      <w:r w:rsidR="0029362F" w:rsidRPr="005779CC">
        <w:rPr>
          <w:rFonts w:ascii="Times New Roman" w:hAnsi="Times New Roman" w:cs="Times New Roman"/>
          <w:sz w:val="24"/>
          <w:szCs w:val="24"/>
        </w:rPr>
        <w:t>Another study is reported by Elson et al. (2014) with a sample size of 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commentRangeEnd w:id="6"/>
      <w:r w:rsidR="00970001">
        <w:rPr>
          <w:rStyle w:val="CommentReference"/>
        </w:rPr>
        <w:commentReference w:id="6"/>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w:t>
      </w:r>
      <w:r w:rsidR="00591DC0">
        <w:rPr>
          <w:rFonts w:ascii="Times New Roman" w:hAnsi="Times New Roman" w:cs="Times New Roman"/>
          <w:sz w:val="24"/>
          <w:szCs w:val="24"/>
        </w:rPr>
        <w:lastRenderedPageBreak/>
        <w:t xml:space="preserve">that the data are insufficiently precise to favor one hypothesis over the other. </w:t>
      </w:r>
      <w:commentRangeStart w:id="7"/>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xml:space="preserve">, we cannot combine and </w:t>
      </w:r>
      <w:proofErr w:type="gramStart"/>
      <w:r w:rsidR="001B5D7E">
        <w:rPr>
          <w:rFonts w:ascii="Times New Roman" w:hAnsi="Times New Roman" w:cs="Times New Roman"/>
          <w:sz w:val="24"/>
          <w:szCs w:val="24"/>
        </w:rPr>
        <w:t>meta-</w:t>
      </w:r>
      <w:proofErr w:type="gramEnd"/>
      <w:r w:rsidR="001B5D7E">
        <w:rPr>
          <w:rFonts w:ascii="Times New Roman" w:hAnsi="Times New Roman" w:cs="Times New Roman"/>
          <w:sz w:val="24"/>
          <w:szCs w:val="24"/>
        </w:rPr>
        <w:t>analyze studies for greater power</w:t>
      </w:r>
      <w:r w:rsidR="008254FD">
        <w:rPr>
          <w:rFonts w:ascii="Times New Roman" w:hAnsi="Times New Roman" w:cs="Times New Roman"/>
          <w:sz w:val="24"/>
          <w:szCs w:val="24"/>
        </w:rPr>
        <w:t xml:space="preserve">. Thus, these single samples of &lt;80% power each are all </w:t>
      </w:r>
      <w:r w:rsidR="001B5D7E">
        <w:rPr>
          <w:rFonts w:ascii="Times New Roman" w:hAnsi="Times New Roman" w:cs="Times New Roman"/>
          <w:sz w:val="24"/>
          <w:szCs w:val="24"/>
        </w:rPr>
        <w:t>the evidence that exists</w:t>
      </w:r>
      <w:r w:rsidR="008254FD">
        <w:rPr>
          <w:rFonts w:ascii="Times New Roman" w:hAnsi="Times New Roman" w:cs="Times New Roman"/>
          <w:sz w:val="24"/>
          <w:szCs w:val="24"/>
        </w:rPr>
        <w:t>.</w:t>
      </w:r>
      <w:commentRangeEnd w:id="7"/>
      <w:r w:rsidR="001C1B37">
        <w:rPr>
          <w:rStyle w:val="CommentReference"/>
        </w:rPr>
        <w:commentReference w:id="7"/>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w:t>
      </w:r>
      <w:proofErr w:type="gramStart"/>
      <w:r w:rsidR="008A5CDD">
        <w:rPr>
          <w:rFonts w:ascii="Times New Roman" w:hAnsi="Times New Roman" w:cs="Times New Roman"/>
          <w:sz w:val="24"/>
          <w:szCs w:val="24"/>
        </w:rPr>
        <w:t>(pp 266).</w:t>
      </w:r>
      <w:proofErr w:type="gramEnd"/>
      <w:r w:rsidR="008A5CDD">
        <w:rPr>
          <w:rFonts w:ascii="Times New Roman" w:hAnsi="Times New Roman" w:cs="Times New Roman"/>
          <w:sz w:val="24"/>
          <w:szCs w:val="24"/>
        </w:rPr>
        <w:t xml:space="preserve">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8"/>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w:t>
      </w:r>
      <w:r w:rsidR="008B4858">
        <w:rPr>
          <w:rFonts w:ascii="Times New Roman" w:hAnsi="Times New Roman" w:cs="Times New Roman"/>
          <w:sz w:val="24"/>
          <w:szCs w:val="24"/>
        </w:rPr>
        <w:t>t</w:t>
      </w:r>
      <w:proofErr w:type="spellEnd"/>
      <w:r w:rsidR="008B4858">
        <w:rPr>
          <w:rFonts w:ascii="Times New Roman" w:hAnsi="Times New Roman" w:cs="Times New Roman"/>
          <w:sz w:val="24"/>
          <w:szCs w:val="24"/>
        </w:rPr>
        <w:t xml:space="preserve">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8"/>
      <w:r w:rsidR="000F76FA">
        <w:rPr>
          <w:rStyle w:val="CommentReference"/>
        </w:rPr>
        <w:commentReference w:id="8"/>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C52F0A">
        <w:rPr>
          <w:rFonts w:ascii="Times New Roman" w:hAnsi="Times New Roman" w:cs="Times New Roman"/>
          <w:sz w:val="24"/>
          <w:szCs w:val="24"/>
        </w:rPr>
        <w:t>the effect size and its precision.</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w:t>
      </w:r>
      <w:proofErr w:type="gramStart"/>
      <w:r w:rsidR="0088566E">
        <w:rPr>
          <w:rFonts w:ascii="Times New Roman" w:hAnsi="Times New Roman" w:cs="Times New Roman"/>
          <w:sz w:val="24"/>
          <w:szCs w:val="24"/>
        </w:rPr>
        <w:t>would could</w:t>
      </w:r>
      <w:proofErr w:type="gramEnd"/>
      <w:r w:rsidR="0088566E">
        <w:rPr>
          <w:rFonts w:ascii="Times New Roman" w:hAnsi="Times New Roman" w:cs="Times New Roman"/>
          <w:sz w:val="24"/>
          <w:szCs w:val="24"/>
        </w:rPr>
        <w:t xml:space="preserve"> again use a JZS Default Prior to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t>
      </w:r>
      <w:r w:rsidR="00194DFB" w:rsidRPr="005779CC">
        <w:rPr>
          <w:rFonts w:ascii="Times New Roman" w:hAnsi="Times New Roman" w:cs="Times New Roman"/>
          <w:sz w:val="24"/>
          <w:szCs w:val="24"/>
        </w:rPr>
        <w:lastRenderedPageBreak/>
        <w:t>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Bayes Factor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commentRangeStart w:id="9"/>
      <w:r w:rsidRPr="005779CC">
        <w:rPr>
          <w:rFonts w:ascii="Times New Roman" w:hAnsi="Times New Roman" w:cs="Times New Roman"/>
          <w:sz w:val="24"/>
          <w:szCs w:val="24"/>
        </w:rPr>
        <w:t xml:space="preserve">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null hypothesis gains in </w:t>
      </w:r>
      <w:proofErr w:type="gramStart"/>
      <w:r w:rsidR="00B24D5F">
        <w:rPr>
          <w:rFonts w:ascii="Times New Roman" w:hAnsi="Times New Roman" w:cs="Times New Roman"/>
          <w:sz w:val="24"/>
          <w:szCs w:val="24"/>
        </w:rPr>
        <w:t>probability</w:t>
      </w:r>
      <w:r w:rsidR="002E321B" w:rsidRPr="005779CC">
        <w:rPr>
          <w:rFonts w:ascii="Times New Roman" w:hAnsi="Times New Roman" w:cs="Times New Roman"/>
          <w:sz w:val="24"/>
          <w:szCs w:val="24"/>
        </w:rPr>
        <w:t>,</w:t>
      </w:r>
      <w:proofErr w:type="gramEnd"/>
      <w:r w:rsidR="002E321B" w:rsidRPr="005779CC">
        <w:rPr>
          <w:rFonts w:ascii="Times New Roman" w:hAnsi="Times New Roman" w:cs="Times New Roman"/>
          <w:sz w:val="24"/>
          <w:szCs w:val="24"/>
        </w:rPr>
        <w:t xml:space="preserve"> and the Bayes Factor favors the null over this alternative, indicating evidence for no effect.</w:t>
      </w:r>
      <w:commentRangeEnd w:id="9"/>
      <w:r w:rsidR="0088566E">
        <w:rPr>
          <w:rStyle w:val="CommentReference"/>
        </w:rPr>
        <w:commentReference w:id="9"/>
      </w:r>
      <w:r w:rsidR="004D3876" w:rsidRPr="005779CC">
        <w:rPr>
          <w:rFonts w:ascii="Times New Roman" w:hAnsi="Times New Roman" w:cs="Times New Roman"/>
          <w:sz w:val="24"/>
          <w:szCs w:val="24"/>
        </w:rPr>
        <w:t xml:space="preserve"> </w:t>
      </w:r>
      <w:commentRangeStart w:id="10"/>
      <w:r w:rsidR="004D3876" w:rsidRPr="005779CC">
        <w:rPr>
          <w:rFonts w:ascii="Times New Roman" w:hAnsi="Times New Roman" w:cs="Times New Roman"/>
          <w:sz w:val="24"/>
          <w:szCs w:val="24"/>
        </w:rPr>
        <w:t xml:space="preserve">Again, these Bayes Factors can be easily calculated with the online calculator provided by </w:t>
      </w:r>
      <w:proofErr w:type="spellStart"/>
      <w:r w:rsidR="004D3876" w:rsidRPr="005779CC">
        <w:rPr>
          <w:rFonts w:ascii="Times New Roman" w:hAnsi="Times New Roman" w:cs="Times New Roman"/>
          <w:sz w:val="24"/>
          <w:szCs w:val="24"/>
        </w:rPr>
        <w:t>Rouder</w:t>
      </w:r>
      <w:proofErr w:type="spellEnd"/>
      <w:r w:rsidR="004D3876" w:rsidRPr="005779CC">
        <w:rPr>
          <w:rFonts w:ascii="Times New Roman" w:hAnsi="Times New Roman" w:cs="Times New Roman"/>
          <w:sz w:val="24"/>
          <w:szCs w:val="24"/>
        </w:rPr>
        <w:t xml:space="preserve"> (</w:t>
      </w:r>
      <w:hyperlink r:id="rId9"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004D3876" w:rsidRPr="005779CC">
        <w:rPr>
          <w:rFonts w:ascii="Times New Roman" w:hAnsi="Times New Roman" w:cs="Times New Roman"/>
          <w:sz w:val="24"/>
          <w:szCs w:val="24"/>
        </w:rPr>
        <w:t>) or the R package ‘</w:t>
      </w:r>
      <w:proofErr w:type="spellStart"/>
      <w:r w:rsidR="004D3876"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commentRangeEnd w:id="10"/>
      <w:r w:rsidR="005C3772">
        <w:rPr>
          <w:rStyle w:val="CommentReference"/>
        </w:rPr>
        <w:commentReference w:id="10"/>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This can be formulated as a specific alternative hypothesis and also tested. Meta-analysis estimates the effect as having mean .21 and standard error .02,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 xml:space="preserve">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 </w:t>
      </w:r>
      <w:r w:rsidR="004D3876" w:rsidRPr="005779CC">
        <w:rPr>
          <w:rFonts w:ascii="Times New Roman" w:hAnsi="Times New Roman" w:cs="Times New Roman"/>
          <w:sz w:val="24"/>
          <w:szCs w:val="24"/>
        </w:rPr>
        <w:t xml:space="preserve">These Bayes Factors can be easily calculated with </w:t>
      </w:r>
      <w:r w:rsidR="004D3876" w:rsidRPr="005779CC">
        <w:rPr>
          <w:rFonts w:ascii="Times New Roman" w:hAnsi="Times New Roman" w:cs="Times New Roman"/>
          <w:sz w:val="24"/>
          <w:szCs w:val="24"/>
        </w:rPr>
        <w:lastRenderedPageBreak/>
        <w:t xml:space="preserve">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10"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w:t>
      </w:r>
      <w:r w:rsidR="007B6CCD">
        <w:rPr>
          <w:rFonts w:ascii="Times New Roman" w:hAnsi="Times New Roman" w:cs="Times New Roman"/>
          <w:sz w:val="24"/>
          <w:szCs w:val="24"/>
        </w:rPr>
        <w:t>adjusting</w:t>
      </w:r>
      <w:r w:rsidR="005A0ECF">
        <w:rPr>
          <w:rFonts w:ascii="Times New Roman" w:hAnsi="Times New Roman" w:cs="Times New Roman"/>
          <w:sz w:val="24"/>
          <w:szCs w:val="24"/>
        </w:rPr>
        <w:t xml:space="preserve"> the value</w:t>
      </w:r>
      <w:r w:rsidR="007B6CCD">
        <w:rPr>
          <w:rFonts w:ascii="Times New Roman" w:hAnsi="Times New Roman" w:cs="Times New Roman"/>
          <w:sz w:val="24"/>
          <w:szCs w:val="24"/>
        </w:rPr>
        <w:t>s</w:t>
      </w:r>
      <w:r w:rsidR="005A0ECF">
        <w:rPr>
          <w:rFonts w:ascii="Times New Roman" w:hAnsi="Times New Roman" w:cs="Times New Roman"/>
          <w:sz w:val="24"/>
          <w:szCs w:val="24"/>
        </w:rPr>
        <w:t xml:space="preserve"> of µ</w:t>
      </w:r>
      <w:r w:rsidR="007B6CCD">
        <w:rPr>
          <w:rFonts w:ascii="Times New Roman" w:hAnsi="Times New Roman" w:cs="Times New Roman"/>
          <w:sz w:val="24"/>
          <w:szCs w:val="24"/>
        </w:rPr>
        <w:t xml:space="preserve"> and </w:t>
      </w:r>
      <w:proofErr w:type="spellStart"/>
      <w:r w:rsidR="007B6CCD">
        <w:rPr>
          <w:rFonts w:ascii="Times New Roman" w:hAnsi="Times New Roman" w:cs="Times New Roman"/>
          <w:sz w:val="24"/>
          <w:szCs w:val="24"/>
        </w:rPr>
        <w:t>rscale</w:t>
      </w:r>
      <w:proofErr w:type="spellEnd"/>
      <w:r w:rsidR="005A0ECF">
        <w:rPr>
          <w:rFonts w:ascii="Times New Roman" w:hAnsi="Times New Roman" w:cs="Times New Roman"/>
          <w:sz w:val="24"/>
          <w:szCs w:val="24"/>
        </w:rPr>
        <w:t xml:space="preserve">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DC358A">
        <w:rPr>
          <w:rFonts w:ascii="Times New Roman" w:hAnsi="Times New Roman" w:cs="Times New Roman"/>
          <w:sz w:val="24"/>
          <w:szCs w:val="24"/>
        </w:rPr>
        <w:t xml:space="preserve">(See also </w:t>
      </w:r>
      <w:proofErr w:type="spellStart"/>
      <w:r w:rsidR="00414BFC">
        <w:rPr>
          <w:rFonts w:ascii="Times New Roman" w:hAnsi="Times New Roman" w:cs="Times New Roman"/>
          <w:sz w:val="24"/>
          <w:szCs w:val="24"/>
        </w:rPr>
        <w:t>Boekel</w:t>
      </w:r>
      <w:proofErr w:type="spellEnd"/>
      <w:r w:rsidR="00DC358A">
        <w:rPr>
          <w:rFonts w:ascii="Times New Roman" w:hAnsi="Times New Roman" w:cs="Times New Roman"/>
          <w:sz w:val="24"/>
          <w:szCs w:val="24"/>
        </w:rPr>
        <w:t xml:space="preserve"> et al. (in press) for a similar modeling approach testing both a minimally-informative and a more specific hypothesis.)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commentRangeStart w:id="11"/>
      <w:r>
        <w:rPr>
          <w:rFonts w:ascii="Times New Roman" w:hAnsi="Times New Roman" w:cs="Times New Roman"/>
          <w:b/>
          <w:sz w:val="24"/>
          <w:szCs w:val="24"/>
        </w:rPr>
        <w:t>Reanalysis of Null Findings in VVG Research</w:t>
      </w:r>
      <w:commentRangeEnd w:id="11"/>
      <w:r w:rsidR="00282C2E">
        <w:rPr>
          <w:rStyle w:val="CommentReference"/>
        </w:rPr>
        <w:commentReference w:id="11"/>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r>
      <w:commentRangeStart w:id="12"/>
      <w:r w:rsidRPr="005779CC">
        <w:rPr>
          <w:rFonts w:ascii="Times New Roman" w:hAnsi="Times New Roman" w:cs="Times New Roman"/>
          <w:sz w:val="24"/>
          <w:szCs w:val="24"/>
        </w:rPr>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w:t>
      </w:r>
      <w:commentRangeEnd w:id="12"/>
      <w:r w:rsidR="007B6CCD">
        <w:rPr>
          <w:rStyle w:val="CommentReference"/>
        </w:rPr>
        <w:commentReference w:id="12"/>
      </w:r>
      <w:r w:rsidR="006805CC" w:rsidRPr="005779CC">
        <w:rPr>
          <w:rFonts w:ascii="Times New Roman" w:hAnsi="Times New Roman" w:cs="Times New Roman"/>
          <w:sz w:val="24"/>
          <w:szCs w:val="24"/>
        </w:rPr>
        <w:t xml:space="preserve">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2</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w:t>
      </w:r>
      <w:commentRangeStart w:id="13"/>
      <w:r w:rsidR="006C4016">
        <w:rPr>
          <w:rFonts w:ascii="Times New Roman" w:hAnsi="Times New Roman" w:cs="Times New Roman"/>
          <w:sz w:val="24"/>
          <w:szCs w:val="24"/>
        </w:rPr>
        <w:t>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w:t>
      </w:r>
      <w:commentRangeEnd w:id="13"/>
      <w:r w:rsidR="009E3096">
        <w:rPr>
          <w:rStyle w:val="CommentReference"/>
        </w:rPr>
        <w:commentReference w:id="13"/>
      </w:r>
      <w:r w:rsidR="006C4016">
        <w:rPr>
          <w:rFonts w:ascii="Times New Roman" w:hAnsi="Times New Roman" w:cs="Times New Roman"/>
          <w:sz w:val="24"/>
          <w:szCs w:val="24"/>
        </w:rPr>
        <w:t xml:space="preserve">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w:t>
      </w:r>
      <w:commentRangeStart w:id="14"/>
      <w:r w:rsidR="006C4016">
        <w:rPr>
          <w:rFonts w:ascii="Times New Roman" w:hAnsi="Times New Roman" w:cs="Times New Roman"/>
          <w:sz w:val="24"/>
          <w:szCs w:val="24"/>
        </w:rPr>
        <w:t>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w:t>
      </w:r>
      <w:commentRangeEnd w:id="14"/>
      <w:r w:rsidR="009E3096">
        <w:rPr>
          <w:rStyle w:val="CommentReference"/>
        </w:rPr>
        <w:commentReference w:id="14"/>
      </w:r>
      <w:r w:rsidR="006C4016">
        <w:rPr>
          <w:rFonts w:ascii="Times New Roman" w:hAnsi="Times New Roman" w:cs="Times New Roman"/>
          <w:sz w:val="24"/>
          <w:szCs w:val="24"/>
        </w:rPr>
        <w:t>,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w:t>
      </w:r>
      <w:commentRangeStart w:id="15"/>
      <w:r w:rsidR="00521A07">
        <w:rPr>
          <w:rFonts w:ascii="Times New Roman" w:hAnsi="Times New Roman" w:cs="Times New Roman"/>
          <w:sz w:val="24"/>
          <w:szCs w:val="24"/>
        </w:rPr>
        <w:t>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w:t>
      </w:r>
      <w:commentRangeEnd w:id="15"/>
      <w:r w:rsidR="009E3096">
        <w:rPr>
          <w:rStyle w:val="CommentReference"/>
        </w:rPr>
        <w:commentReference w:id="15"/>
      </w:r>
      <w:r w:rsidR="00521A07">
        <w:rPr>
          <w:rFonts w:ascii="Times New Roman" w:hAnsi="Times New Roman" w:cs="Times New Roman"/>
          <w:sz w:val="24"/>
          <w:szCs w:val="24"/>
        </w:rPr>
        <w:t>,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 xml:space="preserve">examination of the effect of violent game content on noise intensity in Elson et al. indicates a moderately informative replication, </w:t>
      </w:r>
      <w:commentRangeStart w:id="16"/>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w:t>
      </w:r>
      <w:commentRangeEnd w:id="16"/>
      <w:r w:rsidR="009E3096">
        <w:rPr>
          <w:rStyle w:val="CommentReference"/>
        </w:rPr>
        <w:commentReference w:id="16"/>
      </w:r>
      <w:r w:rsidR="00CE1C70">
        <w:rPr>
          <w:rFonts w:ascii="Times New Roman" w:hAnsi="Times New Roman" w:cs="Times New Roman"/>
          <w:sz w:val="24"/>
          <w:szCs w:val="24"/>
        </w:rPr>
        <w:t>The non-significant result has been misinterpreted as support for the null, when instead support has been found for the alternative.</w:t>
      </w:r>
    </w:p>
    <w:p w:rsidR="001657D3"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17"/>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17"/>
      <w:r w:rsidR="003C6205">
        <w:rPr>
          <w:rStyle w:val="CommentReference"/>
        </w:rPr>
        <w:commentReference w:id="17"/>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lastRenderedPageBreak/>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Furthermore, </w:t>
      </w:r>
      <w:r w:rsidR="008E118B" w:rsidRPr="00CE1C70">
        <w:rPr>
          <w:rFonts w:ascii="Times New Roman" w:hAnsi="Times New Roman" w:cs="Times New Roman"/>
          <w:sz w:val="24"/>
          <w:szCs w:val="24"/>
        </w:rPr>
        <w:t xml:space="preserve">it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1"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18"/>
      <w:r w:rsidR="008E118B" w:rsidRPr="00CE1C70">
        <w:rPr>
          <w:rFonts w:ascii="Times New Roman" w:hAnsi="Times New Roman" w:cs="Times New Roman"/>
          <w:sz w:val="24"/>
          <w:szCs w:val="24"/>
        </w:rPr>
        <w:t xml:space="preserve">[.02, .39] </w:t>
      </w:r>
      <w:commentRangeEnd w:id="18"/>
      <w:r w:rsidR="00856F16">
        <w:rPr>
          <w:rStyle w:val="CommentReference"/>
        </w:rPr>
        <w:commentReference w:id="18"/>
      </w:r>
      <w:commentRangeStart w:id="19"/>
      <w:r w:rsidR="008E118B" w:rsidRPr="00CE1C70">
        <w:rPr>
          <w:rFonts w:ascii="Times New Roman" w:hAnsi="Times New Roman" w:cs="Times New Roman"/>
          <w:sz w:val="24"/>
          <w:szCs w:val="24"/>
        </w:rPr>
        <w:t>with</w:t>
      </w:r>
      <w:commentRangeEnd w:id="19"/>
      <w:r w:rsidR="001713D8">
        <w:rPr>
          <w:rStyle w:val="CommentReference"/>
        </w:rPr>
        <w:commentReference w:id="19"/>
      </w:r>
      <w:r w:rsidR="008E118B" w:rsidRPr="00CE1C70">
        <w:rPr>
          <w:rFonts w:ascii="Times New Roman" w:hAnsi="Times New Roman" w:cs="Times New Roman"/>
          <w:sz w:val="24"/>
          <w:szCs w:val="24"/>
        </w:rPr>
        <w:t xml:space="preserve">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w:t>
      </w:r>
      <w:proofErr w:type="gramEnd"/>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w:t>
      </w:r>
      <w:proofErr w:type="spellStart"/>
      <w:r>
        <w:rPr>
          <w:rFonts w:ascii="Times New Roman" w:hAnsi="Times New Roman" w:cs="Times New Roman"/>
          <w:sz w:val="24"/>
          <w:szCs w:val="24"/>
        </w:rPr>
        <w:t>nonsignificant</w:t>
      </w:r>
      <w:proofErr w:type="spellEnd"/>
      <w:r>
        <w:rPr>
          <w:rFonts w:ascii="Times New Roman" w:hAnsi="Times New Roman" w:cs="Times New Roman"/>
          <w:sz w:val="24"/>
          <w:szCs w:val="24"/>
        </w:rPr>
        <w:t xml:space="preserve">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w:t>
      </w:r>
      <w:r w:rsidR="001657D3">
        <w:rPr>
          <w:rFonts w:ascii="Times New Roman" w:hAnsi="Times New Roman" w:cs="Times New Roman"/>
          <w:sz w:val="24"/>
          <w:szCs w:val="24"/>
        </w:rPr>
        <w:lastRenderedPageBreak/>
        <w:t xml:space="preserve">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 xml:space="preserve">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D7269C">
        <w:rPr>
          <w:rFonts w:ascii="Times New Roman" w:hAnsi="Times New Roman" w:cs="Times New Roman"/>
          <w:sz w:val="24"/>
          <w:szCs w:val="24"/>
        </w:rPr>
        <w:t xml:space="preserve">a little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t xml:space="preserve">We note also that the </w:t>
      </w:r>
      <w:proofErr w:type="spellStart"/>
      <w:r>
        <w:rPr>
          <w:rFonts w:ascii="Times New Roman" w:hAnsi="Times New Roman" w:cs="Times New Roman"/>
          <w:sz w:val="24"/>
          <w:szCs w:val="24"/>
        </w:rPr>
        <w:t>BayesFactor</w:t>
      </w:r>
      <w:proofErr w:type="spellEnd"/>
      <w:r>
        <w:rPr>
          <w:rFonts w:ascii="Times New Roman" w:hAnsi="Times New Roman" w:cs="Times New Roman"/>
          <w:sz w:val="24"/>
          <w:szCs w:val="24"/>
        </w:rPr>
        <w:t xml:space="preserve">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B878B1">
        <w:rPr>
          <w:rFonts w:ascii="Times New Roman" w:hAnsi="Times New Roman" w:cs="Times New Roman"/>
          <w:sz w:val="24"/>
          <w:szCs w:val="24"/>
        </w:rPr>
        <w:t>Bayes Factors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w:t>
      </w:r>
      <w:commentRangeStart w:id="20"/>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commentRangeEnd w:id="20"/>
      <w:r w:rsidR="00D7269C">
        <w:rPr>
          <w:rStyle w:val="CommentReference"/>
        </w:rPr>
        <w:commentReference w:id="20"/>
      </w:r>
      <w:r w:rsidRPr="005779CC">
        <w:rPr>
          <w:rFonts w:ascii="Times New Roman" w:hAnsi="Times New Roman" w:cs="Times New Roman"/>
          <w:sz w:val="24"/>
          <w:szCs w:val="24"/>
        </w:rPr>
        <w:t xml:space="preserve"> a moderately informative replication, but if mean duration is used, </w:t>
      </w:r>
      <w:commentRangeStart w:id="21"/>
      <w:r w:rsidRPr="005779CC">
        <w:rPr>
          <w:rFonts w:ascii="Times New Roman" w:hAnsi="Times New Roman" w:cs="Times New Roman"/>
          <w:sz w:val="24"/>
          <w:szCs w:val="24"/>
        </w:rPr>
        <w:t>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w:t>
      </w:r>
      <w:commentRangeEnd w:id="21"/>
      <w:r w:rsidR="00D7269C">
        <w:rPr>
          <w:rStyle w:val="CommentReference"/>
        </w:rPr>
        <w:commentReference w:id="21"/>
      </w:r>
      <w:r w:rsidRPr="005779CC">
        <w:rPr>
          <w:rFonts w:ascii="Times New Roman" w:hAnsi="Times New Roman" w:cs="Times New Roman"/>
          <w:sz w:val="24"/>
          <w:szCs w:val="24"/>
        </w:rPr>
        <w:t xml:space="preserve">, indicating that the data </w:t>
      </w:r>
      <w:r w:rsidR="00D7269C">
        <w:rPr>
          <w:rFonts w:ascii="Times New Roman" w:hAnsi="Times New Roman" w:cs="Times New Roman"/>
          <w:sz w:val="24"/>
          <w:szCs w:val="24"/>
        </w:rPr>
        <w:t xml:space="preserve">favor neither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nor </w:t>
      </w: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 xml:space="preserve">(BF01)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r w:rsidRPr="005779CC">
        <w:rPr>
          <w:rFonts w:ascii="Times New Roman" w:hAnsi="Times New Roman" w:cs="Times New Roman"/>
          <w:sz w:val="24"/>
          <w:szCs w:val="24"/>
        </w:rPr>
        <w:lastRenderedPageBreak/>
        <w:t>Bayes Factor reports the</w:t>
      </w:r>
      <w:r w:rsidR="001713D8">
        <w:rPr>
          <w:rFonts w:ascii="Times New Roman" w:hAnsi="Times New Roman" w:cs="Times New Roman"/>
          <w:sz w:val="24"/>
          <w:szCs w:val="24"/>
        </w:rPr>
        <w:t xml:space="preserve"> strength of reported evidence. When evidence is selectively reported according to the hypothesis it supports, Bayes Factor will be biased. W</w:t>
      </w:r>
      <w:r>
        <w:rPr>
          <w:rFonts w:ascii="Times New Roman" w:hAnsi="Times New Roman" w:cs="Times New Roman"/>
          <w:sz w:val="24"/>
          <w:szCs w:val="24"/>
        </w:rPr>
        <w:t xml:space="preserve">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w:t>
      </w:r>
      <w:r w:rsidR="00357017">
        <w:rPr>
          <w:rFonts w:ascii="Times New Roman" w:hAnsi="Times New Roman" w:cs="Times New Roman"/>
          <w:sz w:val="24"/>
          <w:szCs w:val="24"/>
        </w:rPr>
        <w:t xml:space="preserve">these goals. </w:t>
      </w:r>
      <w:r w:rsidR="00B37E16">
        <w:rPr>
          <w:rFonts w:ascii="Times New Roman" w:hAnsi="Times New Roman" w:cs="Times New Roman"/>
          <w:i/>
          <w:sz w:val="24"/>
          <w:szCs w:val="24"/>
        </w:rPr>
        <w:t>P</w:t>
      </w:r>
      <w:r w:rsidR="00357017">
        <w:rPr>
          <w:rFonts w:ascii="Times New Roman" w:hAnsi="Times New Roman" w:cs="Times New Roman"/>
          <w:sz w:val="24"/>
          <w:szCs w:val="24"/>
        </w:rPr>
        <w:t>-values greater than a critical</w:t>
      </w:r>
      <w:r w:rsidR="00357017">
        <w:rPr>
          <w:rFonts w:ascii="Times New Roman" w:hAnsi="Times New Roman" w:cs="Times New Roman"/>
          <w:sz w:val="24"/>
          <w:szCs w:val="24"/>
        </w:rPr>
        <w:t xml:space="preserve">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 xml:space="preserve">-value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lastRenderedPageBreak/>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xml:space="preserve">, perhaps in part because the anticipated effect is fairly small in </w:t>
      </w:r>
      <w:commentRangeStart w:id="22"/>
      <w:r w:rsidR="0061024A">
        <w:rPr>
          <w:rFonts w:ascii="Times New Roman" w:hAnsi="Times New Roman" w:cs="Times New Roman"/>
          <w:sz w:val="24"/>
          <w:szCs w:val="24"/>
        </w:rPr>
        <w:t>magnitude</w:t>
      </w:r>
      <w:commentRangeEnd w:id="22"/>
      <w:r w:rsidR="00414BFC">
        <w:rPr>
          <w:rStyle w:val="CommentReference"/>
        </w:rPr>
        <w:commentReference w:id="22"/>
      </w:r>
      <w:r w:rsidR="0061024A">
        <w:rPr>
          <w:rFonts w:ascii="Times New Roman" w:hAnsi="Times New Roman" w:cs="Times New Roman"/>
          <w:sz w:val="24"/>
          <w:szCs w:val="24"/>
        </w:rPr>
        <w:t>.</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Not only does Bayes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wants to conduct a study and find that </w:t>
      </w:r>
      <w:r w:rsidR="00414BFC">
        <w:rPr>
          <w:rFonts w:ascii="Times New Roman" w:hAnsi="Times New Roman" w:cs="Times New Roman"/>
          <w:sz w:val="24"/>
          <w:szCs w:val="24"/>
        </w:rPr>
        <w:t xml:space="preserve">the </w:t>
      </w:r>
      <w:r w:rsidRPr="005779CC">
        <w:rPr>
          <w:rFonts w:ascii="Times New Roman" w:hAnsi="Times New Roman" w:cs="Times New Roman"/>
          <w:sz w:val="24"/>
          <w:szCs w:val="24"/>
        </w:rPr>
        <w:t>results have no evidentiary value</w:t>
      </w:r>
      <w:r w:rsidR="00414BFC">
        <w:rPr>
          <w:rFonts w:ascii="Times New Roman" w:hAnsi="Times New Roman" w:cs="Times New Roman"/>
          <w:sz w:val="24"/>
          <w:szCs w:val="24"/>
        </w:rPr>
        <w:t xml:space="preserve">, and so publication pressures may encourage researchers to do what’s necessary to make “marginally significant” </w:t>
      </w:r>
      <w:r w:rsidR="00414BFC">
        <w:rPr>
          <w:rFonts w:ascii="Times New Roman" w:hAnsi="Times New Roman" w:cs="Times New Roman"/>
          <w:i/>
          <w:sz w:val="24"/>
          <w:szCs w:val="24"/>
        </w:rPr>
        <w:t>p</w:t>
      </w:r>
      <w:r w:rsidR="00414BFC">
        <w:rPr>
          <w:rFonts w:ascii="Times New Roman" w:hAnsi="Times New Roman" w:cs="Times New Roman"/>
          <w:sz w:val="24"/>
          <w:szCs w:val="24"/>
        </w:rPr>
        <w:t>-values into statistically significant values</w:t>
      </w:r>
      <w:r w:rsidRPr="005779CC">
        <w:rPr>
          <w:rFonts w:ascii="Times New Roman" w:hAnsi="Times New Roman" w:cs="Times New Roman"/>
          <w:sz w:val="24"/>
          <w:szCs w:val="24"/>
        </w:rPr>
        <w:t>.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r w:rsidR="001713D8">
        <w:rPr>
          <w:rFonts w:ascii="Times New Roman" w:hAnsi="Times New Roman" w:cs="Times New Roman"/>
          <w:sz w:val="24"/>
          <w:szCs w:val="24"/>
        </w:rPr>
        <w:t xml:space="preserve"> Researchers can then be rewarded according to their methods, data collection, and analysis, rather than the significance of their results.</w:t>
      </w:r>
    </w:p>
    <w:p w:rsidR="006F455F" w:rsidRDefault="0061024A">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r w:rsidR="00731A00">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sidRPr="003C6205">
        <w:rPr>
          <w:rFonts w:ascii="Times New Roman" w:hAnsi="Times New Roman" w:cs="Times New Roman"/>
          <w:sz w:val="24"/>
          <w:szCs w:val="24"/>
        </w:rPr>
        <w:t>doi</w:t>
      </w:r>
      <w:proofErr w:type="spellEnd"/>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spellStart"/>
      <w:proofErr w:type="gramStart"/>
      <w:r w:rsidRPr="006E1FE4">
        <w:rPr>
          <w:rFonts w:ascii="Times New Roman" w:hAnsi="Times New Roman" w:cs="Times New Roman"/>
          <w:sz w:val="24"/>
          <w:szCs w:val="24"/>
        </w:rPr>
        <w:t>doi</w:t>
      </w:r>
      <w:proofErr w:type="spellEnd"/>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spellStart"/>
      <w:proofErr w:type="gramStart"/>
      <w:r w:rsidRPr="006F2E62">
        <w:rPr>
          <w:rFonts w:ascii="Times New Roman" w:hAnsi="Times New Roman" w:cs="Times New Roman"/>
          <w:sz w:val="24"/>
          <w:szCs w:val="24"/>
        </w:rPr>
        <w:t>doi</w:t>
      </w:r>
      <w:proofErr w:type="spellEnd"/>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lastRenderedPageBreak/>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23"/>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23"/>
      <w:r>
        <w:rPr>
          <w:rStyle w:val="CommentReference"/>
        </w:rPr>
        <w:commentReference w:id="23"/>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2"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lastRenderedPageBreak/>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lastRenderedPageBreak/>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proofErr w:type="gramEnd"/>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w:t>
      </w:r>
      <w:proofErr w:type="gramStart"/>
      <w:r w:rsidR="00B13076">
        <w:rPr>
          <w:rFonts w:ascii="Times New Roman" w:hAnsi="Times New Roman" w:cs="Times New Roman"/>
          <w:sz w:val="24"/>
          <w:szCs w:val="24"/>
        </w:rPr>
        <w:t>Cauchy(</w:t>
      </w:r>
      <w:proofErr w:type="gramEnd"/>
      <w:r w:rsidR="00B13076">
        <w:rPr>
          <w:rFonts w:ascii="Times New Roman" w:hAnsi="Times New Roman" w:cs="Times New Roman"/>
          <w:sz w:val="24"/>
          <w:szCs w:val="24"/>
        </w:rPr>
        <w:t>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commentRangeStart w:id="24"/>
      <w:r>
        <w:rPr>
          <w:rFonts w:ascii="Times New Roman" w:hAnsi="Times New Roman" w:cs="Times New Roman"/>
          <w:sz w:val="24"/>
          <w:szCs w:val="24"/>
        </w:rPr>
        <w: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24"/>
      <w:proofErr w:type="gramEnd"/>
      <w:r w:rsidR="00472FD7">
        <w:rPr>
          <w:rStyle w:val="CommentReference"/>
        </w:rPr>
        <w:commentReference w:id="24"/>
      </w:r>
    </w:p>
    <w:tbl>
      <w:tblPr>
        <w:tblW w:w="9000" w:type="dxa"/>
        <w:tblInd w:w="93" w:type="dxa"/>
        <w:tblLook w:val="04A0" w:firstRow="1" w:lastRow="0" w:firstColumn="1" w:lastColumn="0" w:noHBand="0" w:noVBand="1"/>
      </w:tblPr>
      <w:tblGrid>
        <w:gridCol w:w="3240"/>
        <w:gridCol w:w="691"/>
        <w:gridCol w:w="1229"/>
        <w:gridCol w:w="691"/>
        <w:gridCol w:w="1229"/>
        <w:gridCol w:w="730"/>
        <w:gridCol w:w="1190"/>
      </w:tblGrid>
      <w:tr w:rsidR="00472FD7" w:rsidRPr="00472FD7" w:rsidTr="00472FD7">
        <w:trPr>
          <w:trHeight w:val="315"/>
        </w:trPr>
        <w:tc>
          <w:tcPr>
            <w:tcW w:w="3240" w:type="dxa"/>
            <w:tcBorders>
              <w:top w:val="nil"/>
              <w:left w:val="nil"/>
              <w:bottom w:val="nil"/>
              <w:right w:val="nil"/>
            </w:tcBorders>
            <w:shd w:val="clear" w:color="auto" w:fill="auto"/>
            <w:noWrap/>
            <w:vAlign w:val="bottom"/>
            <w:hideMark/>
          </w:tcPr>
          <w:p w:rsidR="00472FD7" w:rsidRPr="00472FD7" w:rsidRDefault="00472FD7" w:rsidP="00472FD7">
            <w:pPr>
              <w:spacing w:after="0" w:line="240" w:lineRule="auto"/>
              <w:rPr>
                <w:rFonts w:ascii="Calibri" w:eastAsia="Times New Roman" w:hAnsi="Calibri" w:cs="Times New Roman"/>
                <w:color w:val="000000"/>
              </w:rPr>
            </w:pP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Difficulty</w:t>
            </w: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Pace</w:t>
            </w:r>
          </w:p>
        </w:tc>
        <w:tc>
          <w:tcPr>
            <w:tcW w:w="1920" w:type="dxa"/>
            <w:gridSpan w:val="2"/>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jc w:val="center"/>
              <w:rPr>
                <w:rFonts w:ascii="Calibri" w:eastAsia="Times New Roman" w:hAnsi="Calibri" w:cs="Times New Roman"/>
                <w:color w:val="000000"/>
              </w:rPr>
            </w:pPr>
            <w:r w:rsidRPr="00472FD7">
              <w:rPr>
                <w:rFonts w:ascii="Calibri" w:eastAsia="Times New Roman" w:hAnsi="Calibri" w:cs="Times New Roman"/>
                <w:color w:val="000000"/>
              </w:rPr>
              <w:t>Competitiveness</w:t>
            </w:r>
          </w:p>
        </w:tc>
      </w:tr>
      <w:tr w:rsidR="00472FD7" w:rsidRPr="00472FD7" w:rsidTr="00472FD7">
        <w:trPr>
          <w:trHeight w:val="375"/>
        </w:trPr>
        <w:tc>
          <w:tcPr>
            <w:tcW w:w="324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Valadez &amp; Ferguson</w:t>
            </w:r>
          </w:p>
        </w:tc>
        <w:tc>
          <w:tcPr>
            <w:tcW w:w="691"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229"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c>
          <w:tcPr>
            <w:tcW w:w="691"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229"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c>
          <w:tcPr>
            <w:tcW w:w="73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t</w:t>
            </w:r>
          </w:p>
        </w:tc>
        <w:tc>
          <w:tcPr>
            <w:tcW w:w="1190" w:type="dxa"/>
            <w:tcBorders>
              <w:top w:val="nil"/>
              <w:left w:val="nil"/>
              <w:bottom w:val="single" w:sz="8" w:space="0" w:color="auto"/>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BF10</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1.30933</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0.757991</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7.226631</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0.887017</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1.636268</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0.392349</w:t>
            </w:r>
          </w:p>
        </w:tc>
      </w:tr>
      <w:tr w:rsidR="00472FD7" w:rsidRPr="00472FD7" w:rsidTr="00472FD7">
        <w:trPr>
          <w:trHeight w:val="300"/>
        </w:trPr>
        <w:tc>
          <w:tcPr>
            <w:tcW w:w="324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rPr>
                <w:rFonts w:ascii="Calibri" w:eastAsia="Times New Roman" w:hAnsi="Calibri" w:cs="Times New Roman"/>
                <w:color w:val="000000"/>
              </w:rPr>
            </w:pPr>
            <w:r w:rsidRPr="00472FD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15.87443</w:t>
            </w:r>
          </w:p>
        </w:tc>
        <w:tc>
          <w:tcPr>
            <w:tcW w:w="691"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15.30861</w:t>
            </w:r>
          </w:p>
        </w:tc>
        <w:tc>
          <w:tcPr>
            <w:tcW w:w="73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center"/>
            <w:hideMark/>
          </w:tcPr>
          <w:p w:rsidR="00472FD7" w:rsidRPr="00472FD7" w:rsidRDefault="00472FD7" w:rsidP="00472FD7">
            <w:pPr>
              <w:spacing w:after="0" w:line="240" w:lineRule="auto"/>
              <w:jc w:val="right"/>
              <w:rPr>
                <w:rFonts w:ascii="Calibri" w:eastAsia="Times New Roman" w:hAnsi="Calibri" w:cs="Times New Roman"/>
                <w:color w:val="000000"/>
              </w:rPr>
            </w:pPr>
            <w:r w:rsidRPr="00472FD7">
              <w:rPr>
                <w:rFonts w:ascii="Calibri" w:eastAsia="Times New Roman" w:hAnsi="Calibri" w:cs="Times New Roman"/>
                <w:color w:val="000000"/>
              </w:rPr>
              <w:t>7.226631</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Many studies present only modest </w:t>
      </w:r>
      <w:proofErr w:type="gramStart"/>
      <w:r w:rsidR="009A7E7E">
        <w:rPr>
          <w:rFonts w:ascii="Times New Roman" w:hAnsi="Times New Roman" w:cs="Times New Roman"/>
          <w:sz w:val="24"/>
          <w:szCs w:val="24"/>
        </w:rPr>
        <w:t>evidence,</w:t>
      </w:r>
      <w:proofErr w:type="gramEnd"/>
      <w:r w:rsidR="009A7E7E">
        <w:rPr>
          <w:rFonts w:ascii="Times New Roman" w:hAnsi="Times New Roman" w:cs="Times New Roman"/>
          <w:sz w:val="24"/>
          <w:szCs w:val="24"/>
        </w:rPr>
        <w:t xml:space="preserve"> and several indicate evidence for, rather than against, the effect.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25"/>
      <w:r w:rsidR="009C3A9A">
        <w:rPr>
          <w:rFonts w:ascii="Times New Roman" w:hAnsi="Times New Roman" w:cs="Times New Roman"/>
          <w:sz w:val="24"/>
          <w:szCs w:val="24"/>
        </w:rPr>
        <w:t>alternative</w:t>
      </w:r>
      <w:commentRangeEnd w:id="25"/>
      <w:r w:rsidR="009C3A9A">
        <w:rPr>
          <w:rStyle w:val="CommentReference"/>
        </w:rPr>
        <w:commentReference w:id="25"/>
      </w:r>
      <w:r w:rsidR="009C3A9A">
        <w:rPr>
          <w:rFonts w:ascii="Times New Roman" w:hAnsi="Times New Roman" w:cs="Times New Roman"/>
          <w:sz w:val="24"/>
          <w:szCs w:val="24"/>
        </w:rPr>
        <w:t>).</w:t>
      </w:r>
      <w:proofErr w:type="gramEnd"/>
    </w:p>
    <w:tbl>
      <w:tblPr>
        <w:tblW w:w="11060" w:type="dxa"/>
        <w:tblInd w:w="93" w:type="dxa"/>
        <w:tblLook w:val="04A0" w:firstRow="1" w:lastRow="0" w:firstColumn="1" w:lastColumn="0" w:noHBand="0" w:noVBand="1"/>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26"/>
            <w:r w:rsidRPr="00011737">
              <w:rPr>
                <w:rFonts w:ascii="Calibri" w:eastAsia="Times New Roman" w:hAnsi="Calibri" w:cs="Times New Roman"/>
                <w:color w:val="000000"/>
              </w:rPr>
              <w:t>Time (pre-, post-) X Game (Red Dead Redemption, FIFA)</w:t>
            </w:r>
            <w:commentRangeEnd w:id="26"/>
            <w:r w:rsidR="009C3A9A">
              <w:rPr>
                <w:rStyle w:val="CommentReference"/>
              </w:rPr>
              <w:commentReference w:id="26"/>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 xml:space="preserve">Aggressive </w:t>
            </w:r>
            <w:proofErr w:type="spellStart"/>
            <w:r w:rsidRPr="00011737">
              <w:rPr>
                <w:rFonts w:ascii="Calibri" w:eastAsia="Times New Roman" w:hAnsi="Calibri" w:cs="Times New Roman"/>
                <w:color w:val="000000"/>
              </w:rPr>
              <w:t>Congition</w:t>
            </w:r>
            <w:proofErr w:type="spellEnd"/>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proofErr w:type="gramStart"/>
      <w:r>
        <w:rPr>
          <w:rFonts w:ascii="Times New Roman" w:hAnsi="Times New Roman" w:cs="Times New Roman"/>
          <w:sz w:val="24"/>
          <w:szCs w:val="24"/>
        </w:rPr>
        <w:lastRenderedPageBreak/>
        <w:t>Table 4.</w:t>
      </w:r>
      <w:proofErr w:type="gramEnd"/>
      <w:r>
        <w:rPr>
          <w:rFonts w:ascii="Times New Roman" w:hAnsi="Times New Roman" w:cs="Times New Roman"/>
          <w:sz w:val="24"/>
          <w:szCs w:val="24"/>
        </w:rPr>
        <w:t xml:space="preserve">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xml:space="preserve">: b ~ </w:t>
      </w:r>
      <w:proofErr w:type="gramStart"/>
      <w:r w:rsidR="00833943">
        <w:rPr>
          <w:rFonts w:ascii="Times New Roman" w:hAnsi="Times New Roman" w:cs="Times New Roman"/>
          <w:sz w:val="24"/>
          <w:szCs w:val="24"/>
        </w:rPr>
        <w:t>Cauchy(</w:t>
      </w:r>
      <w:proofErr w:type="gramEnd"/>
      <w:r w:rsidR="00833943">
        <w:rPr>
          <w:rFonts w:ascii="Times New Roman" w:hAnsi="Times New Roman" w:cs="Times New Roman"/>
          <w:sz w:val="24"/>
          <w:szCs w:val="24"/>
        </w:rPr>
        <w:t>0, √2/2) relativ</w:t>
      </w:r>
      <w:bookmarkStart w:id="27" w:name="_GoBack"/>
      <w:bookmarkEnd w:id="27"/>
      <w:r w:rsidR="00833943">
        <w:rPr>
          <w:rFonts w:ascii="Times New Roman" w:hAnsi="Times New Roman" w:cs="Times New Roman"/>
          <w:sz w:val="24"/>
          <w:szCs w:val="24"/>
        </w:rPr>
        <w:t>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w:t>
      </w:r>
      <w:commentRangeStart w:id="28"/>
      <w:r w:rsidR="00833943">
        <w:rPr>
          <w:rFonts w:ascii="Times New Roman" w:hAnsi="Times New Roman" w:cs="Times New Roman"/>
          <w:sz w:val="24"/>
          <w:szCs w:val="24"/>
        </w:rPr>
        <w:t>evidence</w:t>
      </w:r>
      <w:commentRangeEnd w:id="28"/>
      <w:r w:rsidR="00A01F43">
        <w:rPr>
          <w:rStyle w:val="CommentReference"/>
        </w:rPr>
        <w:commentReference w:id="28"/>
      </w:r>
      <w:r w:rsidR="00833943">
        <w:rPr>
          <w:rFonts w:ascii="Times New Roman" w:hAnsi="Times New Roman" w:cs="Times New Roman"/>
          <w:sz w:val="24"/>
          <w:szCs w:val="24"/>
        </w:rPr>
        <w:t xml:space="preserv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BFs range from 0 (perfect evidence for null) to infinity (perfect evidence for alternative).</w:t>
      </w:r>
      <w:proofErr w:type="gramEnd"/>
    </w:p>
    <w:tbl>
      <w:tblPr>
        <w:tblW w:w="5955" w:type="dxa"/>
        <w:tblInd w:w="93" w:type="dxa"/>
        <w:tblLook w:val="04A0" w:firstRow="1" w:lastRow="0" w:firstColumn="1" w:lastColumn="0" w:noHBand="0" w:noVBand="1"/>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w:t>
            </w:r>
            <w:proofErr w:type="spellStart"/>
            <w:r w:rsidRPr="009A7E7E">
              <w:rPr>
                <w:rFonts w:ascii="Calibri" w:eastAsia="Times New Roman" w:hAnsi="Calibri" w:cs="Times New Roman"/>
                <w:color w:val="000000"/>
              </w:rPr>
              <w:t>sqrt</w:t>
            </w:r>
            <w:proofErr w:type="spellEnd"/>
            <w:r w:rsidRPr="009A7E7E">
              <w:rPr>
                <w:rFonts w:ascii="Calibri" w:eastAsia="Times New Roman" w:hAnsi="Calibri" w:cs="Times New Roman"/>
                <w:color w:val="000000"/>
              </w:rPr>
              <w: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proofErr w:type="gramStart"/>
      <w:r w:rsidRPr="005779CC">
        <w:rPr>
          <w:rFonts w:ascii="Times New Roman" w:hAnsi="Times New Roman" w:cs="Times New Roman"/>
          <w:i/>
          <w:sz w:val="24"/>
          <w:szCs w:val="24"/>
        </w:rPr>
        <w:t>Model Comparison.</w:t>
      </w:r>
      <w:proofErr w:type="gramEnd"/>
      <w:r w:rsidRPr="005779CC">
        <w:rPr>
          <w:rFonts w:ascii="Times New Roman" w:hAnsi="Times New Roman" w:cs="Times New Roman"/>
          <w:i/>
          <w:sz w:val="24"/>
          <w:szCs w:val="24"/>
        </w:rPr>
        <w:t xml:space="preserve"> </w:t>
      </w:r>
      <w:r w:rsidRPr="005779CC">
        <w:rPr>
          <w:rFonts w:ascii="Times New Roman" w:hAnsi="Times New Roman" w:cs="Times New Roman"/>
          <w:sz w:val="24"/>
          <w:szCs w:val="24"/>
        </w:rPr>
        <w:t xml:space="preserve">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w:t>
      </w:r>
      <w:proofErr w:type="spellStart"/>
      <w:r w:rsidRPr="005779CC">
        <w:rPr>
          <w:rFonts w:ascii="Times New Roman" w:hAnsi="Times New Roman" w:cs="Times New Roman"/>
          <w:sz w:val="24"/>
          <w:szCs w:val="24"/>
        </w:rPr>
        <w:t>AxB</w:t>
      </w:r>
      <w:proofErr w:type="spellEnd"/>
      <w:r w:rsidRPr="005779CC">
        <w:rPr>
          <w:rFonts w:ascii="Times New Roman" w:hAnsi="Times New Roman" w:cs="Times New Roman"/>
          <w:sz w:val="24"/>
          <w:szCs w:val="24"/>
        </w:rPr>
        <w:t xml:space="preserve">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is more likely than the other four models constitutes the evidence for this model. Again, use of the ‘</w:t>
      </w:r>
      <w:proofErr w:type="spellStart"/>
      <w:r w:rsidRPr="005779CC">
        <w:rPr>
          <w:rFonts w:ascii="Times New Roman" w:hAnsi="Times New Roman" w:cs="Times New Roman"/>
          <w:sz w:val="24"/>
          <w:szCs w:val="24"/>
        </w:rPr>
        <w:t>BayesFactor</w:t>
      </w:r>
      <w:proofErr w:type="spellEnd"/>
      <w:r w:rsidRPr="005779CC">
        <w:rPr>
          <w:rFonts w:ascii="Times New Roman" w:hAnsi="Times New Roman" w:cs="Times New Roman"/>
          <w:sz w:val="24"/>
          <w:szCs w:val="24"/>
        </w:rPr>
        <w:t xml:space="preserve">’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9950B0" w:rsidRDefault="009950B0">
      <w:pPr>
        <w:pStyle w:val="CommentText"/>
      </w:pPr>
      <w:r>
        <w:rPr>
          <w:rStyle w:val="CommentReference"/>
        </w:rPr>
        <w:annotationRef/>
      </w:r>
      <w:r>
        <w:t>Maybe a BF for certain studies arguing an effect would be appropriate, too?</w:t>
      </w:r>
    </w:p>
    <w:p w:rsidR="009950B0" w:rsidRDefault="009950B0">
      <w:pPr>
        <w:pStyle w:val="CommentText"/>
      </w:pPr>
    </w:p>
    <w:p w:rsidR="009950B0" w:rsidRDefault="009950B0">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1" w:author="Joe" w:date="2014-11-24T14:37:00Z" w:initials="J">
    <w:p w:rsidR="009950B0" w:rsidRDefault="009950B0">
      <w:pPr>
        <w:pStyle w:val="CommentText"/>
      </w:pPr>
      <w:r>
        <w:rPr>
          <w:rStyle w:val="CommentReference"/>
        </w:rPr>
        <w:annotationRef/>
      </w:r>
      <w:proofErr w:type="gramStart"/>
      <w:r>
        <w:t>weak</w:t>
      </w:r>
      <w:proofErr w:type="gramEnd"/>
    </w:p>
  </w:comment>
  <w:comment w:id="2" w:author="Dirk Mügge" w:date="2014-10-15T18:51:00Z" w:initials="DM">
    <w:p w:rsidR="009950B0" w:rsidRDefault="009950B0" w:rsidP="00CE13F5">
      <w:pPr>
        <w:pStyle w:val="CommentText"/>
      </w:pPr>
      <w:r>
        <w:rPr>
          <w:rStyle w:val="CommentReference"/>
        </w:rPr>
        <w:annotationRef/>
      </w:r>
      <w:r>
        <w:t>Another example: analysis of attrition</w:t>
      </w:r>
    </w:p>
  </w:comment>
  <w:comment w:id="3" w:author="bartholowlab" w:date="2014-11-17T16:28:00Z" w:initials="b">
    <w:p w:rsidR="009950B0" w:rsidRDefault="009950B0"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xml:space="preserve">,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5" w:author="Joe" w:date="2014-11-25T11:05:00Z" w:initials="J">
    <w:p w:rsidR="009950B0" w:rsidRDefault="009950B0">
      <w:pPr>
        <w:pStyle w:val="CommentText"/>
      </w:pPr>
      <w:r>
        <w:rPr>
          <w:rStyle w:val="CommentReference"/>
        </w:rPr>
        <w:annotationRef/>
      </w:r>
      <w:r>
        <w:t>?</w:t>
      </w:r>
    </w:p>
  </w:comment>
  <w:comment w:id="6" w:author="Joe" w:date="2014-11-25T11:10:00Z" w:initials="J">
    <w:p w:rsidR="009950B0" w:rsidRDefault="009950B0">
      <w:pPr>
        <w:pStyle w:val="CommentText"/>
      </w:pPr>
      <w:r>
        <w:rPr>
          <w:rStyle w:val="CommentReference"/>
        </w:rPr>
        <w:annotationRef/>
      </w:r>
      <w:r>
        <w:t xml:space="preserve">I need to separate </w:t>
      </w:r>
      <w:proofErr w:type="spellStart"/>
      <w:r>
        <w:t>the”improved</w:t>
      </w:r>
      <w:proofErr w:type="spellEnd"/>
      <w:r>
        <w:t>-control” studies from the other null findings.</w:t>
      </w:r>
    </w:p>
  </w:comment>
  <w:comment w:id="7" w:author="Joe" w:date="2014-11-20T00:44:00Z" w:initials="J">
    <w:p w:rsidR="009950B0" w:rsidRDefault="009950B0">
      <w:pPr>
        <w:pStyle w:val="CommentText"/>
      </w:pPr>
      <w:r>
        <w:rPr>
          <w:rStyle w:val="CommentReference"/>
        </w:rPr>
        <w:annotationRef/>
      </w:r>
      <w:r>
        <w:t>Maybe should move up or move later.</w:t>
      </w:r>
    </w:p>
  </w:comment>
  <w:comment w:id="8" w:author="bartholowlab" w:date="2014-10-06T13:59:00Z" w:initials="b">
    <w:p w:rsidR="009950B0" w:rsidRDefault="009950B0">
      <w:pPr>
        <w:pStyle w:val="CommentText"/>
      </w:pPr>
      <w:r>
        <w:rPr>
          <w:rStyle w:val="CommentReference"/>
        </w:rPr>
        <w:annotationRef/>
      </w:r>
      <w:r>
        <w:t>Can turn the bracketed segments into ellipses.</w:t>
      </w:r>
    </w:p>
  </w:comment>
  <w:comment w:id="9" w:author="Joe" w:date="2014-11-29T22:52:00Z" w:initials="J">
    <w:p w:rsidR="009950B0" w:rsidRDefault="009950B0">
      <w:pPr>
        <w:pStyle w:val="CommentText"/>
      </w:pPr>
      <w:r>
        <w:rPr>
          <w:rStyle w:val="CommentReference"/>
        </w:rPr>
        <w:annotationRef/>
      </w:r>
      <w:r>
        <w:t>Redundant with previous explanation of hypothesis comparison in pilot testing?</w:t>
      </w:r>
    </w:p>
  </w:comment>
  <w:comment w:id="10" w:author="Joe" w:date="2014-11-29T08:30:00Z" w:initials="J">
    <w:p w:rsidR="009950B0" w:rsidRDefault="009950B0">
      <w:pPr>
        <w:pStyle w:val="CommentText"/>
      </w:pPr>
      <w:r>
        <w:rPr>
          <w:rStyle w:val="CommentReference"/>
        </w:rPr>
        <w:annotationRef/>
      </w:r>
      <w:r>
        <w:t xml:space="preserve">Redundant with previous citation of Morey, </w:t>
      </w:r>
      <w:proofErr w:type="spellStart"/>
      <w:r>
        <w:t>Rouder</w:t>
      </w:r>
      <w:proofErr w:type="spellEnd"/>
      <w:r>
        <w:t>, &amp; Jamil?</w:t>
      </w:r>
    </w:p>
  </w:comment>
  <w:comment w:id="11" w:author="Joe" w:date="2014-11-24T17:34:00Z" w:initials="J">
    <w:p w:rsidR="009950B0" w:rsidRDefault="009950B0">
      <w:pPr>
        <w:pStyle w:val="CommentText"/>
      </w:pPr>
      <w:r>
        <w:rPr>
          <w:rStyle w:val="CommentReference"/>
        </w:rPr>
        <w:annotationRef/>
      </w:r>
      <w:r>
        <w:t>Pick up here, cleaning and clarifying Table 3.</w:t>
      </w:r>
    </w:p>
    <w:p w:rsidR="009950B0" w:rsidRDefault="009950B0">
      <w:pPr>
        <w:pStyle w:val="CommentText"/>
      </w:pPr>
    </w:p>
    <w:p w:rsidR="009950B0" w:rsidRPr="00282C2E" w:rsidRDefault="009950B0">
      <w:pPr>
        <w:pStyle w:val="CommentText"/>
      </w:pPr>
      <w:r>
        <w:t xml:space="preserve">Double check definition of scale to get appropriate HA1 (e.g., </w:t>
      </w:r>
      <w:proofErr w:type="spellStart"/>
      <w:r>
        <w:t>rscale</w:t>
      </w:r>
      <w:proofErr w:type="spellEnd"/>
      <w:r>
        <w:t xml:space="preserve"> = .2 vs </w:t>
      </w:r>
      <w:proofErr w:type="spellStart"/>
      <w:r>
        <w:t>rscale</w:t>
      </w:r>
      <w:proofErr w:type="spellEnd"/>
      <w:r>
        <w:t xml:space="preserve"> = .4)</w:t>
      </w:r>
    </w:p>
  </w:comment>
  <w:comment w:id="12" w:author="Joe" w:date="2014-11-29T08:59:00Z" w:initials="J">
    <w:p w:rsidR="009950B0" w:rsidRDefault="009950B0">
      <w:pPr>
        <w:pStyle w:val="CommentText"/>
      </w:pPr>
      <w:r>
        <w:rPr>
          <w:rStyle w:val="CommentReference"/>
        </w:rPr>
        <w:annotationRef/>
      </w:r>
      <w:r>
        <w:t xml:space="preserve">Maybe make a distinction </w:t>
      </w:r>
      <w:proofErr w:type="gramStart"/>
      <w:r>
        <w:t>between  studies</w:t>
      </w:r>
      <w:proofErr w:type="gramEnd"/>
      <w:r>
        <w:t xml:space="preserve"> that claimed better controls vs those that didn’t? Or investigate how </w:t>
      </w:r>
      <w:proofErr w:type="spellStart"/>
      <w:r>
        <w:t>Przyblyski</w:t>
      </w:r>
      <w:proofErr w:type="spellEnd"/>
      <w:r>
        <w:t xml:space="preserve"> or Ivory or Tear differ from Ferguson or Adachi or Elson?</w:t>
      </w:r>
    </w:p>
  </w:comment>
  <w:comment w:id="13" w:author="Joe" w:date="2014-11-29T11:46:00Z" w:initials="J">
    <w:p w:rsidR="009950B0" w:rsidRDefault="009950B0">
      <w:pPr>
        <w:pStyle w:val="CommentText"/>
      </w:pPr>
      <w:r>
        <w:rPr>
          <w:rStyle w:val="CommentReference"/>
        </w:rPr>
        <w:annotationRef/>
      </w:r>
      <w:r>
        <w:t>Again, state as BF02 not BF20</w:t>
      </w:r>
    </w:p>
  </w:comment>
  <w:comment w:id="14" w:author="Joe" w:date="2014-11-29T11:47:00Z" w:initials="J">
    <w:p w:rsidR="009950B0" w:rsidRDefault="009950B0">
      <w:pPr>
        <w:pStyle w:val="CommentText"/>
      </w:pPr>
      <w:r>
        <w:rPr>
          <w:rStyle w:val="CommentReference"/>
        </w:rPr>
        <w:annotationRef/>
      </w:r>
      <w:r>
        <w:t>BF02</w:t>
      </w:r>
    </w:p>
  </w:comment>
  <w:comment w:id="15" w:author="Joe" w:date="2014-11-29T11:47:00Z" w:initials="J">
    <w:p w:rsidR="009950B0" w:rsidRDefault="009950B0">
      <w:pPr>
        <w:pStyle w:val="CommentText"/>
      </w:pPr>
      <w:r>
        <w:rPr>
          <w:rStyle w:val="CommentReference"/>
        </w:rPr>
        <w:annotationRef/>
      </w:r>
      <w:r>
        <w:t>Bf02</w:t>
      </w:r>
    </w:p>
  </w:comment>
  <w:comment w:id="16" w:author="Joe" w:date="2014-11-29T11:47:00Z" w:initials="J">
    <w:p w:rsidR="009950B0" w:rsidRDefault="009950B0">
      <w:pPr>
        <w:pStyle w:val="CommentText"/>
      </w:pPr>
      <w:r>
        <w:rPr>
          <w:rStyle w:val="CommentReference"/>
        </w:rPr>
        <w:annotationRef/>
      </w:r>
      <w:r>
        <w:t>Bf02</w:t>
      </w:r>
    </w:p>
  </w:comment>
  <w:comment w:id="17" w:author="bartholowlab" w:date="2014-10-09T16:56:00Z" w:initials="b">
    <w:p w:rsidR="009950B0" w:rsidRDefault="009950B0">
      <w:pPr>
        <w:pStyle w:val="CommentText"/>
      </w:pPr>
      <w:r>
        <w:rPr>
          <w:rStyle w:val="CommentReference"/>
        </w:rPr>
        <w:annotationRef/>
      </w:r>
      <w:r>
        <w:t>Is there a better citation for the SHS or did it really just grow out of a subsection of the MAACL</w:t>
      </w:r>
    </w:p>
  </w:comment>
  <w:comment w:id="18" w:author="Dirk Mügge" w:date="2014-10-15T17:30:00Z" w:initials="DM">
    <w:p w:rsidR="009950B0" w:rsidRDefault="009950B0">
      <w:pPr>
        <w:pStyle w:val="CommentText"/>
      </w:pPr>
      <w:r>
        <w:rPr>
          <w:rStyle w:val="CommentReference"/>
        </w:rPr>
        <w:annotationRef/>
      </w:r>
      <w:r>
        <w:t>An advocate of NHST may argue that NHST supports the alternative hypothesis and, hence, the benefit of Bayesian testing is small.</w:t>
      </w:r>
    </w:p>
  </w:comment>
  <w:comment w:id="19" w:author="Joe" w:date="2014-12-02T19:38:00Z" w:initials="J">
    <w:p w:rsidR="001713D8" w:rsidRDefault="001713D8">
      <w:pPr>
        <w:pStyle w:val="CommentText"/>
      </w:pPr>
      <w:r>
        <w:rPr>
          <w:rStyle w:val="CommentReference"/>
        </w:rPr>
        <w:annotationRef/>
      </w:r>
      <w:r>
        <w:t>I don’t know what to say to that other than that even a broken watch is right twice a day!</w:t>
      </w:r>
    </w:p>
  </w:comment>
  <w:comment w:id="20" w:author="Joe" w:date="2014-11-29T11:54:00Z" w:initials="J">
    <w:p w:rsidR="009950B0" w:rsidRDefault="009950B0">
      <w:pPr>
        <w:pStyle w:val="CommentText"/>
      </w:pPr>
      <w:r>
        <w:rPr>
          <w:rStyle w:val="CommentReference"/>
        </w:rPr>
        <w:annotationRef/>
      </w:r>
      <w:r>
        <w:t>BF02</w:t>
      </w:r>
    </w:p>
  </w:comment>
  <w:comment w:id="21" w:author="Joe" w:date="2014-11-29T11:55:00Z" w:initials="J">
    <w:p w:rsidR="009950B0" w:rsidRDefault="009950B0">
      <w:pPr>
        <w:pStyle w:val="CommentText"/>
      </w:pPr>
      <w:r>
        <w:rPr>
          <w:rStyle w:val="CommentReference"/>
        </w:rPr>
        <w:annotationRef/>
      </w:r>
      <w:r>
        <w:t>BF02</w:t>
      </w:r>
    </w:p>
  </w:comment>
  <w:comment w:id="22" w:author="Joe" w:date="2014-12-02T19:29:00Z" w:initials="J">
    <w:p w:rsidR="00414BFC" w:rsidRDefault="00414BFC" w:rsidP="00414BFC">
      <w:pPr>
        <w:pStyle w:val="CommentText"/>
      </w:pPr>
      <w:r>
        <w:rPr>
          <w:rStyle w:val="CommentReference"/>
        </w:rPr>
        <w:annotationRef/>
      </w:r>
      <w:r>
        <w:rPr>
          <w:rStyle w:val="CommentReference"/>
        </w:rPr>
        <w:annotationRef/>
      </w:r>
      <w:r>
        <w:t>Maybe I should add an Anderson et al. paper or a smallish-N paper for the effect as counterpoint?</w:t>
      </w:r>
    </w:p>
    <w:p w:rsidR="00414BFC" w:rsidRDefault="00414BFC" w:rsidP="00414BFC">
      <w:pPr>
        <w:pStyle w:val="CommentText"/>
      </w:pPr>
    </w:p>
    <w:p w:rsidR="00414BFC" w:rsidRDefault="00414BFC" w:rsidP="00414BF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414BFC" w:rsidRDefault="00414BFC" w:rsidP="00414BFC">
      <w:pPr>
        <w:pStyle w:val="CommentText"/>
      </w:pPr>
    </w:p>
    <w:p w:rsidR="00414BFC" w:rsidRDefault="00414BFC" w:rsidP="00414BFC">
      <w:pPr>
        <w:pStyle w:val="CommentText"/>
      </w:pPr>
      <w:r>
        <w:t>-</w:t>
      </w:r>
      <w:r>
        <w:rPr>
          <w:rStyle w:val="CommentReference"/>
        </w:rPr>
        <w:annotationRef/>
      </w:r>
      <w:r>
        <w:t>Maybe I’ll grab the VVG study with the smallest possible N. Or the Gentile Anderson Buckley one with the colossal N.</w:t>
      </w:r>
    </w:p>
    <w:p w:rsidR="00414BFC" w:rsidRDefault="00414BFC" w:rsidP="00414BFC">
      <w:pPr>
        <w:pStyle w:val="CommentText"/>
      </w:pPr>
    </w:p>
    <w:p w:rsidR="00414BFC" w:rsidRDefault="00414BFC" w:rsidP="00414BFC">
      <w:pPr>
        <w:pStyle w:val="CommentText"/>
      </w:pPr>
      <w:r>
        <w:t>---------------------</w:t>
      </w:r>
    </w:p>
    <w:p w:rsidR="00414BFC" w:rsidRDefault="00414BFC" w:rsidP="00414BFC">
      <w:pPr>
        <w:pStyle w:val="CommentText"/>
      </w:pPr>
    </w:p>
    <w:p w:rsidR="00414BFC" w:rsidRDefault="00414BFC" w:rsidP="00414BFC">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414BFC" w:rsidRDefault="00414BFC" w:rsidP="00414BFC">
      <w:pPr>
        <w:pStyle w:val="CommentText"/>
      </w:pPr>
    </w:p>
    <w:p w:rsidR="00414BFC" w:rsidRDefault="00414BFC">
      <w:pPr>
        <w:pStyle w:val="CommentText"/>
      </w:pPr>
    </w:p>
  </w:comment>
  <w:comment w:id="23" w:author="bartholowlab" w:date="2014-10-09T12:12:00Z" w:initials="b">
    <w:p w:rsidR="009950B0" w:rsidRDefault="009950B0">
      <w:pPr>
        <w:pStyle w:val="CommentText"/>
      </w:pPr>
      <w:r>
        <w:rPr>
          <w:rStyle w:val="CommentReference"/>
        </w:rPr>
        <w:annotationRef/>
      </w:r>
      <w:r>
        <w:t>Check APA formatting.</w:t>
      </w:r>
    </w:p>
  </w:comment>
  <w:comment w:id="24" w:author="Joe" w:date="2014-11-23T13:47:00Z" w:initials="J">
    <w:p w:rsidR="009950B0" w:rsidRDefault="009950B0">
      <w:pPr>
        <w:pStyle w:val="CommentText"/>
      </w:pPr>
      <w:r>
        <w:rPr>
          <w:rStyle w:val="CommentReference"/>
        </w:rPr>
        <w:annotationRef/>
      </w:r>
      <w:r>
        <w:t xml:space="preserve">Need to decide on BF10 or BF01. Format column headers with italics and subscripts. Round BFs to appropriate number of </w:t>
      </w:r>
      <w:proofErr w:type="spellStart"/>
      <w:r>
        <w:t>sig.digs</w:t>
      </w:r>
      <w:proofErr w:type="spellEnd"/>
      <w:r>
        <w:t>.</w:t>
      </w:r>
    </w:p>
  </w:comment>
  <w:comment w:id="25" w:author="bartholowlab" w:date="2014-11-02T19:03:00Z" w:initials="b">
    <w:p w:rsidR="009950B0" w:rsidRDefault="009950B0">
      <w:pPr>
        <w:pStyle w:val="CommentText"/>
      </w:pPr>
      <w:r>
        <w:rPr>
          <w:rStyle w:val="CommentReference"/>
        </w:rPr>
        <w:annotationRef/>
      </w:r>
      <w:r>
        <w:t>Mention #groups, study design, etc.</w:t>
      </w:r>
    </w:p>
  </w:comment>
  <w:comment w:id="26" w:author="bartholowlab" w:date="2014-11-02T19:02:00Z" w:initials="b">
    <w:p w:rsidR="009950B0" w:rsidRDefault="009950B0">
      <w:pPr>
        <w:pStyle w:val="CommentText"/>
      </w:pPr>
      <w:r>
        <w:rPr>
          <w:rStyle w:val="CommentReference"/>
        </w:rPr>
        <w:annotationRef/>
      </w:r>
      <w:r>
        <w:t>2 (within) x 3 (between)</w:t>
      </w:r>
    </w:p>
  </w:comment>
  <w:comment w:id="28" w:author="Joe" w:date="2014-12-02T20:35:00Z" w:initials="J">
    <w:p w:rsidR="00A01F43" w:rsidRDefault="00A01F43">
      <w:pPr>
        <w:pStyle w:val="CommentText"/>
      </w:pPr>
      <w:r>
        <w:rPr>
          <w:rStyle w:val="CommentReference"/>
        </w:rPr>
        <w:annotationRef/>
      </w:r>
      <w:r>
        <w:t>This table needs updating!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054" w:rsidRDefault="00C75054" w:rsidP="007B41C0">
      <w:pPr>
        <w:spacing w:after="0" w:line="240" w:lineRule="auto"/>
      </w:pPr>
      <w:r>
        <w:separator/>
      </w:r>
    </w:p>
  </w:endnote>
  <w:endnote w:type="continuationSeparator" w:id="0">
    <w:p w:rsidR="00C75054" w:rsidRDefault="00C75054" w:rsidP="007B41C0">
      <w:pPr>
        <w:spacing w:after="0" w:line="240" w:lineRule="auto"/>
      </w:pPr>
      <w:r>
        <w:continuationSeparator/>
      </w:r>
    </w:p>
  </w:endnote>
  <w:endnote w:type="continuationNotice" w:id="1">
    <w:p w:rsidR="00C75054" w:rsidRDefault="00C750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054" w:rsidRDefault="00C75054" w:rsidP="007B41C0">
      <w:pPr>
        <w:spacing w:after="0" w:line="240" w:lineRule="auto"/>
      </w:pPr>
      <w:r>
        <w:separator/>
      </w:r>
    </w:p>
  </w:footnote>
  <w:footnote w:type="continuationSeparator" w:id="0">
    <w:p w:rsidR="00C75054" w:rsidRDefault="00C75054" w:rsidP="007B41C0">
      <w:pPr>
        <w:spacing w:after="0" w:line="240" w:lineRule="auto"/>
      </w:pPr>
      <w:r>
        <w:continuationSeparator/>
      </w:r>
    </w:p>
  </w:footnote>
  <w:footnote w:type="continuationNotice" w:id="1">
    <w:p w:rsidR="00C75054" w:rsidRDefault="00C75054">
      <w:pPr>
        <w:spacing w:after="0" w:line="240" w:lineRule="auto"/>
      </w:pPr>
    </w:p>
  </w:footnote>
  <w:footnote w:id="2">
    <w:p w:rsidR="009950B0" w:rsidRDefault="009950B0">
      <w:pPr>
        <w:pStyle w:val="FootnoteText"/>
      </w:pPr>
      <w:r>
        <w:rPr>
          <w:rStyle w:val="FootnoteReference"/>
        </w:rPr>
        <w:footnoteRef/>
      </w:r>
      <w:r>
        <w:t xml:space="preserve"> </w:t>
      </w:r>
      <w:r w:rsidRPr="007B41C0">
        <w:t xml:space="preserve">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gramStart"/>
      <w:r w:rsidRPr="007B41C0">
        <w:t>(</w:t>
      </w:r>
      <w:proofErr w:type="spellStart"/>
      <w:r>
        <w:t>Dienes</w:t>
      </w:r>
      <w:proofErr w:type="spellEnd"/>
      <w:r>
        <w:t xml:space="preserve">, 2011, pp </w:t>
      </w:r>
      <w:r w:rsidRPr="009E2D20">
        <w:t>280</w:t>
      </w:r>
      <w:r>
        <w:t>, an excellent resource on this problem</w:t>
      </w:r>
      <w:r w:rsidRPr="007B41C0">
        <w:t>)</w:t>
      </w:r>
      <w:r>
        <w:t>.</w:t>
      </w:r>
      <w:proofErr w:type="gramEnd"/>
    </w:p>
  </w:footnote>
  <w:footnote w:id="3">
    <w:p w:rsidR="009950B0" w:rsidRDefault="009950B0">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Sherry), but this is the most widely-cited of them. If the researcher is of the opinion that meta-analysis has failed to reveal an effect of violent content on aggressive behavior, he or she can use a JZS Bayes default prior, or, if testing for a hypothesized increase in aggressive behavior, a one-sided variant.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9950B0" w:rsidRDefault="009950B0">
        <w:pPr>
          <w:pStyle w:val="Header"/>
          <w:jc w:val="right"/>
        </w:pPr>
        <w:r>
          <w:fldChar w:fldCharType="begin"/>
        </w:r>
        <w:r>
          <w:instrText xml:space="preserve"> PAGE   \* MERGEFORMAT </w:instrText>
        </w:r>
        <w:r>
          <w:fldChar w:fldCharType="separate"/>
        </w:r>
        <w:r w:rsidR="00A01F43">
          <w:rPr>
            <w:noProof/>
          </w:rPr>
          <w:t>25</w:t>
        </w:r>
        <w:r>
          <w:rPr>
            <w:noProof/>
          </w:rPr>
          <w:fldChar w:fldCharType="end"/>
        </w:r>
      </w:p>
    </w:sdtContent>
  </w:sdt>
  <w:p w:rsidR="009950B0" w:rsidRDefault="009950B0"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2663B"/>
    <w:rsid w:val="00027EE5"/>
    <w:rsid w:val="00031C7A"/>
    <w:rsid w:val="00053D2A"/>
    <w:rsid w:val="00055DD8"/>
    <w:rsid w:val="00067C46"/>
    <w:rsid w:val="000732C5"/>
    <w:rsid w:val="000765FC"/>
    <w:rsid w:val="00083100"/>
    <w:rsid w:val="000871A6"/>
    <w:rsid w:val="00091732"/>
    <w:rsid w:val="000A2FA4"/>
    <w:rsid w:val="000A751E"/>
    <w:rsid w:val="000F3281"/>
    <w:rsid w:val="000F76FA"/>
    <w:rsid w:val="00106C1E"/>
    <w:rsid w:val="001438FC"/>
    <w:rsid w:val="00147741"/>
    <w:rsid w:val="001657D3"/>
    <w:rsid w:val="00167F27"/>
    <w:rsid w:val="001713D8"/>
    <w:rsid w:val="0018187E"/>
    <w:rsid w:val="00186D17"/>
    <w:rsid w:val="00194DFB"/>
    <w:rsid w:val="001B5D7E"/>
    <w:rsid w:val="001B67B0"/>
    <w:rsid w:val="001C1B37"/>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82C2E"/>
    <w:rsid w:val="00286CE4"/>
    <w:rsid w:val="0029362F"/>
    <w:rsid w:val="002B0EB2"/>
    <w:rsid w:val="002B2B51"/>
    <w:rsid w:val="002C2919"/>
    <w:rsid w:val="002C2947"/>
    <w:rsid w:val="002C709C"/>
    <w:rsid w:val="002D3DC9"/>
    <w:rsid w:val="002D4287"/>
    <w:rsid w:val="002E321B"/>
    <w:rsid w:val="002F3D86"/>
    <w:rsid w:val="00306946"/>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4BFC"/>
    <w:rsid w:val="00432495"/>
    <w:rsid w:val="00436246"/>
    <w:rsid w:val="00472FD7"/>
    <w:rsid w:val="00474331"/>
    <w:rsid w:val="00474BA1"/>
    <w:rsid w:val="00487303"/>
    <w:rsid w:val="004A71CC"/>
    <w:rsid w:val="004B77BD"/>
    <w:rsid w:val="004C3D0D"/>
    <w:rsid w:val="004D3876"/>
    <w:rsid w:val="004D4088"/>
    <w:rsid w:val="004D76FB"/>
    <w:rsid w:val="004E085D"/>
    <w:rsid w:val="004F2996"/>
    <w:rsid w:val="004F2DAB"/>
    <w:rsid w:val="004F5DCA"/>
    <w:rsid w:val="0050001C"/>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3772"/>
    <w:rsid w:val="005C40E6"/>
    <w:rsid w:val="005C7FC3"/>
    <w:rsid w:val="005D311A"/>
    <w:rsid w:val="005D72A7"/>
    <w:rsid w:val="005E7C6D"/>
    <w:rsid w:val="006055D4"/>
    <w:rsid w:val="00607209"/>
    <w:rsid w:val="0061024A"/>
    <w:rsid w:val="0064067E"/>
    <w:rsid w:val="006448C0"/>
    <w:rsid w:val="00645C17"/>
    <w:rsid w:val="00650E8B"/>
    <w:rsid w:val="00655DD2"/>
    <w:rsid w:val="00660BB8"/>
    <w:rsid w:val="00661722"/>
    <w:rsid w:val="006700EC"/>
    <w:rsid w:val="00677B41"/>
    <w:rsid w:val="006805CC"/>
    <w:rsid w:val="006A0394"/>
    <w:rsid w:val="006A3CB6"/>
    <w:rsid w:val="006A5469"/>
    <w:rsid w:val="006B0D25"/>
    <w:rsid w:val="006B44E5"/>
    <w:rsid w:val="006C4016"/>
    <w:rsid w:val="006C6F26"/>
    <w:rsid w:val="006E5437"/>
    <w:rsid w:val="006F455F"/>
    <w:rsid w:val="0070246A"/>
    <w:rsid w:val="00710871"/>
    <w:rsid w:val="00723E51"/>
    <w:rsid w:val="00731A00"/>
    <w:rsid w:val="00744173"/>
    <w:rsid w:val="00746C89"/>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8566E"/>
    <w:rsid w:val="00891433"/>
    <w:rsid w:val="008A202A"/>
    <w:rsid w:val="008A534A"/>
    <w:rsid w:val="008A5CDD"/>
    <w:rsid w:val="008B4858"/>
    <w:rsid w:val="008B4B2A"/>
    <w:rsid w:val="008C7FDC"/>
    <w:rsid w:val="008D35A1"/>
    <w:rsid w:val="008E118B"/>
    <w:rsid w:val="00917FB5"/>
    <w:rsid w:val="0095271F"/>
    <w:rsid w:val="0095292C"/>
    <w:rsid w:val="00953484"/>
    <w:rsid w:val="009538A3"/>
    <w:rsid w:val="00953FAB"/>
    <w:rsid w:val="00970001"/>
    <w:rsid w:val="00973433"/>
    <w:rsid w:val="0098217C"/>
    <w:rsid w:val="009950B0"/>
    <w:rsid w:val="00996435"/>
    <w:rsid w:val="0099649A"/>
    <w:rsid w:val="009A7E7E"/>
    <w:rsid w:val="009B0C9B"/>
    <w:rsid w:val="009B764A"/>
    <w:rsid w:val="009C3A9A"/>
    <w:rsid w:val="009C4204"/>
    <w:rsid w:val="009D0168"/>
    <w:rsid w:val="009D1EEA"/>
    <w:rsid w:val="009E0DB7"/>
    <w:rsid w:val="009E2D20"/>
    <w:rsid w:val="009E3096"/>
    <w:rsid w:val="009F6300"/>
    <w:rsid w:val="009F689E"/>
    <w:rsid w:val="00A01F43"/>
    <w:rsid w:val="00A05144"/>
    <w:rsid w:val="00A20F43"/>
    <w:rsid w:val="00A32F69"/>
    <w:rsid w:val="00A517AC"/>
    <w:rsid w:val="00A57223"/>
    <w:rsid w:val="00A6263A"/>
    <w:rsid w:val="00A67377"/>
    <w:rsid w:val="00A67872"/>
    <w:rsid w:val="00A92BF3"/>
    <w:rsid w:val="00A92D1E"/>
    <w:rsid w:val="00A94BAC"/>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7E16"/>
    <w:rsid w:val="00B41343"/>
    <w:rsid w:val="00B44834"/>
    <w:rsid w:val="00B57ECA"/>
    <w:rsid w:val="00B712A8"/>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5E3F"/>
    <w:rsid w:val="00C35968"/>
    <w:rsid w:val="00C47553"/>
    <w:rsid w:val="00C52F0A"/>
    <w:rsid w:val="00C535C4"/>
    <w:rsid w:val="00C67F0F"/>
    <w:rsid w:val="00C75054"/>
    <w:rsid w:val="00C9022E"/>
    <w:rsid w:val="00C90438"/>
    <w:rsid w:val="00C9090F"/>
    <w:rsid w:val="00C92B8C"/>
    <w:rsid w:val="00CA3720"/>
    <w:rsid w:val="00CA670B"/>
    <w:rsid w:val="00CB0963"/>
    <w:rsid w:val="00CB12C5"/>
    <w:rsid w:val="00CB33CC"/>
    <w:rsid w:val="00CD30DD"/>
    <w:rsid w:val="00CD5A32"/>
    <w:rsid w:val="00CE13F5"/>
    <w:rsid w:val="00CE1C70"/>
    <w:rsid w:val="00CE4DB0"/>
    <w:rsid w:val="00CF38AC"/>
    <w:rsid w:val="00CF5C84"/>
    <w:rsid w:val="00CF723A"/>
    <w:rsid w:val="00D000DA"/>
    <w:rsid w:val="00D12FBF"/>
    <w:rsid w:val="00D179C7"/>
    <w:rsid w:val="00D26D42"/>
    <w:rsid w:val="00D40E8A"/>
    <w:rsid w:val="00D424FC"/>
    <w:rsid w:val="00D4449D"/>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610E"/>
    <w:rsid w:val="00E47067"/>
    <w:rsid w:val="00E56861"/>
    <w:rsid w:val="00E56A8B"/>
    <w:rsid w:val="00E5743A"/>
    <w:rsid w:val="00E70223"/>
    <w:rsid w:val="00E8044E"/>
    <w:rsid w:val="00E853F0"/>
    <w:rsid w:val="00ED25F3"/>
    <w:rsid w:val="00ED3D56"/>
    <w:rsid w:val="00EE3FB8"/>
    <w:rsid w:val="00EE6C0B"/>
    <w:rsid w:val="00EF049E"/>
    <w:rsid w:val="00EF47B4"/>
    <w:rsid w:val="00F00B55"/>
    <w:rsid w:val="00F25A46"/>
    <w:rsid w:val="00F52B2A"/>
    <w:rsid w:val="00F8101F"/>
    <w:rsid w:val="00F81424"/>
    <w:rsid w:val="00F90B57"/>
    <w:rsid w:val="00F940E1"/>
    <w:rsid w:val="00FA201E"/>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2139/ssrn.235192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outu.be/3lAB1JlbVIM?t=5m28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fesci.sussex.ac.uk/home/Zoltan_Dienes/inference/Bayes.htm" TargetMode="External"/><Relationship Id="rId4" Type="http://schemas.openxmlformats.org/officeDocument/2006/relationships/settings" Target="settings.xml"/><Relationship Id="rId9" Type="http://schemas.openxmlformats.org/officeDocument/2006/relationships/hyperlink" Target="http://pcl.missouri.edu/bf-two-s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C30D770-9D0A-4A48-A48D-943E5AE2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26</Pages>
  <Words>9125</Words>
  <Characters>52016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28</cp:revision>
  <cp:lastPrinted>2014-11-17T20:19:00Z</cp:lastPrinted>
  <dcterms:created xsi:type="dcterms:W3CDTF">2014-11-13T05:10:00Z</dcterms:created>
  <dcterms:modified xsi:type="dcterms:W3CDTF">2014-12-03T02:35:00Z</dcterms:modified>
</cp:coreProperties>
</file>