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Normal"/>
        <w:tblW w:type="pct" w:w="5000.0"/>
        <w:tblLook/>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Richard A. Klein, . E-mail:</w:t>
      </w:r>
      <w:r>
        <w:t xml:space="preserve"> </w:t>
      </w:r>
      <w:hyperlink r:id="rId22">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3" w:name="participants"/>
      <w:bookmarkEnd w:id="23"/>
      <w:r>
        <w:t xml:space="preserve">Participants</w:t>
      </w:r>
    </w:p>
    <w:p>
      <w:pPr>
        <w:pStyle w:val="FirstParagraph"/>
      </w:pPr>
      <w:r>
        <w:t xml:space="preserve">A total of 17 labs participated and provided a total sample of 1,578 participants. In accordance with the pre-registration (</w:t>
      </w:r>
      <w:hyperlink r:id="rId24">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1,421 participants (see Table 1 for a summary of sites). 785 participants (55.24%) reported being female and 367 participants (25.83%) reported being male; the remaining participants did not respond to the item, were asked about gender in a non-standard way, or chose a different response. The mean age was 19.96 years (</w:t>
      </w:r>
      <w:r>
        <w:rPr>
          <w:i/>
        </w:rPr>
        <w:t xml:space="preserve">SD</w:t>
      </w:r>
      <w:r>
        <w:t xml:space="preserve"> </w:t>
      </w:r>
      <w:r>
        <w:t xml:space="preserve">= 2.54). Participant reported race was 587 (41.31%) White, 160 (11.26%) Asian, 87 (6.12%) Black or African American, 31 (2.18%) American Indian or Alaska Native, 12 (0.84%) Native Hawaiian or Pacific Islander, 98 (6.90%) Other. The remaining participants did not report their race, or responses were not easily recoded to match these categories.</w:t>
      </w:r>
    </w:p>
    <w:p>
      <w:pPr>
        <w:pStyle w:val="berschrift2"/>
      </w:pPr>
      <w:bookmarkStart w:id="25" w:name="analysis-plan"/>
      <w:bookmarkEnd w:id="25"/>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0.88) and then subtracted from the average of the three items evaluating authors of the pro-American essays (</w:t>
      </w:r>
      <m:oMath>
        <m:r>
          <m:t>α</m:t>
        </m:r>
      </m:oMath>
      <w:r>
        <w:t xml:space="preserve"> </w:t>
      </w:r>
      <w:r>
        <w:t xml:space="preserve">= 0.88).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6">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1,578 to 1,421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501.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225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4">
        <w:r>
          <w:rPr>
            <w:rStyle w:val="Hyperlink"/>
          </w:rPr>
          <w:t xml:space="preserve">https://osf.io/4xx6w</w:t>
        </w:r>
      </w:hyperlink>
      <w:r>
        <w:t xml:space="preserve">).</w:t>
      </w:r>
    </w:p>
    <w:p>
      <w:pPr>
        <w:pStyle w:val="berschrift1"/>
      </w:pPr>
      <w:bookmarkStart w:id="27" w:name="results"/>
      <w:bookmarkEnd w:id="27"/>
      <w:r>
        <w:t xml:space="preserve">Results</w:t>
      </w:r>
    </w:p>
    <w:p>
      <w:pPr>
        <w:pStyle w:val="berschrift2"/>
      </w:pPr>
      <w:bookmarkStart w:id="28" w:name="researcher-expectations-and-characteristics"/>
      <w:bookmarkEnd w:id="28"/>
      <w:r>
        <w:t xml:space="preserve">Researcher Expectations and Characteristics</w:t>
      </w:r>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29"/>
      </w:r>
    </w:p>
    <w:p>
      <w:pPr>
        <w:pStyle w:val="berschrift2"/>
      </w:pPr>
      <w:bookmarkStart w:id="30" w:name="deviations-from-pre-registered-analytic-plan"/>
      <w:bookmarkEnd w:id="30"/>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1">
        <w:r>
          <w:rPr>
            <w:rStyle w:val="Hyperlink"/>
          </w:rPr>
          <w:t xml:space="preserve">https://osf.io/8ccnw/</w:t>
        </w:r>
      </w:hyperlink>
      <w:r>
        <w:t xml:space="preserve">), and no conclusions substantively change between the current model and the three-level model.</w:t>
      </w:r>
    </w:p>
    <w:p>
      <w:pPr>
        <w:pStyle w:val="berschrift2"/>
      </w:pPr>
      <w:bookmarkStart w:id="32" w:name="research-question-1-meta-analytic-results-across-all-labs-random-effects-meta-analysis."/>
      <w:bookmarkEnd w:id="32"/>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1.27,</w:t>
      </w:r>
      <w:r>
        <w:t xml:space="preserve"> </w:t>
      </w:r>
      <w:r>
        <w:rPr>
          <w:i/>
        </w:rPr>
        <w:t xml:space="preserve">p</w:t>
      </w:r>
      <w:r>
        <w:t xml:space="preserve"> </w:t>
      </w:r>
      <w:r>
        <w:t xml:space="preserve">= 0.20. 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1.44,</w:t>
      </w:r>
      <w:r>
        <w:t xml:space="preserve"> </w:t>
      </w:r>
      <w:r>
        <w:rPr>
          <w:i/>
        </w:rPr>
        <w:t xml:space="preserve">p</w:t>
      </w:r>
      <w:r>
        <w:t xml:space="preserve"> </w:t>
      </w:r>
      <w:r>
        <w:t xml:space="preserve">= 0.15. Exclusion Set 3:</w:t>
      </w:r>
      <w:r>
        <w:t xml:space="preserve"> </w:t>
      </w:r>
      <w:r>
        <w:rPr>
          <w:i/>
        </w:rPr>
        <w:t xml:space="preserve">Hedges’ g</w:t>
      </w:r>
      <w:r>
        <w:t xml:space="preserve"> </w:t>
      </w:r>
      <w:r>
        <w:t xml:space="preserve">= 0.09, 95% CI = [-0.05, 0.22],</w:t>
      </w:r>
      <w:r>
        <w:t xml:space="preserve"> </w:t>
      </w:r>
      <w:r>
        <w:rPr>
          <w:i/>
        </w:rPr>
        <w:t xml:space="preserve">SE</w:t>
      </w:r>
      <w:r>
        <w:t xml:space="preserve"> </w:t>
      </w:r>
      <w:r>
        <w:t xml:space="preserve">= 0.07,</w:t>
      </w:r>
      <w:r>
        <w:t xml:space="preserve"> </w:t>
      </w:r>
      <w:r>
        <w:rPr>
          <w:i/>
        </w:rPr>
        <w:t xml:space="preserve">Z</w:t>
      </w:r>
      <w:r>
        <w:t xml:space="preserve"> </w:t>
      </w:r>
      <w:r>
        <w:t xml:space="preserve">= 1.26,</w:t>
      </w:r>
      <w:r>
        <w:t xml:space="preserve"> </w:t>
      </w:r>
      <w:r>
        <w:rPr>
          <w:i/>
        </w:rPr>
        <w:t xml:space="preserve">p</w:t>
      </w:r>
      <w:r>
        <w:t xml:space="preserve"> </w:t>
      </w:r>
      <w:r>
        <w:t xml:space="preserve">= 0.21. Forest plots showing the effects for individual sites and the aggregate are available in Figure 1 for Exclusion Set 1 (see</w:t>
      </w:r>
      <w:r>
        <w:t xml:space="preserve"> </w:t>
      </w:r>
      <w:hyperlink r:id="rId31">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(16) = 19.64,</w:t>
      </w:r>
      <w:r>
        <w:t xml:space="preserve"> </w:t>
      </w:r>
      <w:r>
        <w:rPr>
          <w:i/>
        </w:rPr>
        <w:t xml:space="preserve">p</w:t>
      </w:r>
      <w:r>
        <w:t xml:space="preserve"> </w:t>
      </w:r>
      <w:r>
        <w:t xml:space="preserve">= 0.24; Exclusion Set 3:</w:t>
      </w:r>
      <w:r>
        <w:t xml:space="preserve"> </w:t>
      </w:r>
      <w:r>
        <w:rPr>
          <w:i/>
        </w:rPr>
        <w:t xml:space="preserve">Q</w:t>
      </w:r>
      <w:r>
        <w:t xml:space="preserve">(16) = 18.87,</w:t>
      </w:r>
      <w:r>
        <w:t xml:space="preserve"> </w:t>
      </w:r>
      <w:r>
        <w:rPr>
          <w:i/>
        </w:rPr>
        <w:t xml:space="preserve">p</w:t>
      </w:r>
      <w:r>
        <w:t xml:space="preserve"> </w:t>
      </w:r>
      <w:r>
        <w:t xml:space="preserve">= 0.28. The amount of variation between sites did exceed chance for Exclusion Set 2,</w:t>
      </w:r>
      <w:r>
        <w:t xml:space="preserve"> </w:t>
      </w:r>
      <w:r>
        <w:rPr>
          <w:i/>
        </w:rPr>
        <w:t xml:space="preserve">Q</w:t>
      </w:r>
      <w:r>
        <w:t xml:space="preserve">(16) = 22.02,</w:t>
      </w:r>
      <w:r>
        <w:t xml:space="preserve"> </w:t>
      </w:r>
      <w:r>
        <w:rPr>
          <w:i/>
        </w:rPr>
        <w:t xml:space="preserve">p</w:t>
      </w:r>
      <w:r>
        <w:t xml:space="preserve"> </w:t>
      </w:r>
      <w:r>
        <w:t xml:space="preserve">= 0.14, however it was small in magnitude, Tau</w:t>
      </w:r>
      <w:r>
        <w:rPr>
          <w:vertAlign w:val="superscript"/>
        </w:rPr>
        <w:t xml:space="preserve">2</w:t>
      </w:r>
      <w:r>
        <w:t xml:space="preserve"> </w:t>
      </w:r>
      <w:r>
        <w:t xml:space="preserve">= 0.01.</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3" w:name="research-question-2-moderation-by-author-advisedin-house-protocol"/>
      <w:bookmarkEnd w:id="33"/>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0.06, 95% CI = [-0.08, 0.19],</w:t>
      </w:r>
      <w:r>
        <w:t xml:space="preserve"> </w:t>
      </w:r>
      <w:r>
        <w:rPr>
          <w:i/>
        </w:rPr>
        <w:t xml:space="preserve">SE</w:t>
      </w:r>
      <w:r>
        <w:t xml:space="preserve"> </w:t>
      </w:r>
      <w:r>
        <w:t xml:space="preserve">= 0.07,</w:t>
      </w:r>
      <w:r>
        <w:t xml:space="preserve"> </w:t>
      </w:r>
      <w:r>
        <w:rPr>
          <w:i/>
        </w:rPr>
        <w:t xml:space="preserve">Z</w:t>
      </w:r>
      <w:r>
        <w:t xml:space="preserve"> </w:t>
      </w:r>
      <w:r>
        <w:t xml:space="preserve">= 0.79,</w:t>
      </w:r>
      <w:r>
        <w:t xml:space="preserve"> </w:t>
      </w:r>
      <w:r>
        <w:rPr>
          <w:i/>
        </w:rPr>
        <w:t xml:space="preserve">p</w:t>
      </w:r>
      <w:r>
        <w:t xml:space="preserve"> </w:t>
      </w:r>
      <w:r>
        <w:t xml:space="preserve">= 0.43. Exclusion Set 2:</w:t>
      </w:r>
      <w:r>
        <w:t xml:space="preserve"> </w:t>
      </w:r>
      <w:r>
        <w:rPr>
          <w:i/>
        </w:rPr>
        <w:t xml:space="preserve">Hedges’ g</w:t>
      </w:r>
      <w:r>
        <w:t xml:space="preserve"> </w:t>
      </w:r>
      <w:r>
        <w:t xml:space="preserve">= 0.05, 95% CI = [-0.09, 0.20],</w:t>
      </w:r>
      <w:r>
        <w:t xml:space="preserve"> </w:t>
      </w:r>
      <w:r>
        <w:rPr>
          <w:i/>
        </w:rPr>
        <w:t xml:space="preserve">SE</w:t>
      </w:r>
      <w:r>
        <w:t xml:space="preserve"> </w:t>
      </w:r>
      <w:r>
        <w:t xml:space="preserve">= 0.07,</w:t>
      </w:r>
      <w:r>
        <w:t xml:space="preserve"> </w:t>
      </w:r>
      <w:r>
        <w:rPr>
          <w:i/>
        </w:rPr>
        <w:t xml:space="preserve">Z</w:t>
      </w:r>
      <w:r>
        <w:t xml:space="preserve"> </w:t>
      </w:r>
      <w:r>
        <w:t xml:space="preserve">= 0.74,</w:t>
      </w:r>
      <w:r>
        <w:t xml:space="preserve"> </w:t>
      </w:r>
      <w:r>
        <w:rPr>
          <w:i/>
        </w:rPr>
        <w:t xml:space="preserve">p</w:t>
      </w:r>
      <w:r>
        <w:t xml:space="preserve"> </w:t>
      </w:r>
      <w:r>
        <w:t xml:space="preserve">= 0.46. Exclusion Set 3:</w:t>
      </w:r>
      <w:r>
        <w:t xml:space="preserve"> </w:t>
      </w:r>
      <w:r>
        <w:rPr>
          <w:i/>
        </w:rPr>
        <w:t xml:space="preserve">Hedges’ g</w:t>
      </w:r>
      <w:r>
        <w:t xml:space="preserve"> </w:t>
      </w:r>
      <w:r>
        <w:t xml:space="preserve">= 0.05, 95% CI = [-0.10, 0.21],</w:t>
      </w:r>
      <w:r>
        <w:t xml:space="preserve"> </w:t>
      </w:r>
      <w:r>
        <w:rPr>
          <w:i/>
        </w:rPr>
        <w:t xml:space="preserve">SE</w:t>
      </w:r>
      <w:r>
        <w:t xml:space="preserve"> </w:t>
      </w:r>
      <w:r>
        <w:t xml:space="preserve">= 0.08,</w:t>
      </w:r>
      <w:r>
        <w:t xml:space="preserve"> </w:t>
      </w:r>
      <w:r>
        <w:rPr>
          <w:i/>
        </w:rPr>
        <w:t xml:space="preserve">Z</w:t>
      </w:r>
      <w:r>
        <w:t xml:space="preserve"> </w:t>
      </w:r>
      <w:r>
        <w:t xml:space="preserve">= 0.70,</w:t>
      </w:r>
      <w:r>
        <w:t xml:space="preserve"> </w:t>
      </w:r>
      <w:r>
        <w:rPr>
          <w:i/>
        </w:rPr>
        <w:t xml:space="preserve">p</w:t>
      </w:r>
      <w:r>
        <w:t xml:space="preserve"> </w:t>
      </w:r>
      <w:r>
        <w:t xml:space="preserve">= 0.49.</w:t>
      </w:r>
    </w:p>
    <w:p>
      <w:pPr>
        <w:pStyle w:val="Textkrper"/>
      </w:pPr>
      <w:r>
        <w:t xml:space="preserve">Variation among effect sizes also followed the previously observed pattern. Weak heterogeneity for Exclusion Set 2,</w:t>
      </w:r>
      <w:r>
        <w:t xml:space="preserve"> </w:t>
      </w:r>
      <w:r>
        <w:rPr>
          <w:i/>
        </w:rPr>
        <w:t xml:space="preserve">Q</w:t>
      </w:r>
      <w:r>
        <w:t xml:space="preserve">(16) = 22.02,</w:t>
      </w:r>
      <w:r>
        <w:t xml:space="preserve"> </w:t>
      </w:r>
      <w:r>
        <w:rPr>
          <w:i/>
        </w:rPr>
        <w:t xml:space="preserve">p</w:t>
      </w:r>
      <w:r>
        <w:t xml:space="preserve"> </w:t>
      </w:r>
      <w:r>
        <w:t xml:space="preserve">= 0.14, Tau</w:t>
      </w:r>
      <w:r>
        <w:rPr>
          <w:vertAlign w:val="superscript"/>
        </w:rPr>
        <w:t xml:space="preserve">2</w:t>
      </w:r>
      <w:r>
        <w:t xml:space="preserve"> </w:t>
      </w:r>
      <w:r>
        <w:t xml:space="preserve">= 0.01; while variation did not meet the statistical significance threshold for Exclusion Set 1</w:t>
      </w:r>
      <w:r>
        <w:t xml:space="preserve"> </w:t>
      </w:r>
      <w:r>
        <w:rPr>
          <w:i/>
        </w:rPr>
        <w:t xml:space="preserve">Q</w:t>
      </w:r>
      <w:r>
        <w:t xml:space="preserve">(16) = 19.64,</w:t>
      </w:r>
      <w:r>
        <w:t xml:space="preserve"> </w:t>
      </w:r>
      <w:r>
        <w:rPr>
          <w:i/>
        </w:rPr>
        <w:t xml:space="preserve">p</w:t>
      </w:r>
      <w:r>
        <w:t xml:space="preserve"> </w:t>
      </w:r>
      <w:r>
        <w:t xml:space="preserve">= 0.24; or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0.02,</w:t>
      </w:r>
      <w:r>
        <w:t xml:space="preserve"> </w:t>
      </w:r>
      <w:r>
        <w:rPr>
          <w:i/>
        </w:rPr>
        <w:t xml:space="preserve">Z</w:t>
      </w:r>
      <w:r>
        <w:t xml:space="preserve"> </w:t>
      </w:r>
      <w:r>
        <w:t xml:space="preserve">= 0.23,</w:t>
      </w:r>
      <w:r>
        <w:t xml:space="preserve"> </w:t>
      </w:r>
      <w:r>
        <w:rPr>
          <w:i/>
        </w:rPr>
        <w:t xml:space="preserve">p</w:t>
      </w:r>
      <w:r>
        <w:t xml:space="preserve"> </w:t>
      </w:r>
      <w:r>
        <w:t xml:space="preserve">= 0.82; Exclusion Set 2:</w:t>
      </w:r>
      <w:r>
        <w:t xml:space="preserve"> </w:t>
      </w:r>
      <w:r>
        <w:rPr>
          <w:i/>
        </w:rPr>
        <w:t xml:space="preserve">b</w:t>
      </w:r>
      <w:r>
        <w:t xml:space="preserve"> </w:t>
      </w:r>
      <w:r>
        <w:t xml:space="preserve">= 0.11,</w:t>
      </w:r>
      <w:r>
        <w:t xml:space="preserve"> </w:t>
      </w:r>
      <w:r>
        <w:rPr>
          <w:i/>
        </w:rPr>
        <w:t xml:space="preserve">Z</w:t>
      </w:r>
      <w:r>
        <w:t xml:space="preserve"> </w:t>
      </w:r>
      <w:r>
        <w:t xml:space="preserve">= 0.84,</w:t>
      </w:r>
      <w:r>
        <w:t xml:space="preserve"> </w:t>
      </w:r>
      <w:r>
        <w:rPr>
          <w:i/>
        </w:rPr>
        <w:t xml:space="preserve">p</w:t>
      </w:r>
      <w:r>
        <w:t xml:space="preserve"> </w:t>
      </w:r>
      <w:r>
        <w:t xml:space="preserve">= 0.40; Exclusion Set 3:</w:t>
      </w:r>
      <w:r>
        <w:t xml:space="preserve"> </w:t>
      </w:r>
      <w:r>
        <w:rPr>
          <w:i/>
        </w:rPr>
        <w:t xml:space="preserve">b</w:t>
      </w:r>
      <w:r>
        <w:t xml:space="preserve"> </w:t>
      </w:r>
      <w:r>
        <w:t xml:space="preserve">= 0.14,</w:t>
      </w:r>
      <w:r>
        <w:t xml:space="preserve"> </w:t>
      </w:r>
      <w:r>
        <w:rPr>
          <w:i/>
        </w:rPr>
        <w:t xml:space="preserve">Z</w:t>
      </w:r>
      <w:r>
        <w:t xml:space="preserve"> </w:t>
      </w:r>
      <w:r>
        <w:t xml:space="preserve">= 0.88,</w:t>
      </w:r>
      <w:r>
        <w:t xml:space="preserve"> </w:t>
      </w:r>
      <w:r>
        <w:rPr>
          <w:i/>
        </w:rPr>
        <w:t xml:space="preserve">p</w:t>
      </w:r>
      <w:r>
        <w:t xml:space="preserve"> </w:t>
      </w:r>
      <w:r>
        <w:t xml:space="preserve">= 0.38. The Author Advised version did not produce larger effect sizes when compared with the In House versions.</w:t>
      </w:r>
    </w:p>
    <w:p>
      <w:pPr>
        <w:pStyle w:val="berschrift2"/>
      </w:pPr>
      <w:bookmarkStart w:id="34" w:name="research-question-3-effect-of-standardization"/>
      <w:bookmarkEnd w:id="34"/>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0.74,</w:t>
      </w:r>
      <w:r>
        <w:t xml:space="preserve"> </w:t>
      </w:r>
      <w:r>
        <w:rPr>
          <w:i/>
        </w:rPr>
        <w:t xml:space="preserve">p</w:t>
      </w:r>
      <w:r>
        <w:t xml:space="preserve"> </w:t>
      </w:r>
      <w:r>
        <w:t xml:space="preserve">= 0.39;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5" w:name="follow-up-exploratory-analyses"/>
      <w:bookmarkEnd w:id="35"/>
      <w:r>
        <w:t xml:space="preserve">Follow-Up Exploratory Analyses</w:t>
      </w:r>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0.99,</w:t>
      </w:r>
      <w:r>
        <w:t xml:space="preserve"> </w:t>
      </w:r>
      <w:r>
        <w:rPr>
          <w:i/>
        </w:rPr>
        <w:t xml:space="preserve">SD</w:t>
      </w:r>
      <w:r>
        <w:t xml:space="preserve"> </w:t>
      </w:r>
      <w:r>
        <w:t xml:space="preserve">= 2.14) and the control group (</w:t>
      </w:r>
      <w:r>
        <w:rPr>
          <w:i/>
        </w:rPr>
        <w:t xml:space="preserve">M</w:t>
      </w:r>
      <w:r>
        <w:t xml:space="preserve"> </w:t>
      </w:r>
      <w:r>
        <w:t xml:space="preserve">= 0.85,</w:t>
      </w:r>
      <w:r>
        <w:t xml:space="preserve"> </w:t>
      </w:r>
      <w:r>
        <w:rPr>
          <w:i/>
        </w:rPr>
        <w:t xml:space="preserve">SD</w:t>
      </w:r>
      <w:r>
        <w:t xml:space="preserve"> </w:t>
      </w:r>
      <w:r>
        <w:t xml:space="preserve">= 2.12),</w:t>
      </w:r>
      <w:r>
        <w:t xml:space="preserve"> </w:t>
      </w:r>
      <w:r>
        <w:rPr>
          <w:i/>
        </w:rPr>
        <w:t xml:space="preserve">t</w:t>
      </w:r>
      <w:r>
        <w:t xml:space="preserve">(402.23) = 0.67,</w:t>
      </w:r>
      <w:r>
        <w:t xml:space="preserve"> </w:t>
      </w:r>
      <w:r>
        <w:rPr>
          <w:i/>
        </w:rPr>
        <w:t xml:space="preserve">p</w:t>
      </w:r>
      <w:r>
        <w:t xml:space="preserve"> </w:t>
      </w:r>
      <w:r>
        <w:t xml:space="preserve">= 0.50,</w:t>
      </w:r>
      <w:r>
        <w:t xml:space="preserve"> </w:t>
      </w:r>
      <w:r>
        <w:rPr>
          <w:i/>
        </w:rPr>
        <w:t xml:space="preserve">Hedges’ g</w:t>
      </w:r>
      <w:r>
        <w:t xml:space="preserve"> </w:t>
      </w:r>
      <w:r>
        <w:t xml:space="preserve">= 0.07, 95% CI = [-0.13, 0.26].</w:t>
      </w:r>
      <w:r>
        <w:rPr>
          <w:rStyle w:val="Funotenzeichen"/>
        </w:rPr>
        <w:footnoteReference w:id="36"/>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NA% of participants prefered the pro-US essay author, NA% preferred the anti-US essay author, and NA% had no preference. Among Author Advised replications, NA% of participants prefered the pro-US essay author, NA% preferred the anti-US essay author, and NA%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2.03),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(698.98) = 1.10,</w:t>
      </w:r>
      <w:r>
        <w:t xml:space="preserve"> </w:t>
      </w:r>
      <w:r>
        <w:rPr>
          <w:i/>
        </w:rPr>
        <w:t xml:space="preserve">p</w:t>
      </w:r>
      <w:r>
        <w:t xml:space="preserve"> </w:t>
      </w:r>
      <w:r>
        <w:t xml:space="preserve">= 0.27,</w:t>
      </w:r>
      <w:r>
        <w:t xml:space="preserve"> </w:t>
      </w:r>
      <w:r>
        <w:rPr>
          <w:i/>
        </w:rPr>
        <w:t xml:space="preserve">Hedges’ g</w:t>
      </w:r>
      <w:r>
        <w:t xml:space="preserve"> </w:t>
      </w:r>
      <w:r>
        <w:t xml:space="preserve">= 0.08, 95% CI = [-0.07,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2.13),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(370.77) = 1.49,</w:t>
      </w:r>
      <w:r>
        <w:t xml:space="preserve"> </w:t>
      </w:r>
      <w:r>
        <w:rPr>
          <w:i/>
        </w:rPr>
        <w:t xml:space="preserve">p</w:t>
      </w:r>
      <w:r>
        <w:t xml:space="preserve"> </w:t>
      </w:r>
      <w:r>
        <w:t xml:space="preserve">= 0.14,</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p>
      <w:pPr>
        <w:pStyle w:val="Textkrper"/>
      </w:pPr>
      <w:r>
        <w:t xml:space="preserve"> </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6">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f2b3f7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osf.io/4xx6w" TargetMode="External" /><Relationship Type="http://schemas.openxmlformats.org/officeDocument/2006/relationships/hyperlink" Id="rId31" Target="https://osf.io/8ccnw/" TargetMode="External" /><Relationship Type="http://schemas.openxmlformats.org/officeDocument/2006/relationships/hyperlink" Id="rId26" Target="https://osf.io/xtg4u/" TargetMode="External" /><Relationship Type="http://schemas.openxmlformats.org/officeDocument/2006/relationships/hyperlink" Id="rId22"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osf.io/4xx6w" TargetMode="External" /><Relationship Type="http://schemas.openxmlformats.org/officeDocument/2006/relationships/hyperlink" Id="rId31" Target="https://osf.io/8ccnw/" TargetMode="External" /><Relationship Type="http://schemas.openxmlformats.org/officeDocument/2006/relationships/hyperlink" Id="rId26" Target="https://osf.io/xtg4u/" TargetMode="External" /><Relationship Type="http://schemas.openxmlformats.org/officeDocument/2006/relationships/hyperlink" Id="rId22"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dcterms:created xsi:type="dcterms:W3CDTF">2020-03-09T16:32:41Z</dcterms:created>
  <dcterms:modified xsi:type="dcterms:W3CDTF">2020-03-09T16:32:41Z</dcterms:modified>
</cp:coreProperties>
</file>