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Results Section in rMarkdown</w:t>
      </w:r>
    </w:p>
    <w:p>
      <w:pPr>
        <w:pStyle w:val="berschrift1"/>
      </w:pPr>
      <w:bookmarkStart w:id="21" w:name="work-in-progress"/>
      <w:r>
        <w:t xml:space="preserve">Work in progress</w:t>
      </w:r>
      <w:bookmarkEnd w:id="21"/>
    </w:p>
    <w:p>
      <w:pPr>
        <w:pStyle w:val="FirstParagraph"/>
      </w:pPr>
      <w:r>
        <w:t xml:space="preserve">Results from the researcher survey are not yet filtered for the subset of sources that collected &gt; 60 participants. Several experimenter survey responses come from the same site.</w:t>
      </w:r>
      <w:r>
        <w:t xml:space="preserve"> </w:t>
      </w:r>
      <w:r>
        <w:t xml:space="preserve">Power calculations in this document are not calculated on the fly and can be inaccurate. Where previously there was a just significant effect among author-advised studies (g = .20, p = .04, one-tailed, Chatard et al. 2020), that appears to have been wiped out by the re-addition of UWMadison-expert.</w:t>
      </w:r>
    </w:p>
    <w:p>
      <w:pPr>
        <w:pStyle w:val="berschrift2"/>
      </w:pPr>
      <w:bookmarkStart w:id="22" w:name="participants"/>
      <w:r>
        <w:t xml:space="preserve">Participants</w:t>
      </w:r>
      <w:bookmarkEnd w:id="22"/>
    </w:p>
    <w:p>
      <w:pPr>
        <w:pStyle w:val="FirstParagraph"/>
      </w:pPr>
      <w:r>
        <w:t xml:space="preserve">A total of 17 labs participated and provided a total sample of 1,578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1,557 participants (see Table 1 for a summary of sites). 842 participants (54.08%) reported being female and 446 participants (28.64%) reported being male; the remaining participants did not respond to the item, were asked about gender in a non-standard way, or chose a different response. The mean age was 19.91 years (</w:t>
      </w:r>
      <w:r>
        <w:rPr>
          <w:i/>
        </w:rPr>
        <w:t xml:space="preserve">SD</w:t>
      </w:r>
      <w:r>
        <w:t xml:space="preserve"> </w:t>
      </w:r>
      <w:r>
        <w:t xml:space="preserve">= 2.49). Participant reported race was 680 (43.67%) White, 171 (10.98%) Asian, 91 (5.84%) Black or African American, 32 (2.06%) American Indian or Alaska Native, 14 (0.90%) Native Hawaiian or Pacific Islander, 99 (6.36%) Other. The remaining participants did not report their race, or responses were not easily recoded to match these categories.</w:t>
      </w:r>
    </w:p>
    <w:p>
      <w:pPr>
        <w:pStyle w:val="berschrift2"/>
      </w:pPr>
      <w:bookmarkStart w:id="24" w:name="analysis-plan"/>
      <w:r>
        <w:t xml:space="preserve">Analysis Plan</w:t>
      </w:r>
      <w:bookmarkEnd w:id="24"/>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Supplemental analyses treating these as two separate dependent variables are available in the online supplement (</w:t>
      </w:r>
      <w:hyperlink r:id="rId25">
        <w:r>
          <w:rPr>
            <w:rStyle w:val="Hyperlink"/>
          </w:rPr>
          <w:t xml:space="preserve">https://osf.io/xtg4u/</w:t>
        </w:r>
      </w:hyperlink>
      <w:r>
        <w:t xml:space="preserve">), and those outcomes do not qualify the conclusions offered here.</w:t>
      </w:r>
    </w:p>
    <w:p>
      <w:pPr>
        <w:pStyle w:val="Textkrper"/>
      </w:pPr>
      <w:r>
        <w:t xml:space="preserve">We then analyzed these individual results meta-analytically to get an aggregate effect size across all labs.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1,578 to 1,557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1235.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1,081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3">
        <w:r>
          <w:rPr>
            <w:rStyle w:val="Hyperlink"/>
          </w:rPr>
          <w:t xml:space="preserve">https://osf.io/4xx6w</w:t>
        </w:r>
      </w:hyperlink>
      <w:r>
        <w:t xml:space="preserve">).</w:t>
      </w:r>
    </w:p>
    <w:p>
      <w:pPr>
        <w:pStyle w:val="berschrift1"/>
      </w:pPr>
      <w:bookmarkStart w:id="26" w:name="results"/>
      <w:r>
        <w:t xml:space="preserve">Results</w:t>
      </w:r>
      <w:bookmarkEnd w:id="26"/>
    </w:p>
    <w:p>
      <w:pPr>
        <w:pStyle w:val="berschrift2"/>
      </w:pPr>
      <w:bookmarkStart w:id="27" w:name="X2dcd4cd6d14a006464fb6331fb28bcd608854cc"/>
      <w:r>
        <w:t xml:space="preserve">Researcher Expectations and Characteristics</w:t>
      </w:r>
      <w:bookmarkEnd w:id="27"/>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28"/>
      </w:r>
    </w:p>
    <w:p>
      <w:pPr>
        <w:pStyle w:val="berschrift2"/>
      </w:pPr>
      <w:bookmarkStart w:id="29" w:name="X5624d0496651cf284888f223111f8f07010fd01"/>
      <w:r>
        <w:t xml:space="preserve">Deviations from Pre-registered Analytic Plan</w:t>
      </w:r>
      <w:bookmarkEnd w:id="29"/>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30">
        <w:r>
          <w:rPr>
            <w:rStyle w:val="Hyperlink"/>
          </w:rPr>
          <w:t xml:space="preserve">https://osf.io/8ccnw/</w:t>
        </w:r>
      </w:hyperlink>
      <w:r>
        <w:t xml:space="preserve">), and no conclusions substantively change between the current model and the three-level model.</w:t>
      </w:r>
    </w:p>
    <w:p>
      <w:pPr>
        <w:pStyle w:val="berschrift2"/>
      </w:pPr>
      <w:bookmarkStart w:id="31" w:name="X0717cbac05e4bba966b3ebf40da3149f951982b"/>
      <w:r>
        <w:t xml:space="preserve">Research Question 1: Meta-analytic results across all labs (random effects meta-analysis).</w:t>
      </w:r>
      <w:bookmarkEnd w:id="31"/>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
        </w:rPr>
        <w:t xml:space="preserve">Hedges’ g</w:t>
      </w:r>
      <w:r>
        <w:t xml:space="preserve"> </w:t>
      </w:r>
      <w:r>
        <w:t xml:space="preserve">= 0.07, 95% CI = [-0.04, 0.17],</w:t>
      </w:r>
      <w:r>
        <w:t xml:space="preserve"> </w:t>
      </w:r>
      <w:r>
        <w:rPr>
          <w:i/>
        </w:rPr>
        <w:t xml:space="preserve">SE</w:t>
      </w:r>
      <w:r>
        <w:t xml:space="preserve"> </w:t>
      </w:r>
      <w:r>
        <w:t xml:space="preserve">= 0.05,</w:t>
      </w:r>
      <w:r>
        <w:t xml:space="preserve"> </w:t>
      </w:r>
      <w:r>
        <w:rPr>
          <w:i/>
        </w:rPr>
        <w:t xml:space="preserve">Z</w:t>
      </w:r>
      <w:r>
        <w:t xml:space="preserve"> </w:t>
      </w:r>
      <w:r>
        <w:t xml:space="preserve">= 1.27,</w:t>
      </w:r>
      <w:r>
        <w:t xml:space="preserve"> </w:t>
      </w:r>
      <w:r>
        <w:rPr>
          <w:i/>
        </w:rPr>
        <w:t xml:space="preserve">p</w:t>
      </w:r>
      <w:r>
        <w:t xml:space="preserve"> </w:t>
      </w:r>
      <w:r>
        <w:t xml:space="preserve">= .204.</w:t>
      </w:r>
      <w:r>
        <w:t xml:space="preserve"> </w:t>
      </w:r>
      <w:r>
        <w:t xml:space="preserve">Exclusion Set 2:</w:t>
      </w:r>
      <w:r>
        <w:t xml:space="preserve"> </w:t>
      </w:r>
      <w:r>
        <w:rPr>
          <w:i/>
        </w:rPr>
        <w:t xml:space="preserve">Hedges’ g</w:t>
      </w:r>
      <w:r>
        <w:t xml:space="preserve"> </w:t>
      </w:r>
      <w:r>
        <w:t xml:space="preserve">= 0.09, 95% CI = [-0.03, 0.21],</w:t>
      </w:r>
      <w:r>
        <w:t xml:space="preserve"> </w:t>
      </w:r>
      <w:r>
        <w:rPr>
          <w:i/>
        </w:rPr>
        <w:t xml:space="preserve">SE</w:t>
      </w:r>
      <w:r>
        <w:t xml:space="preserve"> </w:t>
      </w:r>
      <w:r>
        <w:t xml:space="preserve">= 0.06,</w:t>
      </w:r>
      <w:r>
        <w:t xml:space="preserve"> </w:t>
      </w:r>
      <w:r>
        <w:rPr>
          <w:i/>
        </w:rPr>
        <w:t xml:space="preserve">Z</w:t>
      </w:r>
      <w:r>
        <w:t xml:space="preserve"> </w:t>
      </w:r>
      <w:r>
        <w:t xml:space="preserve">= 1.44,</w:t>
      </w:r>
      <w:r>
        <w:t xml:space="preserve"> </w:t>
      </w:r>
      <w:r>
        <w:rPr>
          <w:i/>
        </w:rPr>
        <w:t xml:space="preserve">p</w:t>
      </w:r>
      <w:r>
        <w:t xml:space="preserve"> </w:t>
      </w:r>
      <w:r>
        <w:t xml:space="preserve">= .149.</w:t>
      </w:r>
      <w:r>
        <w:t xml:space="preserve"> </w:t>
      </w:r>
      <w:r>
        <w:t xml:space="preserve">Exclusion Set 3:</w:t>
      </w:r>
      <w:r>
        <w:t xml:space="preserve"> </w:t>
      </w:r>
      <w:r>
        <w:rPr>
          <w:i/>
        </w:rPr>
        <w:t xml:space="preserve">Hedges’ g</w:t>
      </w:r>
      <w:r>
        <w:t xml:space="preserve"> </w:t>
      </w:r>
      <w:r>
        <w:t xml:space="preserve">= 0.09, 95% CI = [-0.05, 0.22],</w:t>
      </w:r>
      <w:r>
        <w:t xml:space="preserve"> </w:t>
      </w:r>
      <w:r>
        <w:rPr>
          <w:i/>
        </w:rPr>
        <w:t xml:space="preserve">SE</w:t>
      </w:r>
      <w:r>
        <w:t xml:space="preserve"> </w:t>
      </w:r>
      <w:r>
        <w:t xml:space="preserve">= 0.07,</w:t>
      </w:r>
      <w:r>
        <w:t xml:space="preserve"> </w:t>
      </w:r>
      <w:r>
        <w:rPr>
          <w:i/>
        </w:rPr>
        <w:t xml:space="preserve">Z</w:t>
      </w:r>
      <w:r>
        <w:t xml:space="preserve"> </w:t>
      </w:r>
      <w:r>
        <w:t xml:space="preserve">= 1.26,</w:t>
      </w:r>
      <w:r>
        <w:t xml:space="preserve"> </w:t>
      </w:r>
      <w:r>
        <w:rPr>
          <w:i/>
        </w:rPr>
        <w:t xml:space="preserve">p</w:t>
      </w:r>
      <w:r>
        <w:t xml:space="preserve"> </w:t>
      </w:r>
      <w:r>
        <w:t xml:space="preserve">= .208.</w:t>
      </w:r>
      <w:r>
        <w:t xml:space="preserve"> </w:t>
      </w:r>
      <w:r>
        <w:t xml:space="preserve">Forest plots showing the effects for individual sites and the aggregate are available in Figure 1 for Exclusion Set 1 (see</w:t>
      </w:r>
      <w:r>
        <w:t xml:space="preserve"> </w:t>
      </w:r>
      <w:hyperlink r:id="rId30">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(16) = 19.64,</w:t>
      </w:r>
      <w:r>
        <w:t xml:space="preserve"> </w:t>
      </w:r>
      <w:r>
        <w:rPr>
          <w:i/>
        </w:rPr>
        <w:t xml:space="preserve">p</w:t>
      </w:r>
      <w:r>
        <w:t xml:space="preserve"> </w:t>
      </w:r>
      <w:r>
        <w:t xml:space="preserve">= 0.24; Exclusion Set 2,</w:t>
      </w:r>
      <w:r>
        <w:t xml:space="preserve"> </w:t>
      </w:r>
      <w:r>
        <w:rPr>
          <w:i/>
        </w:rPr>
        <w:t xml:space="preserve">Q</w:t>
      </w:r>
      <w:r>
        <w:t xml:space="preserve">(16) = 22.02,</w:t>
      </w:r>
      <w:r>
        <w:t xml:space="preserve"> </w:t>
      </w:r>
      <w:r>
        <w:rPr>
          <w:i/>
        </w:rPr>
        <w:t xml:space="preserve">p</w:t>
      </w:r>
      <w:r>
        <w:t xml:space="preserve"> </w:t>
      </w:r>
      <w:r>
        <w:t xml:space="preserve">= 0.14; Exclusion Set 3:</w:t>
      </w:r>
      <w:r>
        <w:t xml:space="preserve"> </w:t>
      </w:r>
      <w:r>
        <w:rPr>
          <w:i/>
        </w:rPr>
        <w:t xml:space="preserve">Q</w:t>
      </w:r>
      <w:r>
        <w:t xml:space="preserve">(16) = 18.87,</w:t>
      </w:r>
      <w:r>
        <w:t xml:space="preserve"> </w:t>
      </w:r>
      <w:r>
        <w:rPr>
          <w:i/>
        </w:rPr>
        <w:t xml:space="preserve">p</w:t>
      </w:r>
      <w:r>
        <w:t xml:space="preserve"> </w:t>
      </w:r>
      <w:r>
        <w:t xml:space="preserve">= 0.28.</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2" w:name="X29592220de5c9185f2b682c0ce7513d52858c49"/>
      <w:r>
        <w:t xml:space="preserve">Research Question 2: Moderation by Author Advised/In House protocol</w:t>
      </w:r>
      <w:bookmarkEnd w:id="32"/>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
        </w:rPr>
        <w:t xml:space="preserve">Hedges’ g</w:t>
      </w:r>
      <w:r>
        <w:t xml:space="preserve"> </w:t>
      </w:r>
      <w:r>
        <w:t xml:space="preserve">= 0.07, 95% CI = [-0.04, 0.17],</w:t>
      </w:r>
      <w:r>
        <w:t xml:space="preserve"> </w:t>
      </w:r>
      <w:r>
        <w:rPr>
          <w:i/>
        </w:rPr>
        <w:t xml:space="preserve">SE</w:t>
      </w:r>
      <w:r>
        <w:t xml:space="preserve"> </w:t>
      </w:r>
      <w:r>
        <w:t xml:space="preserve">= 0.05,</w:t>
      </w:r>
      <w:r>
        <w:t xml:space="preserve"> </w:t>
      </w:r>
      <w:r>
        <w:rPr>
          <w:i/>
        </w:rPr>
        <w:t xml:space="preserve">Z</w:t>
      </w:r>
      <w:r>
        <w:t xml:space="preserve"> </w:t>
      </w:r>
      <w:r>
        <w:t xml:space="preserve">= 1.29,</w:t>
      </w:r>
      <w:r>
        <w:t xml:space="preserve"> </w:t>
      </w:r>
      <w:r>
        <w:rPr>
          <w:i/>
        </w:rPr>
        <w:t xml:space="preserve">p</w:t>
      </w:r>
      <w:r>
        <w:t xml:space="preserve"> </w:t>
      </w:r>
      <w:r>
        <w:t xml:space="preserve">= .198.</w:t>
      </w:r>
      <w:r>
        <w:t xml:space="preserve"> </w:t>
      </w:r>
      <w:r>
        <w:t xml:space="preserve">Exclusion Set 2:</w:t>
      </w:r>
      <w:r>
        <w:t xml:space="preserve"> </w:t>
      </w:r>
      <w:r>
        <w:rPr>
          <w:i/>
        </w:rPr>
        <w:t xml:space="preserve">Hedges’ g</w:t>
      </w:r>
      <w:r>
        <w:t xml:space="preserve"> </w:t>
      </w:r>
      <w:r>
        <w:t xml:space="preserve">= 0.11, 95% CI = [-0.02, 0.24],</w:t>
      </w:r>
      <w:r>
        <w:t xml:space="preserve"> </w:t>
      </w:r>
      <w:r>
        <w:rPr>
          <w:i/>
        </w:rPr>
        <w:t xml:space="preserve">SE</w:t>
      </w:r>
      <w:r>
        <w:t xml:space="preserve"> </w:t>
      </w:r>
      <w:r>
        <w:t xml:space="preserve">= 0.07,</w:t>
      </w:r>
      <w:r>
        <w:t xml:space="preserve"> </w:t>
      </w:r>
      <w:r>
        <w:rPr>
          <w:i/>
        </w:rPr>
        <w:t xml:space="preserve">Z</w:t>
      </w:r>
      <w:r>
        <w:t xml:space="preserve"> </w:t>
      </w:r>
      <w:r>
        <w:t xml:space="preserve">= 1.67,</w:t>
      </w:r>
      <w:r>
        <w:t xml:space="preserve"> </w:t>
      </w:r>
      <w:r>
        <w:rPr>
          <w:i/>
        </w:rPr>
        <w:t xml:space="preserve">p</w:t>
      </w:r>
      <w:r>
        <w:t xml:space="preserve"> </w:t>
      </w:r>
      <w:r>
        <w:t xml:space="preserve">= .095.</w:t>
      </w:r>
      <w:r>
        <w:t xml:space="preserve"> </w:t>
      </w:r>
      <w:r>
        <w:t xml:space="preserve">Exclusion Set 3:</w:t>
      </w:r>
      <w:r>
        <w:t xml:space="preserve"> </w:t>
      </w:r>
      <w:r>
        <w:rPr>
          <w:i/>
        </w:rPr>
        <w:t xml:space="preserve">Hedges’ g</w:t>
      </w:r>
      <w:r>
        <w:t xml:space="preserve"> </w:t>
      </w:r>
      <w:r>
        <w:t xml:space="preserve">= 0.13, 95% CI = [-0.03, 0.28],</w:t>
      </w:r>
      <w:r>
        <w:t xml:space="preserve"> </w:t>
      </w:r>
      <w:r>
        <w:rPr>
          <w:i/>
        </w:rPr>
        <w:t xml:space="preserve">SE</w:t>
      </w:r>
      <w:r>
        <w:t xml:space="preserve"> </w:t>
      </w:r>
      <w:r>
        <w:t xml:space="preserve">= 0.08,</w:t>
      </w:r>
      <w:r>
        <w:t xml:space="preserve"> </w:t>
      </w:r>
      <w:r>
        <w:rPr>
          <w:i/>
        </w:rPr>
        <w:t xml:space="preserve">Z</w:t>
      </w:r>
      <w:r>
        <w:t xml:space="preserve"> </w:t>
      </w:r>
      <w:r>
        <w:t xml:space="preserve">= 1.54,</w:t>
      </w:r>
      <w:r>
        <w:t xml:space="preserve"> </w:t>
      </w:r>
      <w:r>
        <w:rPr>
          <w:i/>
        </w:rPr>
        <w:t xml:space="preserve">p</w:t>
      </w:r>
      <w:r>
        <w:t xml:space="preserve"> </w:t>
      </w:r>
      <w:r>
        <w:t xml:space="preserve">= .123.</w:t>
      </w:r>
    </w:p>
    <w:p>
      <w:pPr>
        <w:pStyle w:val="Textkrper"/>
      </w:pPr>
      <w:r>
        <w:t xml:space="preserve">Again, significant heterogeneity was not observed: Exclusion Set 1</w:t>
      </w:r>
      <w:r>
        <w:t xml:space="preserve"> </w:t>
      </w:r>
      <w:r>
        <w:rPr>
          <w:i/>
        </w:rPr>
        <w:t xml:space="preserve">Q</w:t>
      </w:r>
      <w:r>
        <w:t xml:space="preserve">(16) = 19.64,</w:t>
      </w:r>
      <w:r>
        <w:t xml:space="preserve"> </w:t>
      </w:r>
      <w:r>
        <w:rPr>
          <w:i/>
        </w:rPr>
        <w:t xml:space="preserve">p</w:t>
      </w:r>
      <w:r>
        <w:t xml:space="preserve"> </w:t>
      </w:r>
      <w:r>
        <w:t xml:space="preserve">= 0.24; Exclusion Set 2,</w:t>
      </w:r>
      <w:r>
        <w:t xml:space="preserve"> </w:t>
      </w:r>
      <w:r>
        <w:rPr>
          <w:i/>
        </w:rPr>
        <w:t xml:space="preserve">Q</w:t>
      </w:r>
      <w:r>
        <w:t xml:space="preserve">(16) = 22.02,</w:t>
      </w:r>
      <w:r>
        <w:t xml:space="preserve"> </w:t>
      </w:r>
      <w:r>
        <w:rPr>
          <w:i/>
        </w:rPr>
        <w:t xml:space="preserve">p</w:t>
      </w:r>
      <w:r>
        <w:t xml:space="preserve"> </w:t>
      </w:r>
      <w:r>
        <w:t xml:space="preserve">= 0.14; Exclusion Set 3,</w:t>
      </w:r>
      <w:r>
        <w:t xml:space="preserve"> </w:t>
      </w:r>
      <w:r>
        <w:rPr>
          <w:i/>
        </w:rPr>
        <w:t xml:space="preserve">Q</w:t>
      </w:r>
      <w:r>
        <w:t xml:space="preserve">(16) = 18.87,</w:t>
      </w:r>
      <w:r>
        <w:t xml:space="preserve"> </w:t>
      </w:r>
      <w:r>
        <w:rPr>
          <w:i/>
        </w:rPr>
        <w:t xml:space="preserve">p</w:t>
      </w:r>
      <w:r>
        <w:t xml:space="preserve"> </w:t>
      </w:r>
      <w:r>
        <w:t xml:space="preserve">= 0.28.</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
        </w:rPr>
        <w:t xml:space="preserve">b</w:t>
      </w:r>
      <w:r>
        <w:t xml:space="preserve"> </w:t>
      </w:r>
      <w:r>
        <w:t xml:space="preserve">= 0.01, 95% CI = [-0.09, 0.12],</w:t>
      </w:r>
      <w:r>
        <w:t xml:space="preserve"> </w:t>
      </w:r>
      <w:r>
        <w:rPr>
          <w:i/>
        </w:rPr>
        <w:t xml:space="preserve">SE</w:t>
      </w:r>
      <w:r>
        <w:t xml:space="preserve"> </w:t>
      </w:r>
      <w:r>
        <w:t xml:space="preserve">= 0.05,</w:t>
      </w:r>
      <w:r>
        <w:t xml:space="preserve"> </w:t>
      </w:r>
      <w:r>
        <w:rPr>
          <w:i/>
        </w:rPr>
        <w:t xml:space="preserve">Z</w:t>
      </w:r>
      <w:r>
        <w:t xml:space="preserve"> </w:t>
      </w:r>
      <w:r>
        <w:t xml:space="preserve">= 0.23,</w:t>
      </w:r>
      <w:r>
        <w:t xml:space="preserve"> </w:t>
      </w:r>
      <w:r>
        <w:rPr>
          <w:i/>
        </w:rPr>
        <w:t xml:space="preserve">p</w:t>
      </w:r>
      <w:r>
        <w:t xml:space="preserve"> </w:t>
      </w:r>
      <w:r>
        <w:t xml:space="preserve">= .820;</w:t>
      </w:r>
      <w:r>
        <w:t xml:space="preserve"> </w:t>
      </w:r>
      <w:r>
        <w:t xml:space="preserve">Exclusion Set 2:</w:t>
      </w:r>
      <w:r>
        <w:t xml:space="preserve"> </w:t>
      </w:r>
      <w:r>
        <w:rPr>
          <w:i/>
        </w:rPr>
        <w:t xml:space="preserve">b</w:t>
      </w:r>
      <w:r>
        <w:t xml:space="preserve"> </w:t>
      </w:r>
      <w:r>
        <w:t xml:space="preserve">= 0.06, 95% CI = [-0.07, 0.19],</w:t>
      </w:r>
      <w:r>
        <w:t xml:space="preserve"> </w:t>
      </w:r>
      <w:r>
        <w:rPr>
          <w:i/>
        </w:rPr>
        <w:t xml:space="preserve">SE</w:t>
      </w:r>
      <w:r>
        <w:t xml:space="preserve"> </w:t>
      </w:r>
      <w:r>
        <w:t xml:space="preserve">= 0.07,</w:t>
      </w:r>
      <w:r>
        <w:t xml:space="preserve"> </w:t>
      </w:r>
      <w:r>
        <w:rPr>
          <w:i/>
        </w:rPr>
        <w:t xml:space="preserve">Z</w:t>
      </w:r>
      <w:r>
        <w:t xml:space="preserve"> </w:t>
      </w:r>
      <w:r>
        <w:t xml:space="preserve">= 0.84,</w:t>
      </w:r>
      <w:r>
        <w:t xml:space="preserve"> </w:t>
      </w:r>
      <w:r>
        <w:rPr>
          <w:i/>
        </w:rPr>
        <w:t xml:space="preserve">p</w:t>
      </w:r>
      <w:r>
        <w:t xml:space="preserve"> </w:t>
      </w:r>
      <w:r>
        <w:t xml:space="preserve">= .401;</w:t>
      </w:r>
      <w:r>
        <w:t xml:space="preserve"> </w:t>
      </w:r>
      <w:r>
        <w:t xml:space="preserve">Exclusion Set 3:</w:t>
      </w:r>
      <w:r>
        <w:t xml:space="preserve"> </w:t>
      </w:r>
      <w:r>
        <w:rPr>
          <w:i/>
        </w:rPr>
        <w:t xml:space="preserve">b</w:t>
      </w:r>
      <w:r>
        <w:t xml:space="preserve"> </w:t>
      </w:r>
      <w:r>
        <w:t xml:space="preserve">= 0.07, 95% CI = [-0.09, 0.23],</w:t>
      </w:r>
      <w:r>
        <w:t xml:space="preserve"> </w:t>
      </w:r>
      <w:r>
        <w:rPr>
          <w:i/>
        </w:rPr>
        <w:t xml:space="preserve">SE</w:t>
      </w:r>
      <w:r>
        <w:t xml:space="preserve"> </w:t>
      </w:r>
      <w:r>
        <w:t xml:space="preserve">= 0.08,</w:t>
      </w:r>
      <w:r>
        <w:t xml:space="preserve"> </w:t>
      </w:r>
      <w:r>
        <w:rPr>
          <w:i/>
        </w:rPr>
        <w:t xml:space="preserve">Z</w:t>
      </w:r>
      <w:r>
        <w:t xml:space="preserve"> </w:t>
      </w:r>
      <w:r>
        <w:t xml:space="preserve">= 0.88,</w:t>
      </w:r>
      <w:r>
        <w:t xml:space="preserve"> </w:t>
      </w:r>
      <w:r>
        <w:rPr>
          <w:i/>
        </w:rPr>
        <w:t xml:space="preserve">p</w:t>
      </w:r>
      <w:r>
        <w:t xml:space="preserve"> </w:t>
      </w:r>
      <w:r>
        <w:t xml:space="preserve">= .381. The Author Advised version did not produce significantly larger effect sizes when compared with the In House versions.</w:t>
      </w:r>
    </w:p>
    <w:p>
      <w:pPr>
        <w:pStyle w:val="berschrift2"/>
      </w:pPr>
      <w:bookmarkStart w:id="33" w:name="X84111581ee6b5e634403d42ca8ac8d478a3dbad"/>
      <w:r>
        <w:t xml:space="preserve">Research Question 3: Effect of Standardization</w:t>
      </w:r>
      <w:bookmarkEnd w:id="33"/>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0.74,</w:t>
      </w:r>
      <w:r>
        <w:t xml:space="preserve"> </w:t>
      </w:r>
      <w:r>
        <w:rPr>
          <w:i/>
        </w:rPr>
        <w:t xml:space="preserve">p</w:t>
      </w:r>
      <w:r>
        <w:t xml:space="preserve"> </w:t>
      </w:r>
      <w:r>
        <w:t xml:space="preserve">= 0.39;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4" w:name="follow-up-exploratory-analyses"/>
      <w:r>
        <w:t xml:space="preserve">Follow-Up Exploratory Analyses</w:t>
      </w:r>
      <w:bookmarkEnd w:id="34"/>
    </w:p>
    <w:p>
      <w:pPr>
        <w:pStyle w:val="FirstParagraph"/>
      </w:pPr>
      <w:r>
        <w:rPr>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 [NOTE: THESE ARE TWO-TAILED P-VALUES AND 95% CIs. I’M NOT SURE IF METASEM CAN EASILY PROVIDE 90% CIS AND ONE-TAILED TESTS.]</w:t>
      </w:r>
      <w:r>
        <w:t xml:space="preserve"> </w:t>
      </w:r>
      <w:r>
        <w:t xml:space="preserve">Exclusion rule 1:</w:t>
      </w:r>
      <w:r>
        <w:t xml:space="preserve"> </w:t>
      </w:r>
      <w:r>
        <w:rPr>
          <w:i/>
        </w:rPr>
        <w:t xml:space="preserve">Hedges’ g</w:t>
      </w:r>
      <w:r>
        <w:t xml:space="preserve"> </w:t>
      </w:r>
      <w:r>
        <w:t xml:space="preserve">= 0.08, 95% CI = [-0.07, 0.23],</w:t>
      </w:r>
      <w:r>
        <w:t xml:space="preserve"> </w:t>
      </w:r>
      <w:r>
        <w:rPr>
          <w:i/>
        </w:rPr>
        <w:t xml:space="preserve">SE</w:t>
      </w:r>
      <w:r>
        <w:t xml:space="preserve"> </w:t>
      </w:r>
      <w:r>
        <w:t xml:space="preserve">= 0.08,</w:t>
      </w:r>
      <w:r>
        <w:t xml:space="preserve"> </w:t>
      </w:r>
      <w:r>
        <w:rPr>
          <w:i/>
        </w:rPr>
        <w:t xml:space="preserve">Z</w:t>
      </w:r>
      <w:r>
        <w:t xml:space="preserve"> </w:t>
      </w:r>
      <w:r>
        <w:t xml:space="preserve">= 1.05,</w:t>
      </w:r>
      <w:r>
        <w:t xml:space="preserve"> </w:t>
      </w:r>
      <w:r>
        <w:rPr>
          <w:i/>
        </w:rPr>
        <w:t xml:space="preserve">p</w:t>
      </w:r>
      <w:r>
        <w:t xml:space="preserve"> </w:t>
      </w:r>
      <w:r>
        <w:t xml:space="preserve">= .294;</w:t>
      </w:r>
      <w:r>
        <w:t xml:space="preserve"> </w:t>
      </w:r>
      <w:r>
        <w:t xml:space="preserve">Exclusion rule 2:</w:t>
      </w:r>
      <w:r>
        <w:t xml:space="preserve"> </w:t>
      </w:r>
      <w:r>
        <w:rPr>
          <w:i/>
        </w:rPr>
        <w:t xml:space="preserve">Hedges’ g</w:t>
      </w:r>
      <w:r>
        <w:t xml:space="preserve"> </w:t>
      </w:r>
      <w:r>
        <w:t xml:space="preserve">= 0.17, 95% CI = [-0.04, 0.37],</w:t>
      </w:r>
      <w:r>
        <w:t xml:space="preserve"> </w:t>
      </w:r>
      <w:r>
        <w:rPr>
          <w:i/>
        </w:rPr>
        <w:t xml:space="preserve">SE</w:t>
      </w:r>
      <w:r>
        <w:t xml:space="preserve"> </w:t>
      </w:r>
      <w:r>
        <w:t xml:space="preserve">= 0.10,</w:t>
      </w:r>
      <w:r>
        <w:t xml:space="preserve"> </w:t>
      </w:r>
      <w:r>
        <w:rPr>
          <w:i/>
        </w:rPr>
        <w:t xml:space="preserve">Z</w:t>
      </w:r>
      <w:r>
        <w:t xml:space="preserve"> </w:t>
      </w:r>
      <w:r>
        <w:t xml:space="preserve">= 1.59,</w:t>
      </w:r>
      <w:r>
        <w:t xml:space="preserve"> </w:t>
      </w:r>
      <w:r>
        <w:rPr>
          <w:i/>
        </w:rPr>
        <w:t xml:space="preserve">p</w:t>
      </w:r>
      <w:r>
        <w:t xml:space="preserve"> </w:t>
      </w:r>
      <w:r>
        <w:t xml:space="preserve">= .112;</w:t>
      </w:r>
      <w:r>
        <w:t xml:space="preserve"> </w:t>
      </w:r>
      <w:r>
        <w:t xml:space="preserve">Exclusion rule 3:</w:t>
      </w:r>
      <w:r>
        <w:t xml:space="preserve"> </w:t>
      </w:r>
      <w:r>
        <w:rPr>
          <w:i/>
        </w:rPr>
        <w:t xml:space="preserve">Hedges’ g</w:t>
      </w:r>
      <w:r>
        <w:t xml:space="preserve"> </w:t>
      </w:r>
      <w:r>
        <w:t xml:space="preserve">= 0.19, 95% CI = [-0.10, 0.49],</w:t>
      </w:r>
      <w:r>
        <w:t xml:space="preserve"> </w:t>
      </w:r>
      <w:r>
        <w:rPr>
          <w:i/>
        </w:rPr>
        <w:t xml:space="preserve">SE</w:t>
      </w:r>
      <w:r>
        <w:t xml:space="preserve"> </w:t>
      </w:r>
      <w:r>
        <w:t xml:space="preserve">= 0.15,</w:t>
      </w:r>
      <w:r>
        <w:t xml:space="preserve"> </w:t>
      </w:r>
      <w:r>
        <w:rPr>
          <w:i/>
        </w:rPr>
        <w:t xml:space="preserve">Z</w:t>
      </w:r>
      <w:r>
        <w:t xml:space="preserve"> </w:t>
      </w:r>
      <w:r>
        <w:t xml:space="preserve">= 1.28,</w:t>
      </w:r>
      <w:r>
        <w:t xml:space="preserve"> </w:t>
      </w:r>
      <w:r>
        <w:rPr>
          <w:i/>
        </w:rPr>
        <w:t xml:space="preserve">p</w:t>
      </w:r>
      <w:r>
        <w:t xml:space="preserve"> </w:t>
      </w:r>
      <w:r>
        <w:t xml:space="preserve">= .200.</w:t>
      </w:r>
    </w:p>
    <w:p>
      <w:pPr>
        <w:pStyle w:val="Textkrper"/>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2.27) and the control group (</w:t>
      </w:r>
      <w:r>
        <w:rPr>
          <w:i/>
        </w:rPr>
        <w:t xml:space="preserve">M</w:t>
      </w:r>
      <w:r>
        <w:t xml:space="preserve"> </w:t>
      </w:r>
      <w:r>
        <w:t xml:space="preserve">= 0.93,</w:t>
      </w:r>
      <w:r>
        <w:t xml:space="preserve"> </w:t>
      </w:r>
      <w:r>
        <w:rPr>
          <w:i/>
        </w:rPr>
        <w:t xml:space="preserve">SD</w:t>
      </w:r>
      <w:r>
        <w:t xml:space="preserve"> </w:t>
      </w:r>
      <w:r>
        <w:t xml:space="preserve">= 2.31),</w:t>
      </w:r>
      <w:r>
        <w:t xml:space="preserve"> </w:t>
      </w:r>
      <w:r>
        <w:rPr>
          <w:i/>
        </w:rPr>
        <w:t xml:space="preserve">t</w:t>
      </w:r>
      <w:r>
        <w:t xml:space="preserve">(478.95)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[-0.14, 0.22].</w:t>
      </w:r>
      <w:r>
        <w:rPr>
          <w:rStyle w:val="Funotenzeichen"/>
        </w:rPr>
        <w:footnoteReference w:id="35"/>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48% of participants prefered the pro-US essay author, 42% preferred the anti-US essay author, and 10%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1.26,</w:t>
      </w:r>
      <w:r>
        <w:t xml:space="preserve"> </w:t>
      </w:r>
      <w:r>
        <w:rPr>
          <w:i/>
        </w:rPr>
        <w:t xml:space="preserve">SD</w:t>
      </w:r>
      <w:r>
        <w:t xml:space="preserve"> </w:t>
      </w:r>
      <w:r>
        <w:t xml:space="preserve">= 2.03), control group (</w:t>
      </w:r>
      <w:r>
        <w:rPr>
          <w:i/>
        </w:rPr>
        <w:t xml:space="preserve">M</w:t>
      </w:r>
      <w:r>
        <w:t xml:space="preserve"> </w:t>
      </w:r>
      <w:r>
        <w:t xml:space="preserve">= 1.10,</w:t>
      </w:r>
      <w:r>
        <w:t xml:space="preserve"> </w:t>
      </w:r>
      <w:r>
        <w:rPr>
          <w:i/>
        </w:rPr>
        <w:t xml:space="preserve">SD</w:t>
      </w:r>
      <w:r>
        <w:t xml:space="preserve"> </w:t>
      </w:r>
      <w:r>
        <w:t xml:space="preserve">= 1.80),</w:t>
      </w:r>
      <w:r>
        <w:t xml:space="preserve"> </w:t>
      </w:r>
      <w:r>
        <w:rPr>
          <w:i/>
        </w:rPr>
        <w:t xml:space="preserve">t</w:t>
      </w:r>
      <w:r>
        <w:t xml:space="preserve">(698.98) = 1.10,</w:t>
      </w:r>
      <w:r>
        <w:t xml:space="preserve"> </w:t>
      </w:r>
      <w:r>
        <w:rPr>
          <w:i/>
        </w:rPr>
        <w:t xml:space="preserve">p</w:t>
      </w:r>
      <w:r>
        <w:t xml:space="preserve"> </w:t>
      </w:r>
      <w:r>
        <w:t xml:space="preserve">= 0.27,</w:t>
      </w:r>
      <w:r>
        <w:t xml:space="preserve"> </w:t>
      </w:r>
      <w:r>
        <w:rPr>
          <w:i/>
        </w:rPr>
        <w:t xml:space="preserve">Hedges’ g</w:t>
      </w:r>
      <w:r>
        <w:t xml:space="preserve"> </w:t>
      </w:r>
      <w:r>
        <w:t xml:space="preserve">= 0.08, 95% CI = [-0.07, 0.23]; Exclusion Set 2: mortality salience group (</w:t>
      </w:r>
      <w:r>
        <w:rPr>
          <w:i/>
        </w:rPr>
        <w:t xml:space="preserve">M</w:t>
      </w:r>
      <w:r>
        <w:t xml:space="preserve"> </w:t>
      </w:r>
      <w:r>
        <w:t xml:space="preserve">= 1.60,</w:t>
      </w:r>
      <w:r>
        <w:t xml:space="preserve"> </w:t>
      </w:r>
      <w:r>
        <w:rPr>
          <w:i/>
        </w:rPr>
        <w:t xml:space="preserve">SD</w:t>
      </w:r>
      <w:r>
        <w:t xml:space="preserve"> </w:t>
      </w:r>
      <w:r>
        <w:t xml:space="preserve">= 2.13), control group (</w:t>
      </w:r>
      <w:r>
        <w:rPr>
          <w:i/>
        </w:rPr>
        <w:t xml:space="preserve">M</w:t>
      </w:r>
      <w:r>
        <w:t xml:space="preserve"> </w:t>
      </w:r>
      <w:r>
        <w:t xml:space="preserve">= 1.28,</w:t>
      </w:r>
      <w:r>
        <w:t xml:space="preserve"> </w:t>
      </w:r>
      <w:r>
        <w:rPr>
          <w:i/>
        </w:rPr>
        <w:t xml:space="preserve">SD</w:t>
      </w:r>
      <w:r>
        <w:t xml:space="preserve"> </w:t>
      </w:r>
      <w:r>
        <w:t xml:space="preserve">= 1.95),</w:t>
      </w:r>
      <w:r>
        <w:t xml:space="preserve"> </w:t>
      </w:r>
      <w:r>
        <w:rPr>
          <w:i/>
        </w:rPr>
        <w:t xml:space="preserve">t</w:t>
      </w:r>
      <w:r>
        <w:t xml:space="preserve">(370.77) = 1.49,</w:t>
      </w:r>
      <w:r>
        <w:t xml:space="preserve"> </w:t>
      </w:r>
      <w:r>
        <w:rPr>
          <w:i/>
        </w:rPr>
        <w:t xml:space="preserve">p</w:t>
      </w:r>
      <w:r>
        <w:t xml:space="preserve"> </w:t>
      </w:r>
      <w:r>
        <w:t xml:space="preserve">= 0.14,</w:t>
      </w:r>
      <w:r>
        <w:t xml:space="preserve"> </w:t>
      </w:r>
      <w:r>
        <w:rPr>
          <w:i/>
        </w:rPr>
        <w:t xml:space="preserve">Hedges’ g</w:t>
      </w:r>
      <w:r>
        <w:t xml:space="preserve"> </w:t>
      </w:r>
      <w:r>
        <w:t xml:space="preserve">= 0.15, 95% CI = [-0.05, 0.36]; Exclusion Set 3: mortality salience group (</w:t>
      </w:r>
      <w:r>
        <w:rPr>
          <w:i/>
        </w:rPr>
        <w:t xml:space="preserve">M</w:t>
      </w:r>
      <w:r>
        <w:t xml:space="preserve"> </w:t>
      </w:r>
      <w:r>
        <w:t xml:space="preserve">= 2.08,</w:t>
      </w:r>
      <w:r>
        <w:t xml:space="preserve"> </w:t>
      </w:r>
      <w:r>
        <w:rPr>
          <w:i/>
        </w:rPr>
        <w:t xml:space="preserve">SD</w:t>
      </w:r>
      <w:r>
        <w:t xml:space="preserve"> </w:t>
      </w:r>
      <w:r>
        <w:t xml:space="preserve">= 2.11), control group (</w:t>
      </w:r>
      <w:r>
        <w:rPr>
          <w:i/>
        </w:rPr>
        <w:t xml:space="preserve">M</w:t>
      </w:r>
      <w:r>
        <w:t xml:space="preserve"> </w:t>
      </w:r>
      <w:r>
        <w:t xml:space="preserve">= 1.66,</w:t>
      </w:r>
      <w:r>
        <w:t xml:space="preserve"> </w:t>
      </w:r>
      <w:r>
        <w:rPr>
          <w:i/>
        </w:rPr>
        <w:t xml:space="preserve">SD</w:t>
      </w:r>
      <w:r>
        <w:t xml:space="preserve"> </w:t>
      </w:r>
      <w:r>
        <w:t xml:space="preserve">= 2.02),</w:t>
      </w:r>
      <w:r>
        <w:t xml:space="preserve"> </w:t>
      </w:r>
      <w:r>
        <w:rPr>
          <w:i/>
        </w:rPr>
        <w:t xml:space="preserve">t</w:t>
      </w:r>
      <w:r>
        <w:t xml:space="preserve">(216.09) = 1.51,</w:t>
      </w:r>
      <w:r>
        <w:t xml:space="preserve"> </w:t>
      </w:r>
      <w:r>
        <w:rPr>
          <w:i/>
        </w:rPr>
        <w:t xml:space="preserve">p</w:t>
      </w:r>
      <w:r>
        <w:t xml:space="preserve"> </w:t>
      </w:r>
      <w:r>
        <w:t xml:space="preserve">= 0.13,</w:t>
      </w:r>
      <w:r>
        <w:t xml:space="preserve"> </w:t>
      </w:r>
      <w:r>
        <w:rPr>
          <w:i/>
        </w:rPr>
        <w:t xml:space="preserve">Hedges’ g</w:t>
      </w:r>
      <w:r>
        <w:t xml:space="preserve"> </w:t>
      </w:r>
      <w:r>
        <w:t xml:space="preserve">= 0.20, 95% CI = [-0.06, 0.46]. The confidence intervals were wider because of the smaller total sample size, but this evidence is not consistent with the hypothesis that preference for the pro-US author would elicit an effect of mortality salience in this context.</w:t>
      </w:r>
    </w:p>
    <w:bookmarkStart w:id="36" w:name="refs"/>
    <w:bookmarkEnd w:id="36"/>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5">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2020-05-21T17:51:45Z</dcterms:created>
  <dcterms:modified xsi:type="dcterms:W3CDTF">2020-05-21T17:51:45Z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