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1573" w14:textId="77777777" w:rsidR="00D90146" w:rsidRDefault="00000000">
      <w:pPr>
        <w:spacing w:after="60"/>
      </w:pPr>
      <w:r>
        <w:rPr>
          <w:b/>
          <w:bCs/>
          <w:color w:val="111111"/>
          <w:sz w:val="34"/>
          <w:szCs w:val="34"/>
        </w:rPr>
        <w:t>Part 3 — From Assignment to Proof of Concept</w:t>
      </w:r>
    </w:p>
    <w:p w14:paraId="2DF1A263" w14:textId="77777777" w:rsidR="00D90146" w:rsidRDefault="00000000">
      <w:pPr>
        <w:spacing w:after="260"/>
      </w:pPr>
      <w:r>
        <w:rPr>
          <w:color w:val="666666"/>
          <w:sz w:val="20"/>
          <w:szCs w:val="20"/>
        </w:rPr>
        <w:t>Plan, blockers, estimates. Concept level.</w:t>
      </w:r>
    </w:p>
    <w:p w14:paraId="29EF7FFD" w14:textId="77777777" w:rsidR="00D90146" w:rsidRDefault="00000000">
      <w:pPr>
        <w:spacing w:after="140" w:line="276" w:lineRule="auto"/>
      </w:pPr>
      <w:r>
        <w:t>The assignment shows the approach works on examples. The PoC’s job is to replace “should work” with measured numbers on real corpus at realistic volume, in about three weeks with one engineer, and end in a clean go/no-go. Everything below is scoped to that: no autoscaling, no multi-region, no review tooling — just enough pipeline to make the numbers real.</w:t>
      </w:r>
    </w:p>
    <w:p w14:paraId="640DE673" w14:textId="77777777" w:rsidR="00D90146" w:rsidRDefault="00000000">
      <w:pPr>
        <w:pStyle w:val="Heading2"/>
        <w:spacing w:before="280" w:after="100"/>
      </w:pPr>
      <w:r>
        <w:rPr>
          <w:b/>
          <w:bCs/>
          <w:color w:val="1F3B57"/>
        </w:rPr>
        <w:t>What the PoC must demonstrate</w:t>
      </w:r>
    </w:p>
    <w:p w14:paraId="044EA5F1" w14:textId="77777777" w:rsidR="00D90146" w:rsidRDefault="00000000">
      <w:pPr>
        <w:pStyle w:val="ListParagraph"/>
        <w:numPr>
          <w:ilvl w:val="0"/>
          <w:numId w:val="2"/>
        </w:numPr>
        <w:spacing w:after="90" w:line="276" w:lineRule="auto"/>
      </w:pPr>
      <w:r>
        <w:rPr>
          <w:b/>
          <w:bCs/>
        </w:rPr>
        <w:t xml:space="preserve">Accuracy: </w:t>
      </w:r>
      <w:r>
        <w:t>on a 300-document labeled set sampled from the real corpus: entity F1 ≥ 0.90, domain accuracy ≥ 0.95 on known brands and ≥ 0.80 overall, sentiment ≥ 0.85. (The current 28-case set scores 1.0 across the board — which is exactly why a larger, nastier set comes first: a small hand-built set flatters any system.)</w:t>
      </w:r>
    </w:p>
    <w:p w14:paraId="5840D20F" w14:textId="77777777" w:rsidR="00D90146" w:rsidRDefault="00000000">
      <w:pPr>
        <w:pStyle w:val="ListParagraph"/>
        <w:numPr>
          <w:ilvl w:val="0"/>
          <w:numId w:val="2"/>
        </w:numPr>
        <w:spacing w:after="90" w:line="276" w:lineRule="auto"/>
      </w:pPr>
      <w:r>
        <w:rPr>
          <w:b/>
          <w:bCs/>
        </w:rPr>
        <w:t xml:space="preserve">Throughput and freshness: </w:t>
      </w:r>
      <w:r>
        <w:t>sustain 12 docs/second for two hours with a 35/second spike, p95 ingest-to-</w:t>
      </w:r>
      <w:proofErr w:type="spellStart"/>
      <w:r>
        <w:t>queryable</w:t>
      </w:r>
      <w:proofErr w:type="spellEnd"/>
      <w:r>
        <w:t xml:space="preserve"> under 15 minutes.</w:t>
      </w:r>
    </w:p>
    <w:p w14:paraId="49C77C8A" w14:textId="77777777" w:rsidR="00D90146" w:rsidRDefault="00000000">
      <w:pPr>
        <w:pStyle w:val="ListParagraph"/>
        <w:numPr>
          <w:ilvl w:val="0"/>
          <w:numId w:val="2"/>
        </w:numPr>
        <w:spacing w:after="90" w:line="276" w:lineRule="auto"/>
      </w:pPr>
      <w:r>
        <w:rPr>
          <w:b/>
          <w:bCs/>
        </w:rPr>
        <w:t xml:space="preserve">Cost: </w:t>
      </w:r>
      <w:r>
        <w:t>measured ≤ $2 per 1k documents at PoC settings, with an itemized path to ≤ $0.5.</w:t>
      </w:r>
    </w:p>
    <w:p w14:paraId="050193FA" w14:textId="77777777" w:rsidR="00D90146" w:rsidRDefault="00000000">
      <w:pPr>
        <w:pStyle w:val="ListParagraph"/>
        <w:numPr>
          <w:ilvl w:val="0"/>
          <w:numId w:val="2"/>
        </w:numPr>
        <w:spacing w:after="90" w:line="276" w:lineRule="auto"/>
      </w:pPr>
      <w:r>
        <w:rPr>
          <w:b/>
          <w:bCs/>
        </w:rPr>
        <w:t xml:space="preserve">Reliability: </w:t>
      </w:r>
      <w:r>
        <w:t>no pipeline stalls; DLQ under 0.5%, and every dead-lettered document classified into a failure type.</w:t>
      </w:r>
    </w:p>
    <w:p w14:paraId="28968921" w14:textId="77777777" w:rsidR="00D90146" w:rsidRDefault="00000000">
      <w:pPr>
        <w:pStyle w:val="Heading2"/>
        <w:spacing w:before="280" w:after="100"/>
      </w:pPr>
      <w:r>
        <w:rPr>
          <w:b/>
          <w:bCs/>
          <w:color w:val="1F3B57"/>
        </w:rPr>
        <w:t>Three weeks, roughly</w:t>
      </w:r>
    </w:p>
    <w:p w14:paraId="32179061" w14:textId="77777777" w:rsidR="00D90146" w:rsidRDefault="00000000">
      <w:pPr>
        <w:spacing w:after="140" w:line="276" w:lineRule="auto"/>
      </w:pPr>
      <w:r>
        <w:t>Week 1 — the labeled set, because it is the schedule driver: an annotation guideline with worked examples for the two genuinely contentious calls (the commercial-entity boundary, and mixed sentiment), 300 documents labeled, 50 of them double-labeled to measure agreement. In parallel, one to two days of known work hardening the extractor: chunking for long documents, provider failover, structured logs.</w:t>
      </w:r>
    </w:p>
    <w:p w14:paraId="4D0AA777" w14:textId="77777777" w:rsidR="00D90146" w:rsidRDefault="00000000">
      <w:pPr>
        <w:spacing w:after="140" w:line="276" w:lineRule="auto"/>
      </w:pPr>
      <w:r>
        <w:t xml:space="preserve">Week 2 — a minimal real pipeline: queue → async workers → </w:t>
      </w:r>
      <w:proofErr w:type="spellStart"/>
      <w:r>
        <w:t>ClickHouse</w:t>
      </w:r>
      <w:proofErr w:type="spellEnd"/>
      <w:r>
        <w:t xml:space="preserve"> mentions plus a Postgres dictionary, idempotent writes, a DLQ; the content-hash </w:t>
      </w:r>
      <w:proofErr w:type="spellStart"/>
      <w:r>
        <w:t>dedup</w:t>
      </w:r>
      <w:proofErr w:type="spellEnd"/>
      <w:r>
        <w:t xml:space="preserve"> and prescreen with their skip rates </w:t>
      </w:r>
      <w:proofErr w:type="gramStart"/>
      <w:r>
        <w:t>actually measured</w:t>
      </w:r>
      <w:proofErr w:type="gramEnd"/>
      <w:r>
        <w:t>; canonicalization v1 (a database-backed alias table, domain-as-key merging, provisional entities logged rather than resolved).</w:t>
      </w:r>
    </w:p>
    <w:p w14:paraId="2CC74BFC" w14:textId="77777777" w:rsidR="00D90146" w:rsidRDefault="00000000">
      <w:pPr>
        <w:spacing w:after="140" w:line="276" w:lineRule="auto"/>
      </w:pPr>
      <w:r>
        <w:t>Week 3 — the load and spike test with cost metering running; one dashboard page over the daily rollup to prove the query pattern; and the report: metrics against the gates above, a failure taxonomy built from DLQ contents and eval diffs, the cost curve, and a recommendation.</w:t>
      </w:r>
    </w:p>
    <w:p w14:paraId="74BACE85" w14:textId="77777777" w:rsidR="00D90146" w:rsidRDefault="00000000">
      <w:pPr>
        <w:pStyle w:val="Heading2"/>
        <w:spacing w:before="280" w:after="100"/>
      </w:pPr>
      <w:r>
        <w:rPr>
          <w:b/>
          <w:bCs/>
          <w:color w:val="1F3B57"/>
        </w:rPr>
        <w:t>Blockers, honestly sorted</w:t>
      </w:r>
    </w:p>
    <w:p w14:paraId="3D91CB90" w14:textId="77777777" w:rsidR="00D90146" w:rsidRDefault="00000000">
      <w:pPr>
        <w:spacing w:after="140" w:line="276" w:lineRule="auto"/>
      </w:pPr>
      <w:r>
        <w:t xml:space="preserve">Things that could actually move dates: label agreement — if two annotators disagree on sentiment, no accuracy number means anything, so budget one guideline-revision loop and pre-label with the LLM for humans to correct; provider quota — request the rate-limit raise on day one, and the dual-provider client is already built; ground truth for long-tail domains — verifying obscure brands’ websites is manual, so verify head brands exhaustively and sample the tail, which is why the accuracy gate is split; and data </w:t>
      </w:r>
      <w:r>
        <w:lastRenderedPageBreak/>
        <w:t>access sign-off if production-like documents contain user text — start that conversation on day one, with the provided corpus as the fallback.</w:t>
      </w:r>
    </w:p>
    <w:p w14:paraId="1D3B27E9" w14:textId="77777777" w:rsidR="00D90146" w:rsidRDefault="00000000">
      <w:pPr>
        <w:spacing w:after="140" w:line="276" w:lineRule="auto"/>
      </w:pPr>
      <w:r>
        <w:t>Deliberately not listed as risks, because they are routine: JSON robustness, retries, idempotency keys, containerization, CI, secrets handling. And a watch-list that will not block the PoC but will shape v1: how fast provisional entities accumulate (that decides how urgent embedding-based matching is), the recall cost of the prescreen, real-world prompt-injection attempts, and sentiment drift across sources.</w:t>
      </w:r>
    </w:p>
    <w:p w14:paraId="0176CBE6" w14:textId="77777777" w:rsidR="00D90146" w:rsidRDefault="00000000">
      <w:pPr>
        <w:pStyle w:val="Heading2"/>
        <w:spacing w:before="280" w:after="100"/>
      </w:pPr>
      <w:r>
        <w:rPr>
          <w:b/>
          <w:bCs/>
          <w:color w:val="1F3B57"/>
        </w:rPr>
        <w:t>How it gets evaluated</w:t>
      </w:r>
    </w:p>
    <w:p w14:paraId="4578D726" w14:textId="77777777" w:rsidR="00D90146" w:rsidRDefault="00000000">
      <w:pPr>
        <w:spacing w:after="140" w:line="276" w:lineRule="auto"/>
      </w:pPr>
      <w:r>
        <w:t>The eval harness from Part 1 becomes the gate: every prompt, model, or dictionary change lands only with a diff report against the previous run, wired into CI. A weekly checkpoint compares the numbers against the gates. The final deliverable is the written report plus a 30-minute demo: live extraction, a dashboard query, the spike-test graph, and the cost sheet.</w:t>
      </w:r>
    </w:p>
    <w:p w14:paraId="47E2A72B" w14:textId="77777777" w:rsidR="00D90146" w:rsidRDefault="00000000">
      <w:pPr>
        <w:pStyle w:val="Heading2"/>
        <w:spacing w:before="280" w:after="100"/>
      </w:pPr>
      <w:r>
        <w:rPr>
          <w:b/>
          <w:bCs/>
          <w:color w:val="1F3B57"/>
        </w:rPr>
        <w:t>Release plan after a “go”</w:t>
      </w:r>
    </w:p>
    <w:p w14:paraId="5D34042C" w14:textId="77777777" w:rsidR="00D90146" w:rsidRDefault="00000000">
      <w:pPr>
        <w:spacing w:after="140" w:line="276" w:lineRule="auto"/>
      </w:pPr>
      <w:r>
        <w:t xml:space="preserve">Shadow first, one to two weeks: full production traffic through the pipeline, nothing customer-visible, nightly golden-set eval trending; exit after seven consecutive green days with zero manual intervention. Then a limited release with two or three design partners whose corrections feed the alias dictionary directly, with on-call and runbooks live. Then GA. Throughout, the same discipline: every change carries a </w:t>
      </w:r>
      <w:proofErr w:type="spellStart"/>
      <w:r>
        <w:t>model_version</w:t>
      </w:r>
      <w:proofErr w:type="spellEnd"/>
      <w:r>
        <w:t>, passes the eval gate, ships behind configuration, and is reversible by pinning the old version and replaying — cheap rollback is the thing that lets quality iterate quickly. After GA, in priority order: a search-verified fallback for unresolved domains, embedding-based canonicalization with review tooling, distillation to cut cost, and aspect-level sentiment.</w:t>
      </w:r>
    </w:p>
    <w:sectPr w:rsidR="00D901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942F8"/>
    <w:multiLevelType w:val="hybridMultilevel"/>
    <w:tmpl w:val="B4AA6C00"/>
    <w:lvl w:ilvl="0" w:tplc="C4C44210">
      <w:start w:val="1"/>
      <w:numFmt w:val="bullet"/>
      <w:lvlText w:val="●"/>
      <w:lvlJc w:val="left"/>
      <w:pPr>
        <w:ind w:left="720" w:hanging="360"/>
      </w:pPr>
    </w:lvl>
    <w:lvl w:ilvl="1" w:tplc="AA3C2B4C">
      <w:start w:val="1"/>
      <w:numFmt w:val="bullet"/>
      <w:lvlText w:val="○"/>
      <w:lvlJc w:val="left"/>
      <w:pPr>
        <w:ind w:left="1440" w:hanging="360"/>
      </w:pPr>
    </w:lvl>
    <w:lvl w:ilvl="2" w:tplc="8356EA58">
      <w:start w:val="1"/>
      <w:numFmt w:val="bullet"/>
      <w:lvlText w:val="■"/>
      <w:lvlJc w:val="left"/>
      <w:pPr>
        <w:ind w:left="2160" w:hanging="360"/>
      </w:pPr>
    </w:lvl>
    <w:lvl w:ilvl="3" w:tplc="C61A796A">
      <w:start w:val="1"/>
      <w:numFmt w:val="bullet"/>
      <w:lvlText w:val="●"/>
      <w:lvlJc w:val="left"/>
      <w:pPr>
        <w:ind w:left="2880" w:hanging="360"/>
      </w:pPr>
    </w:lvl>
    <w:lvl w:ilvl="4" w:tplc="785E3F1A">
      <w:start w:val="1"/>
      <w:numFmt w:val="bullet"/>
      <w:lvlText w:val="○"/>
      <w:lvlJc w:val="left"/>
      <w:pPr>
        <w:ind w:left="3600" w:hanging="360"/>
      </w:pPr>
    </w:lvl>
    <w:lvl w:ilvl="5" w:tplc="48D0B720">
      <w:start w:val="1"/>
      <w:numFmt w:val="bullet"/>
      <w:lvlText w:val="■"/>
      <w:lvlJc w:val="left"/>
      <w:pPr>
        <w:ind w:left="4320" w:hanging="360"/>
      </w:pPr>
    </w:lvl>
    <w:lvl w:ilvl="6" w:tplc="D53A991E">
      <w:start w:val="1"/>
      <w:numFmt w:val="bullet"/>
      <w:lvlText w:val="●"/>
      <w:lvlJc w:val="left"/>
      <w:pPr>
        <w:ind w:left="5040" w:hanging="360"/>
      </w:pPr>
    </w:lvl>
    <w:lvl w:ilvl="7" w:tplc="B0F2B776">
      <w:start w:val="1"/>
      <w:numFmt w:val="bullet"/>
      <w:lvlText w:val="●"/>
      <w:lvlJc w:val="left"/>
      <w:pPr>
        <w:ind w:left="5760" w:hanging="360"/>
      </w:pPr>
    </w:lvl>
    <w:lvl w:ilvl="8" w:tplc="9DC04C4E">
      <w:start w:val="1"/>
      <w:numFmt w:val="bullet"/>
      <w:lvlText w:val="●"/>
      <w:lvlJc w:val="left"/>
      <w:pPr>
        <w:ind w:left="6480" w:hanging="360"/>
      </w:pPr>
    </w:lvl>
  </w:abstractNum>
  <w:abstractNum w:abstractNumId="1" w15:restartNumberingAfterBreak="0">
    <w:nsid w:val="72795485"/>
    <w:multiLevelType w:val="hybridMultilevel"/>
    <w:tmpl w:val="96328014"/>
    <w:lvl w:ilvl="0" w:tplc="12129828">
      <w:start w:val="1"/>
      <w:numFmt w:val="bullet"/>
      <w:lvlText w:val="•"/>
      <w:lvlJc w:val="left"/>
      <w:pPr>
        <w:ind w:left="420" w:hanging="210"/>
      </w:pPr>
    </w:lvl>
    <w:lvl w:ilvl="1" w:tplc="C1AA20E6">
      <w:numFmt w:val="decimal"/>
      <w:lvlText w:val=""/>
      <w:lvlJc w:val="left"/>
    </w:lvl>
    <w:lvl w:ilvl="2" w:tplc="865E54CE">
      <w:numFmt w:val="decimal"/>
      <w:lvlText w:val=""/>
      <w:lvlJc w:val="left"/>
    </w:lvl>
    <w:lvl w:ilvl="3" w:tplc="EB7486B0">
      <w:numFmt w:val="decimal"/>
      <w:lvlText w:val=""/>
      <w:lvlJc w:val="left"/>
    </w:lvl>
    <w:lvl w:ilvl="4" w:tplc="77B28378">
      <w:numFmt w:val="decimal"/>
      <w:lvlText w:val=""/>
      <w:lvlJc w:val="left"/>
    </w:lvl>
    <w:lvl w:ilvl="5" w:tplc="18C807B0">
      <w:numFmt w:val="decimal"/>
      <w:lvlText w:val=""/>
      <w:lvlJc w:val="left"/>
    </w:lvl>
    <w:lvl w:ilvl="6" w:tplc="431ACADC">
      <w:numFmt w:val="decimal"/>
      <w:lvlText w:val=""/>
      <w:lvlJc w:val="left"/>
    </w:lvl>
    <w:lvl w:ilvl="7" w:tplc="1914975C">
      <w:numFmt w:val="decimal"/>
      <w:lvlText w:val=""/>
      <w:lvlJc w:val="left"/>
    </w:lvl>
    <w:lvl w:ilvl="8" w:tplc="26DA02AE">
      <w:numFmt w:val="decimal"/>
      <w:lvlText w:val=""/>
      <w:lvlJc w:val="left"/>
    </w:lvl>
  </w:abstractNum>
  <w:num w:numId="1" w16cid:durableId="219875241">
    <w:abstractNumId w:val="0"/>
    <w:lvlOverride w:ilvl="0">
      <w:startOverride w:val="1"/>
    </w:lvlOverride>
  </w:num>
  <w:num w:numId="2" w16cid:durableId="16551774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146"/>
    <w:rsid w:val="004B4E6B"/>
    <w:rsid w:val="00D374F4"/>
    <w:rsid w:val="00D90146"/>
    <w:rsid w:val="00EC0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A3F38F"/>
  <w15:docId w15:val="{AE1FFF97-595F-CD47-AE16-8074202B8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3782</Characters>
  <Application>Microsoft Office Word</Application>
  <DocSecurity>0</DocSecurity>
  <Lines>55</Lines>
  <Paragraphs>19</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Jiaqi Li</cp:lastModifiedBy>
  <cp:revision>3</cp:revision>
  <dcterms:created xsi:type="dcterms:W3CDTF">2026-07-22T14:19:00Z</dcterms:created>
  <dcterms:modified xsi:type="dcterms:W3CDTF">2026-07-22T20:24:00Z</dcterms:modified>
</cp:coreProperties>
</file>