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23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f97c3047d940728e4f59168434681b59d094b4c"/>
    <w:p>
      <w:pPr>
        <w:pStyle w:val="Heading1"/>
      </w:pPr>
      <w:r>
        <w:t xml:space="preserve">When Does a Regulatory Edge Become Causal?</w:t>
      </w:r>
    </w:p>
    <w:bookmarkStart w:id="20" w:name="Xfd8401ab729c421fd58960fe4e52eaa5bab0806"/>
    <w:p>
      <w:pPr>
        <w:pStyle w:val="Heading2"/>
      </w:pPr>
      <w:r>
        <w:t xml:space="preserve">Cell-state and chromatin dependence of gene regulation in a single-cell perturbation atlas</w:t>
      </w:r>
    </w:p>
    <w:p>
      <w:pPr>
        <w:pStyle w:val="FirstParagraph"/>
      </w:pPr>
      <w:r>
        <w:rPr>
          <w:bCs/>
          <w:b/>
        </w:rPr>
        <w:t xml:space="preserve">Yuqi Tao</w:t>
      </w:r>
      <w:r>
        <w:br/>
      </w:r>
      <w:r>
        <w:t xml:space="preserve">Independent Researcher, Manchester, United Kingdom</w:t>
      </w:r>
    </w:p>
    <w:p>
      <w:pPr>
        <w:pStyle w:val="BodyText"/>
      </w:pPr>
      <w:r>
        <w:rPr>
          <w:bCs/>
          <w:b/>
        </w:rPr>
        <w:t xml:space="preserve">Manuscript status:</w:t>
      </w:r>
      <w:r>
        <w:t xml:space="preserve"> </w:t>
      </w:r>
      <w:r>
        <w:t xml:space="preserve">Initial full draft, 20 August 2026</w:t>
      </w:r>
      <w:r>
        <w:br/>
      </w:r>
      <w:r>
        <w:rPr>
          <w:bCs/>
          <w:b/>
        </w:rPr>
        <w:t xml:space="preserve">Correspondence:</w:t>
      </w:r>
      <w:r>
        <w:t xml:space="preserve"> </w:t>
      </w:r>
      <w:r>
        <w:t xml:space="preserve">to be confirmed before submission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Single-cell transcriptomes support the inference of large gene regulatory</w:t>
      </w:r>
      <w:r>
        <w:t xml:space="preserve"> </w:t>
      </w:r>
      <w:r>
        <w:t xml:space="preserve">networks, but an observational transcription factor (TF)-to-target association</w:t>
      </w:r>
      <w:r>
        <w:t xml:space="preserve"> </w:t>
      </w:r>
      <w:r>
        <w:t xml:space="preserve">does not establish that the target will respond when the TF is perturbed. Here,</w:t>
      </w:r>
      <w:r>
        <w:t xml:space="preserve"> </w:t>
      </w:r>
      <w:r>
        <w:t xml:space="preserve">we asked why some regulatory edges survive intervention whereas others are</w:t>
      </w:r>
      <w:r>
        <w:t xml:space="preserve"> </w:t>
      </w:r>
      <w:r>
        <w:t xml:space="preserve">restricted to observational single-cell data. We re-analysed a human</w:t>
      </w:r>
      <w:r>
        <w:t xml:space="preserve"> </w:t>
      </w:r>
      <w:r>
        <w:t xml:space="preserve">Perturb-multiome atlas of haematopoietic differentiation, separating</w:t>
      </w:r>
      <w:r>
        <w:t xml:space="preserve"> </w:t>
      </w:r>
      <w:r>
        <w:t xml:space="preserve">controls-only edge discovery from CRISPR-based validation, cell-state</w:t>
      </w:r>
      <w:r>
        <w:t xml:space="preserve"> </w:t>
      </w:r>
      <w:r>
        <w:t xml:space="preserve">heterogeneity, chromatin mechanism, and external temporal validation. Among</w:t>
      </w:r>
      <w:r>
        <w:t xml:space="preserve"> </w:t>
      </w:r>
      <w:r>
        <w:t xml:space="preserve">43,740 candidate edges from six erythroid TFs, the top 1% of a residualized</w:t>
      </w:r>
      <w:r>
        <w:t xml:space="preserve"> </w:t>
      </w:r>
      <w:r>
        <w:t xml:space="preserve">signed association ranking was enriched 2.44-fold for published</w:t>
      </w:r>
      <w:r>
        <w:t xml:space="preserve"> </w:t>
      </w:r>
      <w:r>
        <w:t xml:space="preserve">intervention-responsive targets relative to expression- and detection-matched</w:t>
      </w:r>
      <w:r>
        <w:t xml:space="preserve"> </w:t>
      </w:r>
      <w:r>
        <w:t xml:space="preserve">null edges (empirical</w:t>
      </w:r>
      <w:r>
        <w:t xml:space="preserve"> </w:t>
      </w:r>
      <w:r>
        <w:rPr>
          <w:iCs/>
          <w:i/>
        </w:rPr>
        <w:t xml:space="preserve">P</w:t>
      </w:r>
      <w:r>
        <w:t xml:space="preserve">=0.001), whereas GRNBoost2 showed no enrichment. Strict</w:t>
      </w:r>
      <w:r>
        <w:t xml:space="preserve"> </w:t>
      </w:r>
      <w:r>
        <w:t xml:space="preserve">late-erythroid pseudobulk validation identified only 13 E1 edges, emphasizing</w:t>
      </w:r>
      <w:r>
        <w:t xml:space="preserve"> </w:t>
      </w:r>
      <w:r>
        <w:t xml:space="preserve">that observational confidence was concentrated in a narrow upper tail. Across</w:t>
      </w:r>
      <w:r>
        <w:t xml:space="preserve"> </w:t>
      </w:r>
      <w:r>
        <w:t xml:space="preserve">four collection times, 53 of 619 stable observational edges showed significant</w:t>
      </w:r>
      <w:r>
        <w:t xml:space="preserve"> </w:t>
      </w:r>
      <w:r>
        <w:t xml:space="preserve">perturbation-by-time interactions, but 25 coincided with perturbation-induced</w:t>
      </w:r>
      <w:r>
        <w:t xml:space="preserve"> </w:t>
      </w:r>
      <w:r>
        <w:t xml:space="preserve">movement along a controls-defined differentiation axis. Targeted paired RNA and</w:t>
      </w:r>
      <w:r>
        <w:t xml:space="preserve"> </w:t>
      </w:r>
      <w:r>
        <w:t xml:space="preserve">ATAC analysis identified 11 motif-supported E2 peaks across four GATA1 edges</w:t>
      </w:r>
      <w:r>
        <w:t xml:space="preserve"> </w:t>
      </w:r>
      <w:r>
        <w:t xml:space="preserve">(</w:t>
      </w:r>
      <w:r>
        <w:rPr>
          <w:iCs/>
          <w:i/>
        </w:rPr>
        <w:t xml:space="preserve">CPEB4</w:t>
      </w:r>
      <w:r>
        <w:t xml:space="preserve">,</w:t>
      </w:r>
      <w:r>
        <w:t xml:space="preserve"> </w:t>
      </w:r>
      <w:r>
        <w:rPr>
          <w:iCs/>
          <w:i/>
        </w:rPr>
        <w:t xml:space="preserve">ALAS2</w:t>
      </w:r>
      <w:r>
        <w:t xml:space="preserve">,</w:t>
      </w:r>
      <w:r>
        <w:t xml:space="preserve"> </w:t>
      </w:r>
      <w:r>
        <w:rPr>
          <w:iCs/>
          <w:i/>
        </w:rPr>
        <w:t xml:space="preserve">SLC25A37</w:t>
      </w:r>
      <w:r>
        <w:t xml:space="preserve">, and</w:t>
      </w:r>
      <w:r>
        <w:t xml:space="preserve"> </w:t>
      </w:r>
      <w:r>
        <w:rPr>
          <w:iCs/>
          <w:i/>
        </w:rPr>
        <w:t xml:space="preserve">SPTA1</w:t>
      </w:r>
      <w:r>
        <w:t xml:space="preserve">). None remained significant after</w:t>
      </w:r>
      <w:r>
        <w:t xml:space="preserve"> </w:t>
      </w:r>
      <w:r>
        <w:t xml:space="preserve">conditioning on post-perturbation erythroid state. Contrary to a simple</w:t>
      </w:r>
      <w:r>
        <w:t xml:space="preserve"> </w:t>
      </w:r>
      <w:r>
        <w:t xml:space="preserve">permissive-gate model, baseline accessibility correlated negatively with both</w:t>
      </w:r>
      <w:r>
        <w:t xml:space="preserve"> </w:t>
      </w:r>
      <w:r>
        <w:t xml:space="preserve">ATAC and RNA perturbation-effect magnitude. In an independent adult erythroid</w:t>
      </w:r>
      <w:r>
        <w:t xml:space="preserve"> </w:t>
      </w:r>
      <w:r>
        <w:t xml:space="preserve">time course, 8 of 11 E2 peaks, but 0 of 10 linked non-E2 peaks, became accessible</w:t>
      </w:r>
      <w:r>
        <w:t xml:space="preserve"> </w:t>
      </w:r>
      <w:r>
        <w:t xml:space="preserve">before target-RNA activation; three of four E2 edges passed the prespecified</w:t>
      </w:r>
      <w:r>
        <w:t xml:space="preserve"> </w:t>
      </w:r>
      <w:r>
        <w:t xml:space="preserve">temporal criterion versus zero of six comparison edges (edge-level Fisher's</w:t>
      </w:r>
      <w:r>
        <w:t xml:space="preserve"> </w:t>
      </w:r>
      <w:r>
        <w:t xml:space="preserve">exact</w:t>
      </w:r>
      <w:r>
        <w:t xml:space="preserve"> </w:t>
      </w:r>
      <w:r>
        <w:rPr>
          <w:iCs/>
          <w:i/>
        </w:rPr>
        <w:t xml:space="preserve">P</w:t>
      </w:r>
      <w:r>
        <w:t xml:space="preserve">=0.033). These results support an establishment-versus-maintenance</w:t>
      </w:r>
      <w:r>
        <w:t xml:space="preserve"> </w:t>
      </w:r>
      <w:r>
        <w:t xml:space="preserve">model in which regulatory dependence is strongest while a lineage programme is</w:t>
      </w:r>
      <w:r>
        <w:t xml:space="preserve"> </w:t>
      </w:r>
      <w:r>
        <w:t xml:space="preserve">being established and can attenuate after the chromatin state has formed. More</w:t>
      </w:r>
      <w:r>
        <w:t xml:space="preserve"> </w:t>
      </w:r>
      <w:r>
        <w:t xml:space="preserve">generally, causal credibility is an edge-, state-, and developmental-stage</w:t>
      </w:r>
      <w:r>
        <w:t xml:space="preserve"> </w:t>
      </w:r>
      <w:r>
        <w:t xml:space="preserve">property rather than an intrinsic attribute of an observational network.</w:t>
      </w:r>
    </w:p>
    <w:bookmarkEnd w:id="21"/>
    <w:bookmarkStart w:id="2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Single-cell RNA sequencing has made it possible to infer regulatory structure</w:t>
      </w:r>
      <w:r>
        <w:t xml:space="preserve"> </w:t>
      </w:r>
      <w:r>
        <w:t xml:space="preserve">from thousands to millions of heterogeneous cells. Methods based on</w:t>
      </w:r>
      <w:r>
        <w:t xml:space="preserve"> </w:t>
      </w:r>
      <w:r>
        <w:t xml:space="preserve">co-expression, tree-based prediction, cis-regulatory motif enrichment, dynamic</w:t>
      </w:r>
      <w:r>
        <w:t xml:space="preserve"> </w:t>
      </w:r>
      <w:r>
        <w:t xml:space="preserve">trajectories, and joint RNA–chromatin measurements can nominate TF–target</w:t>
      </w:r>
      <w:r>
        <w:t xml:space="preserve"> </w:t>
      </w:r>
      <w:r>
        <w:t xml:space="preserve">relationships at scale [1–5]. These networks have become central to analyses of</w:t>
      </w:r>
      <w:r>
        <w:t xml:space="preserve"> </w:t>
      </w:r>
      <w:r>
        <w:t xml:space="preserve">cell identity, differentiation, disease, and in silico perturbation. Yet the</w:t>
      </w:r>
      <w:r>
        <w:t xml:space="preserve"> </w:t>
      </w:r>
      <w:r>
        <w:t xml:space="preserve">word “regulatory” often carries a stronger interpretation than the underlying</w:t>
      </w:r>
      <w:r>
        <w:t xml:space="preserve"> </w:t>
      </w:r>
      <w:r>
        <w:t xml:space="preserve">data support. A TF and a target can covary because one regulates the other, but</w:t>
      </w:r>
      <w:r>
        <w:t xml:space="preserve"> </w:t>
      </w:r>
      <w:r>
        <w:t xml:space="preserve">also because both follow differentiation, cell-cycle, stress, batch, or an</w:t>
      </w:r>
      <w:r>
        <w:t xml:space="preserve"> </w:t>
      </w:r>
      <w:r>
        <w:t xml:space="preserve">unmeasured upstream programme. Even a reproducible, motif-supported edge can</w:t>
      </w:r>
      <w:r>
        <w:t xml:space="preserve"> </w:t>
      </w:r>
      <w:r>
        <w:t xml:space="preserve">therefore fail to predict the response to intervention.</w:t>
      </w:r>
    </w:p>
    <w:p>
      <w:pPr>
        <w:pStyle w:val="BodyText"/>
      </w:pPr>
      <w:r>
        <w:t xml:space="preserve">Pooled CRISPR screens with single-cell readouts provide a direct route from</w:t>
      </w:r>
      <w:r>
        <w:t xml:space="preserve"> </w:t>
      </w:r>
      <w:r>
        <w:t xml:space="preserve">association to intervention [6–8]. Perturb-seq identifies the molecular response</w:t>
      </w:r>
      <w:r>
        <w:t xml:space="preserve"> </w:t>
      </w:r>
      <w:r>
        <w:t xml:space="preserve">to a genetic perturbation in individual cells, while perturbational epigenomic</w:t>
      </w:r>
      <w:r>
        <w:t xml:space="preserve"> </w:t>
      </w:r>
      <w:r>
        <w:t xml:space="preserve">assays can connect transcriptional responses to changes in chromatin</w:t>
      </w:r>
      <w:r>
        <w:t xml:space="preserve"> </w:t>
      </w:r>
      <w:r>
        <w:t xml:space="preserve">accessibility [9]. However, intervention does not automatically make every</w:t>
      </w:r>
      <w:r>
        <w:t xml:space="preserve"> </w:t>
      </w:r>
      <w:r>
        <w:t xml:space="preserve">downstream comparison simple. Perturbations can change which cell states are</w:t>
      </w:r>
      <w:r>
        <w:t xml:space="preserve"> </w:t>
      </w:r>
      <w:r>
        <w:t xml:space="preserve">occupied, alter the rate of progression along a developmental trajectory, or</w:t>
      </w:r>
      <w:r>
        <w:t xml:space="preserve"> </w:t>
      </w:r>
      <w:r>
        <w:t xml:space="preserve">produce different molecular effects in different states. Cell labels observed</w:t>
      </w:r>
      <w:r>
        <w:t xml:space="preserve"> </w:t>
      </w:r>
      <w:r>
        <w:t xml:space="preserve">after perturbation can themselves be mediators or colliders. Thus, an atlas-wide</w:t>
      </w:r>
      <w:r>
        <w:t xml:space="preserve"> </w:t>
      </w:r>
      <w:r>
        <w:t xml:space="preserve">perturbation response, a response within a terminal cell state, and a response</w:t>
      </w:r>
      <w:r>
        <w:t xml:space="preserve"> </w:t>
      </w:r>
      <w:r>
        <w:t xml:space="preserve">after conditioning on post-treatment state correspond to different estimands.</w:t>
      </w:r>
    </w:p>
    <w:p>
      <w:pPr>
        <w:pStyle w:val="BodyText"/>
      </w:pPr>
      <w:r>
        <w:t xml:space="preserve">Chromatin introduces a second layer of context. A common model proposes that a</w:t>
      </w:r>
      <w:r>
        <w:t xml:space="preserve"> </w:t>
      </w:r>
      <w:r>
        <w:t xml:space="preserve">TF–target edge is effective when the relevant cis-regulatory element is open.</w:t>
      </w:r>
      <w:r>
        <w:t xml:space="preserve"> </w:t>
      </w:r>
      <w:r>
        <w:t xml:space="preserve">Joint single-cell RNA and ATAC measurements make this model testable by asking</w:t>
      </w:r>
      <w:r>
        <w:t xml:space="preserve"> </w:t>
      </w:r>
      <w:r>
        <w:t xml:space="preserve">whether a candidate element is accessible, linked to target expression,</w:t>
      </w:r>
      <w:r>
        <w:t xml:space="preserve"> </w:t>
      </w:r>
      <w:r>
        <w:t xml:space="preserve">TF-sensitive under intervention, and supported by the TF motif [4,10]. But the</w:t>
      </w:r>
      <w:r>
        <w:t xml:space="preserve"> </w:t>
      </w:r>
      <w:r>
        <w:t xml:space="preserve">relationship between accessibility and regulatory dependence need not be</w:t>
      </w:r>
      <w:r>
        <w:t xml:space="preserve"> </w:t>
      </w:r>
      <w:r>
        <w:t xml:space="preserve">monotonic. A TF may be required to establish an accessible state but become less</w:t>
      </w:r>
      <w:r>
        <w:t xml:space="preserve"> </w:t>
      </w:r>
      <w:r>
        <w:t xml:space="preserve">important once that state is maintained by additional factors or lineage</w:t>
      </w:r>
      <w:r>
        <w:t xml:space="preserve"> </w:t>
      </w:r>
      <w:r>
        <w:t xml:space="preserve">memory. Under this alternative, perturbation effects should be strongest early,</w:t>
      </w:r>
      <w:r>
        <w:t xml:space="preserve"> </w:t>
      </w:r>
      <w:r>
        <w:t xml:space="preserve">when baseline accessibility is still low, and decline as the locus opens.</w:t>
      </w:r>
    </w:p>
    <w:p>
      <w:pPr>
        <w:pStyle w:val="BodyText"/>
      </w:pPr>
      <w:r>
        <w:t xml:space="preserve">Human erythropoiesis provides a useful system in which to distinguish these</w:t>
      </w:r>
      <w:r>
        <w:t xml:space="preserve"> </w:t>
      </w:r>
      <w:r>
        <w:t xml:space="preserve">possibilities. It follows an ordered differentiation trajectory, is controlled</w:t>
      </w:r>
      <w:r>
        <w:t xml:space="preserve"> </w:t>
      </w:r>
      <w:r>
        <w:t xml:space="preserve">by well-studied TFs including GATA1, NFE2, KLF1, TAL1, GFI1B and BCL11A, and is</w:t>
      </w:r>
      <w:r>
        <w:t xml:space="preserve"> </w:t>
      </w:r>
      <w:r>
        <w:t xml:space="preserve">represented by both perturbational multiome data and independent stage-resolved</w:t>
      </w:r>
      <w:r>
        <w:t xml:space="preserve"> </w:t>
      </w:r>
      <w:r>
        <w:t xml:space="preserve">RNA/ATAC datasets [11–13]. The Perturb-multiome atlas generated by</w:t>
      </w:r>
      <w:r>
        <w:t xml:space="preserve"> </w:t>
      </w:r>
      <w:r>
        <w:t xml:space="preserve">Martin-Rufino and colleagues profiled 19 master TF perturbations across human</w:t>
      </w:r>
      <w:r>
        <w:t xml:space="preserve"> </w:t>
      </w:r>
      <w:r>
        <w:t xml:space="preserve">haematopoietic differentiation with paired gene-expression and chromatin</w:t>
      </w:r>
      <w:r>
        <w:t xml:space="preserve"> </w:t>
      </w:r>
      <w:r>
        <w:t xml:space="preserve">accessibility readouts [11]. This design permits observational network</w:t>
      </w:r>
      <w:r>
        <w:t xml:space="preserve"> </w:t>
      </w:r>
      <w:r>
        <w:t xml:space="preserve">inference and intervention testing within the same experimental system, while</w:t>
      </w:r>
      <w:r>
        <w:t xml:space="preserve"> </w:t>
      </w:r>
      <w:r>
        <w:t xml:space="preserve">independent fetal and adult atlases provide tests of temporal transport [12,13].</w:t>
      </w:r>
    </w:p>
    <w:p>
      <w:pPr>
        <w:pStyle w:val="BodyText"/>
      </w:pPr>
      <w:r>
        <w:t xml:space="preserve">Here, we developed a deliberately staged analysis. Candidate edges were first</w:t>
      </w:r>
      <w:r>
        <w:t xml:space="preserve"> </w:t>
      </w:r>
      <w:r>
        <w:t xml:space="preserve">inferred from non-targeting cells only (E0). Perturbed cells were then used to</w:t>
      </w:r>
      <w:r>
        <w:t xml:space="preserve"> </w:t>
      </w:r>
      <w:r>
        <w:t xml:space="preserve">test transcriptomic response (E1), collection-time dependence, movement along a</w:t>
      </w:r>
      <w:r>
        <w:t xml:space="preserve"> </w:t>
      </w:r>
      <w:r>
        <w:t xml:space="preserve">controls-defined differentiation axis, and local chromatin mechanism (E2).</w:t>
      </w:r>
      <w:r>
        <w:t xml:space="preserve"> </w:t>
      </w:r>
      <w:r>
        <w:t xml:space="preserve">Finally, E2 peaks were frozen and evaluated in independent differentiation</w:t>
      </w:r>
      <w:r>
        <w:t xml:space="preserve"> </w:t>
      </w:r>
      <w:r>
        <w:t xml:space="preserve">datasets. The analysis was not designed as a benchmark of many machine-learning</w:t>
      </w:r>
      <w:r>
        <w:t xml:space="preserve"> </w:t>
      </w:r>
      <w:r>
        <w:t xml:space="preserve">models, nor as a universal causal score. It addressed a biological question:</w:t>
      </w:r>
      <w:r>
        <w:t xml:space="preserve"> </w:t>
      </w:r>
      <w:r>
        <w:t xml:space="preserve">when does an observational regulatory relationship remain valid under real</w:t>
      </w:r>
      <w:r>
        <w:t xml:space="preserve"> </w:t>
      </w:r>
      <w:r>
        <w:t xml:space="preserve">intervention?</w:t>
      </w:r>
    </w:p>
    <w:bookmarkEnd w:id="22"/>
    <w:bookmarkStart w:id="42" w:name="results"/>
    <w:p>
      <w:pPr>
        <w:pStyle w:val="Heading2"/>
      </w:pPr>
      <w:r>
        <w:t xml:space="preserve">Results</w:t>
      </w:r>
    </w:p>
    <w:bookmarkStart w:id="26" w:name="X1e9238731d1139b1cf294bc82b9b75bb87ff97e"/>
    <w:p>
      <w:pPr>
        <w:pStyle w:val="Heading3"/>
      </w:pPr>
      <w:r>
        <w:t xml:space="preserve">A staged framework separates observational confidence, intervention, context, and mechanism</w:t>
      </w:r>
    </w:p>
    <w:p>
      <w:pPr>
        <w:pStyle w:val="FirstParagraph"/>
      </w:pPr>
      <w:r>
        <w:t xml:space="preserve">We analysed GSE274113, the single-cell Perturb-multiome component of a human</w:t>
      </w:r>
      <w:r>
        <w:t xml:space="preserve"> </w:t>
      </w:r>
      <w:r>
        <w:t xml:space="preserve">haematopoietic TF perturbation study [11]. All 14 RNA/ATAC libraries opened</w:t>
      </w:r>
      <w:r>
        <w:t xml:space="preserve"> </w:t>
      </w:r>
      <w:r>
        <w:t xml:space="preserve">successfully, and all 137,604 cells passing the authors' quality-control filters</w:t>
      </w:r>
      <w:r>
        <w:t xml:space="preserve"> </w:t>
      </w:r>
      <w:r>
        <w:t xml:space="preserve">were matched to their corresponding 10x matrices. The libraries contained an</w:t>
      </w:r>
      <w:r>
        <w:t xml:space="preserve"> </w:t>
      </w:r>
      <w:r>
        <w:t xml:space="preserve">identically ordered set of 36,601 RNA features and between 93,574 and 100,809</w:t>
      </w:r>
      <w:r>
        <w:t xml:space="preserve"> </w:t>
      </w:r>
      <w:r>
        <w:t xml:space="preserve">ATAC features. Public metadata did not identify library replicates as</w:t>
      </w:r>
      <w:r>
        <w:t xml:space="preserve"> </w:t>
      </w:r>
      <w:r>
        <w:t xml:space="preserve">independent donors; throughout, they were therefore treated as library or batch</w:t>
      </w:r>
      <w:r>
        <w:t xml:space="preserve"> </w:t>
      </w:r>
      <w:r>
        <w:t xml:space="preserve">strata rather than units of donor-level replication.</w:t>
      </w:r>
    </w:p>
    <w:p>
      <w:pPr>
        <w:pStyle w:val="BodyText"/>
      </w:pPr>
      <w:r>
        <w:t xml:space="preserve">The primary TF panel comprised GATA1, NFE2, GFI1B, BCL11A, TAL1 and KLF1. These</w:t>
      </w:r>
      <w:r>
        <w:t xml:space="preserve"> </w:t>
      </w:r>
      <w:r>
        <w:t xml:space="preserve">TFs were selected before network inference because of their central roles in</w:t>
      </w:r>
      <w:r>
        <w:t xml:space="preserve"> </w:t>
      </w:r>
      <w:r>
        <w:t xml:space="preserve">erythroid differentiation and sufficient guide representation at day 14. The</w:t>
      </w:r>
      <w:r>
        <w:t xml:space="preserve"> </w:t>
      </w:r>
      <w:r>
        <w:t xml:space="preserve">late-erythroid primary analysis contained 22,437 cells (13,317 orthochromatic</w:t>
      </w:r>
      <w:r>
        <w:t xml:space="preserve"> </w:t>
      </w:r>
      <w:r>
        <w:t xml:space="preserve">and 9,120 polychromatic erythroblasts), including 1,304 cells carrying the</w:t>
      </w:r>
      <w:r>
        <w:t xml:space="preserve"> </w:t>
      </w:r>
      <w:r>
        <w:t xml:space="preserve">non-targeting NT_1, NT_2 or NT_3 guides for strict observational discovery.</w:t>
      </w:r>
      <w:r>
        <w:t xml:space="preserve"> </w:t>
      </w:r>
      <w:r>
        <w:t xml:space="preserve">AAVS1 guides were reserved as cutting controls for intervention comparisons.</w:t>
      </w:r>
    </w:p>
    <w:p>
      <w:pPr>
        <w:pStyle w:val="BodyText"/>
      </w:pPr>
      <w:r>
        <w:t xml:space="preserve">The workflow comprised five layers (Figure 1): controls-only observational</w:t>
      </w:r>
      <w:r>
        <w:t xml:space="preserve"> </w:t>
      </w:r>
      <w:r>
        <w:t xml:space="preserve">discovery; perturbational RNA validation; dependence across collection time and</w:t>
      </w:r>
      <w:r>
        <w:t xml:space="preserve"> </w:t>
      </w:r>
      <w:r>
        <w:t xml:space="preserve">erythroid state; targeted chromatin mechanism; and external temporal transport.</w:t>
      </w:r>
      <w:r>
        <w:t xml:space="preserve"> </w:t>
      </w:r>
      <w:r>
        <w:t xml:space="preserve">We use E0 for a stable controls-only TF–target association, E1 for an E0 edge</w:t>
      </w:r>
      <w:r>
        <w:t xml:space="preserve"> </w:t>
      </w:r>
      <w:r>
        <w:t xml:space="preserve">with guide-consistent target-RNA response, and E2 for an edge linked through a</w:t>
      </w:r>
      <w:r>
        <w:t xml:space="preserve"> </w:t>
      </w:r>
      <w:r>
        <w:t xml:space="preserve">specific local accessibility element with concordant perturbational and motif</w:t>
      </w:r>
      <w:r>
        <w:t xml:space="preserve"> </w:t>
      </w:r>
      <w:r>
        <w:t xml:space="preserve">evidence. These labels describe evidence in the present analysis and are not</w:t>
      </w:r>
      <w:r>
        <w:t xml:space="preserve"> </w:t>
      </w:r>
      <w:r>
        <w:t xml:space="preserve">claimed as universal ontological categories.</w:t>
      </w:r>
    </w:p>
    <w:p>
      <w:pPr>
        <w:pStyle w:val="BodyText"/>
      </w:pPr>
      <w:r>
        <w:drawing>
          <wp:inline>
            <wp:extent cx="5334000" cy="1881286"/>
            <wp:effectExtent b="0" l="0" r="0" t="0"/>
            <wp:docPr descr="Figure 1. Study design" title="" id="24" name="Picture"/>
            <a:graphic>
              <a:graphicData uri="http://schemas.openxmlformats.org/drawingml/2006/picture">
                <pic:pic>
                  <pic:nvPicPr>
                    <pic:cNvPr descr="figures/figure1_study_desig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X59a8e0b5f396f5d8f9c36969642a8376f1bf089"/>
    <w:p>
      <w:pPr>
        <w:pStyle w:val="Heading3"/>
      </w:pPr>
      <w:r>
        <w:t xml:space="preserve">Intervention support is concentrated at the extreme top of the observational ranking</w:t>
      </w:r>
    </w:p>
    <w:p>
      <w:pPr>
        <w:pStyle w:val="FirstParagraph"/>
      </w:pPr>
      <w:r>
        <w:t xml:space="preserve">We compared two observational strategies across 43,740 possible edges from the</w:t>
      </w:r>
      <w:r>
        <w:t xml:space="preserve"> </w:t>
      </w:r>
      <w:r>
        <w:t xml:space="preserve">six TFs to 7,291 eligible expressed genes. The first was a signed association</w:t>
      </w:r>
      <w:r>
        <w:t xml:space="preserve"> </w:t>
      </w:r>
      <w:r>
        <w:t xml:space="preserve">after residualizing target and TF expression for library depth, batch and late</w:t>
      </w:r>
      <w:r>
        <w:t xml:space="preserve"> </w:t>
      </w:r>
      <w:r>
        <w:t xml:space="preserve">erythroid state. The second was GRNBoost2, a scalable gradient-boosting method</w:t>
      </w:r>
      <w:r>
        <w:t xml:space="preserve"> </w:t>
      </w:r>
      <w:r>
        <w:t xml:space="preserve">for network inference [2]. The residualized network was bootstrapped 100 times</w:t>
      </w:r>
      <w:r>
        <w:t xml:space="preserve"> </w:t>
      </w:r>
      <w:r>
        <w:t xml:space="preserve">within batch and cell-state strata. An edge was called stable if it appeared in</w:t>
      </w:r>
      <w:r>
        <w:t xml:space="preserve"> </w:t>
      </w:r>
      <w:r>
        <w:t xml:space="preserve">the top 5% of the TF-specific ranking in at least 70 bootstraps.</w:t>
      </w:r>
    </w:p>
    <w:p>
      <w:pPr>
        <w:pStyle w:val="BodyText"/>
      </w:pPr>
      <w:r>
        <w:t xml:space="preserve">This procedure retained 619 stable E0 edges: 171 for NFE2, 135 for BCL11A, 83</w:t>
      </w:r>
      <w:r>
        <w:t xml:space="preserve"> </w:t>
      </w:r>
      <w:r>
        <w:t xml:space="preserve">for KLF1, 82 for GATA1, 81 for GFI1B and 67 for TAL1. Agreement with GRNBoost2</w:t>
      </w:r>
      <w:r>
        <w:t xml:space="preserve"> </w:t>
      </w:r>
      <w:r>
        <w:t xml:space="preserve">was incomplete: 41 stable residualized edges also occurred in the GRNBoost2 top</w:t>
      </w:r>
      <w:r>
        <w:t xml:space="preserve"> </w:t>
      </w:r>
      <w:r>
        <w:t xml:space="preserve">1%, 192 in the top 5%, and 293 in the top 10%.</w:t>
      </w:r>
    </w:p>
    <w:p>
      <w:pPr>
        <w:pStyle w:val="BodyText"/>
      </w:pPr>
      <w:r>
        <w:t xml:space="preserve">We calibrated the complete observational rankings against the source study's</w:t>
      </w:r>
      <w:r>
        <w:t xml:space="preserve"> </w:t>
      </w:r>
      <w:r>
        <w:t xml:space="preserve">published atlas-level TF-sensitive gene table. Among all 43,740 edges, 11,468</w:t>
      </w:r>
      <w:r>
        <w:t xml:space="preserve"> </w:t>
      </w:r>
      <w:r>
        <w:t xml:space="preserve">linked a TF to a published TF-sensitive gene, 1,833 also exceeded an absolute</w:t>
      </w:r>
      <w:r>
        <w:t xml:space="preserve"> </w:t>
      </w:r>
      <w:r>
        <w:t xml:space="preserve">published log2 fold-change of 0.25, and 1,041 were directionally compatible with</w:t>
      </w:r>
      <w:r>
        <w:t xml:space="preserve"> </w:t>
      </w:r>
      <w:r>
        <w:t xml:space="preserve">the observational sign. This comparison is a within-dataset calibration rather</w:t>
      </w:r>
      <w:r>
        <w:t xml:space="preserve"> </w:t>
      </w:r>
      <w:r>
        <w:t xml:space="preserve">than an independent validation, but it permits an intervention-based test of</w:t>
      </w:r>
      <w:r>
        <w:t xml:space="preserve"> </w:t>
      </w:r>
      <w:r>
        <w:t xml:space="preserve">ranking quality.</w:t>
      </w:r>
    </w:p>
    <w:p>
      <w:pPr>
        <w:pStyle w:val="BodyText"/>
      </w:pPr>
      <w:r>
        <w:t xml:space="preserve">The strongest residualized edges were selectively enriched for intervention</w:t>
      </w:r>
      <w:r>
        <w:t xml:space="preserve"> </w:t>
      </w:r>
      <w:r>
        <w:t xml:space="preserve">support. In the top 1%, 12.0% of residualized edges linked to an</w:t>
      </w:r>
      <w:r>
        <w:t xml:space="preserve"> </w:t>
      </w:r>
      <w:r>
        <w:t xml:space="preserve">effect-size-qualified published response, compared with 4.9% in TF-,</w:t>
      </w:r>
      <w:r>
        <w:t xml:space="preserve"> </w:t>
      </w:r>
      <w:r>
        <w:t xml:space="preserve">expression- and detection-matched null samples (2.44-fold enrichment; empirical</w:t>
      </w:r>
      <w:r>
        <w:t xml:space="preserve"> </w:t>
      </w:r>
      <w:r>
        <w:rPr>
          <w:iCs/>
          <w:i/>
        </w:rPr>
        <w:t xml:space="preserve">P</w:t>
      </w:r>
      <w:r>
        <w:t xml:space="preserve">=0.001; Figure 2A). Directionally concordant support was enriched 2.75-fold</w:t>
      </w:r>
      <w:r>
        <w:t xml:space="preserve"> </w:t>
      </w:r>
      <w:r>
        <w:t xml:space="preserve">(</w:t>
      </w:r>
      <w:r>
        <w:rPr>
          <w:iCs/>
          <w:i/>
        </w:rPr>
        <w:t xml:space="preserve">P</w:t>
      </w:r>
      <w:r>
        <w:t xml:space="preserve">=0.001). Enrichment remained at the top 5% (1.82-fold) and top 10%</w:t>
      </w:r>
      <w:r>
        <w:t xml:space="preserve"> </w:t>
      </w:r>
      <w:r>
        <w:t xml:space="preserve">(1.51-fold), but declined with rank. GRNBoost2 showed no enrichment at the same</w:t>
      </w:r>
      <w:r>
        <w:t xml:space="preserve"> </w:t>
      </w:r>
      <w:r>
        <w:t xml:space="preserve">cut-offs (top-1% enrichment 1.02;</w:t>
      </w:r>
      <w:r>
        <w:t xml:space="preserve"> </w:t>
      </w:r>
      <w:r>
        <w:rPr>
          <w:iCs/>
          <w:i/>
        </w:rPr>
        <w:t xml:space="preserve">P</w:t>
      </w:r>
      <w:r>
        <w:t xml:space="preserve">=0.490). A simple average consensus</w:t>
      </w:r>
      <w:r>
        <w:t xml:space="preserve"> </w:t>
      </w:r>
      <w:r>
        <w:t xml:space="preserve">diluted the strongest residualized signal (top-1% enrichment 1.47;</w:t>
      </w:r>
      <w:r>
        <w:t xml:space="preserve"> </w:t>
      </w:r>
      <w:r>
        <w:rPr>
          <w:iCs/>
          <w:i/>
        </w:rPr>
        <w:t xml:space="preserve">P</w:t>
      </w:r>
      <w:r>
        <w:t xml:space="preserve">=0.017).</w:t>
      </w:r>
    </w:p>
    <w:p>
      <w:pPr>
        <w:pStyle w:val="BodyText"/>
      </w:pPr>
      <w:r>
        <w:t xml:space="preserve">Genome-wide discrimination remained modest: for effect-size-qualified</w:t>
      </w:r>
      <w:r>
        <w:t xml:space="preserve"> </w:t>
      </w:r>
      <w:r>
        <w:t xml:space="preserve">intervention support, the residualized ranking had AUROC 0.526 and AUPRC 0.048.</w:t>
      </w:r>
      <w:r>
        <w:t xml:space="preserve"> </w:t>
      </w:r>
      <w:r>
        <w:t xml:space="preserve">Thus, the key result was local rather than global. Observational confidence was</w:t>
      </w:r>
      <w:r>
        <w:t xml:space="preserve"> </w:t>
      </w:r>
      <w:r>
        <w:t xml:space="preserve">useful in a narrow upper tail, but neither ranking supported broad causal</w:t>
      </w:r>
      <w:r>
        <w:t xml:space="preserve"> </w:t>
      </w:r>
      <w:r>
        <w:t xml:space="preserve">validity of the inferred network.</w:t>
      </w:r>
    </w:p>
    <w:bookmarkEnd w:id="27"/>
    <w:bookmarkStart w:id="31" w:name="Xa934e4651cf5375da314499159706fbca2b982d"/>
    <w:p>
      <w:pPr>
        <w:pStyle w:val="Heading3"/>
      </w:pPr>
      <w:r>
        <w:t xml:space="preserve">Strict late-erythroid E1 validation is sparse and exposes guide-efficacy heterogeneity</w:t>
      </w:r>
    </w:p>
    <w:p>
      <w:pPr>
        <w:pStyle w:val="FirstParagraph"/>
      </w:pPr>
      <w:r>
        <w:t xml:space="preserve">To obtain an internal, state-matched intervention test, we aggregated guide ×</w:t>
      </w:r>
      <w:r>
        <w:t xml:space="preserve"> </w:t>
      </w:r>
      <w:r>
        <w:t xml:space="preserve">library × late-erythroid-state pseudobulks and compared targeting guides with</w:t>
      </w:r>
      <w:r>
        <w:t xml:space="preserve"> </w:t>
      </w:r>
      <w:r>
        <w:t xml:space="preserve">AAVS1 controls. Guide efficacy was assessed using a cross-fitted, Mixscale-style</w:t>
      </w:r>
      <w:r>
        <w:t xml:space="preserve"> </w:t>
      </w:r>
      <w:r>
        <w:t xml:space="preserve">score: the perturbation signature for each held-out guide was learned only from</w:t>
      </w:r>
      <w:r>
        <w:t xml:space="preserve"> </w:t>
      </w:r>
      <w:r>
        <w:t xml:space="preserve">the other guides targeting the same TF and standardized against locally matched</w:t>
      </w:r>
      <w:r>
        <w:t xml:space="preserve"> </w:t>
      </w:r>
      <w:r>
        <w:t xml:space="preserve">control cells. NFE2 and KLF1 had three effective guides; BCL11A had two; GATA1</w:t>
      </w:r>
      <w:r>
        <w:t xml:space="preserve"> </w:t>
      </w:r>
      <w:r>
        <w:t xml:space="preserve">and GFI1B had one; and TAL1 had none under the frozen screen.</w:t>
      </w:r>
    </w:p>
    <w:p>
      <w:pPr>
        <w:pStyle w:val="BodyText"/>
      </w:pPr>
      <w:r>
        <w:t xml:space="preserve">An E1 call required FDR&lt;0.05, |log2 fold-change|≥0.25, at least two effective</w:t>
      </w:r>
      <w:r>
        <w:t xml:space="preserve"> </w:t>
      </w:r>
      <w:r>
        <w:t xml:space="preserve">guides, agreement of guide-specific directions, and preservation of direction</w:t>
      </w:r>
      <w:r>
        <w:t xml:space="preserve"> </w:t>
      </w:r>
      <w:r>
        <w:t xml:space="preserve">under leave-one-guide-out analysis. Only 13 of 619 E0 edges passed, of which</w:t>
      </w:r>
      <w:r>
        <w:t xml:space="preserve"> </w:t>
      </w:r>
      <w:r>
        <w:t xml:space="preserve">eight were directionally concordant with the observational edge under TF loss</w:t>
      </w:r>
      <w:r>
        <w:t xml:space="preserve"> </w:t>
      </w:r>
      <w:r>
        <w:t xml:space="preserve">(Figure 2C). All 13 involved NFE2. This low count did not meet the initial</w:t>
      </w:r>
      <w:r>
        <w:t xml:space="preserve"> </w:t>
      </w:r>
      <w:r>
        <w:t xml:space="preserve">planning target and no threshold was relaxed. It reflects a deliberately strict</w:t>
      </w:r>
      <w:r>
        <w:t xml:space="preserve"> </w:t>
      </w:r>
      <w:r>
        <w:t xml:space="preserve">within-day-14 estimand, guide-efficacy heterogeneity, and the absence of</w:t>
      </w:r>
      <w:r>
        <w:t xml:space="preserve"> </w:t>
      </w:r>
      <w:r>
        <w:t xml:space="preserve">independent donor replication. The contrast with the broader published</w:t>
      </w:r>
      <w:r>
        <w:t xml:space="preserve"> </w:t>
      </w:r>
      <w:r>
        <w:t xml:space="preserve">atlas-level responses motivated an explicit test of developmental context.</w:t>
      </w:r>
    </w:p>
    <w:p>
      <w:pPr>
        <w:pStyle w:val="BodyText"/>
      </w:pPr>
      <w:r>
        <w:drawing>
          <wp:inline>
            <wp:extent cx="5334000" cy="3970758"/>
            <wp:effectExtent b="0" l="0" r="0" t="0"/>
            <wp:docPr descr="Figure 2. Observational ranking, E1 validation, and state dependence" title="" id="29" name="Picture"/>
            <a:graphic>
              <a:graphicData uri="http://schemas.openxmlformats.org/drawingml/2006/picture">
                <pic:pic>
                  <pic:nvPicPr>
                    <pic:cNvPr descr="figures/figure2_network_state_summar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0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X430883ec33f4b1d6f2973ee63d3506547dd071e"/>
    <w:p>
      <w:pPr>
        <w:pStyle w:val="Heading3"/>
      </w:pPr>
      <w:r>
        <w:t xml:space="preserve">Collection-time dependence is common, but developmental redistribution explains many apparent edge failures</w:t>
      </w:r>
    </w:p>
    <w:p>
      <w:pPr>
        <w:pStyle w:val="FirstParagraph"/>
      </w:pPr>
      <w:r>
        <w:t xml:space="preserve">We next tested the 619 E0 edges across days 7, 9, 11 and 14. Collection time was</w:t>
      </w:r>
      <w:r>
        <w:t xml:space="preserve"> </w:t>
      </w:r>
      <w:r>
        <w:t xml:space="preserve">assigned before perturbation and was therefore used as the primary context.</w:t>
      </w:r>
      <w:r>
        <w:t xml:space="preserve"> </w:t>
      </w:r>
      <w:r>
        <w:t xml:space="preserve">Weighted pseudobulk models included perturbation, library, and</w:t>
      </w:r>
      <w:r>
        <w:t xml:space="preserve"> </w:t>
      </w:r>
      <w:r>
        <w:t xml:space="preserve">perturbation-by-time interactions. Fifty-three edges (8.6%) had a joint</w:t>
      </w:r>
      <w:r>
        <w:t xml:space="preserve"> </w:t>
      </w:r>
      <w:r>
        <w:t xml:space="preserve">interaction FDR&lt;0.05. The fraction varied substantially by TF: 24.4% for GATA1,</w:t>
      </w:r>
      <w:r>
        <w:t xml:space="preserve"> </w:t>
      </w:r>
      <w:r>
        <w:t xml:space="preserve">9.9% for GFI1B, 9.4% for NFE2, 6.0% for TAL1, 2.4% for KLF1 and 2.2% for BCL11A</w:t>
      </w:r>
      <w:r>
        <w:t xml:space="preserve"> </w:t>
      </w:r>
      <w:r>
        <w:t xml:space="preserve">(Figure 2B).</w:t>
      </w:r>
    </w:p>
    <w:p>
      <w:pPr>
        <w:pStyle w:val="BodyText"/>
      </w:pPr>
      <w:r>
        <w:t xml:space="preserve">The prespecified effect-shape classifier assigned 29 edges as gated, one as</w:t>
      </w:r>
      <w:r>
        <w:t xml:space="preserve"> </w:t>
      </w:r>
      <w:r>
        <w:t xml:space="preserve">reversed, 23 as other state-dependent patterns, 15 as guide-unstable, one as</w:t>
      </w:r>
      <w:r>
        <w:t xml:space="preserve"> </w:t>
      </w:r>
      <w:r>
        <w:t xml:space="preserve">constitutive, and 550 as having no detected interaction. “No detected</w:t>
      </w:r>
      <w:r>
        <w:t xml:space="preserve"> </w:t>
      </w:r>
      <w:r>
        <w:t xml:space="preserve">interaction” denotes an absence of evidence, not evidence of invariance.</w:t>
      </w:r>
    </w:p>
    <w:p>
      <w:pPr>
        <w:pStyle w:val="BodyText"/>
      </w:pPr>
      <w:r>
        <w:t xml:space="preserve">Atlas-supported edges that failed strict day-14 E1 were over-represented among</w:t>
      </w:r>
      <w:r>
        <w:t xml:space="preserve"> </w:t>
      </w:r>
      <w:r>
        <w:t xml:space="preserve">time-dependent edges. Fifteen of 62 such edges (24.2%) were time dependent,</w:t>
      </w:r>
      <w:r>
        <w:t xml:space="preserve"> </w:t>
      </w:r>
      <w:r>
        <w:t xml:space="preserve">compared with 38 of 557 other E0 edges (6.8%; odds ratio 4.36; Fisher's exact</w:t>
      </w:r>
      <w:r>
        <w:t xml:space="preserve"> </w:t>
      </w:r>
      <w:r>
        <w:rPr>
          <w:iCs/>
          <w:i/>
        </w:rPr>
        <w:t xml:space="preserve">P</w:t>
      </w:r>
      <w:r>
        <w:t xml:space="preserve">=6.32×10⁻⁵). On its own, this pattern could be interpreted as a late-state</w:t>
      </w:r>
      <w:r>
        <w:t xml:space="preserve"> </w:t>
      </w:r>
      <w:r>
        <w:t xml:space="preserve">gate. However, a perturbation may also change the developmental states occupied</w:t>
      </w:r>
      <w:r>
        <w:t xml:space="preserve"> </w:t>
      </w:r>
      <w:r>
        <w:t xml:space="preserve">by the cells.</w:t>
      </w:r>
    </w:p>
    <w:p>
      <w:pPr>
        <w:pStyle w:val="BodyText"/>
      </w:pPr>
      <w:r>
        <w:t xml:space="preserve">We therefore trained a differentiation axis using only NT_1/2/3 control</w:t>
      </w:r>
      <w:r>
        <w:t xml:space="preserve"> </w:t>
      </w:r>
      <w:r>
        <w:t xml:space="preserve">pseudobulks. Two thousand variable genes were scaled and represented by ten</w:t>
      </w:r>
      <w:r>
        <w:t xml:space="preserve"> </w:t>
      </w:r>
      <w:r>
        <w:t xml:space="preserve">principal components, and a ridge model predicted collection time under</w:t>
      </w:r>
      <w:r>
        <w:t xml:space="preserve"> </w:t>
      </w:r>
      <w:r>
        <w:t xml:space="preserve">leave-one-library-out validation. The axis explained 96.4% of variance in the</w:t>
      </w:r>
      <w:r>
        <w:t xml:space="preserve"> </w:t>
      </w:r>
      <w:r>
        <w:t xml:space="preserve">selected PCs and recovered time with R²=0.987 and mean absolute error 0.23 days.</w:t>
      </w:r>
      <w:r>
        <w:t xml:space="preserve"> </w:t>
      </w:r>
      <w:r>
        <w:t xml:space="preserve">The 95th percentile of control-guide shifts was 0.547 days.</w:t>
      </w:r>
    </w:p>
    <w:p>
      <w:pPr>
        <w:pStyle w:val="BodyText"/>
      </w:pPr>
      <w:r>
        <w:t xml:space="preserve">Eight TF-by-timepoint shifts passed the frozen FDR, effect-size and</w:t>
      </w:r>
      <w:r>
        <w:t xml:space="preserve"> </w:t>
      </w:r>
      <w:r>
        <w:t xml:space="preserve">guide-consistency criteria: GATA1 at days 7, 9 and 11; GFI1B at days 7, 9 and</w:t>
      </w:r>
      <w:r>
        <w:t xml:space="preserve"> </w:t>
      </w:r>
      <w:r>
        <w:t xml:space="preserve">11; NFE2 at day 11; and TAL1 at day 11. Of the 53 time-dependent E0 edges, 25</w:t>
      </w:r>
      <w:r>
        <w:t xml:space="preserve"> </w:t>
      </w:r>
      <w:r>
        <w:t xml:space="preserve">were associated with a supported TF-level trajectory shift at the edge's</w:t>
      </w:r>
      <w:r>
        <w:t xml:space="preserve"> </w:t>
      </w:r>
      <w:r>
        <w:t xml:space="preserve">strongest timepoint (Figure 2D). All 15 atlas-supported/day-14-unsupported</w:t>
      </w:r>
      <w:r>
        <w:t xml:space="preserve"> </w:t>
      </w:r>
      <w:r>
        <w:t xml:space="preserve">time-dependent edges fell in this group. After excluding fate-shift-associated</w:t>
      </w:r>
      <w:r>
        <w:t xml:space="preserve"> </w:t>
      </w:r>
      <w:r>
        <w:t xml:space="preserve">edges, the original enrichment disappeared (odds ratio 0; Fisher's exact</w:t>
      </w:r>
      <w:r>
        <w:t xml:space="preserve"> </w:t>
      </w:r>
      <w:r>
        <w:rPr>
          <w:iCs/>
          <w:i/>
        </w:rPr>
        <w:t xml:space="preserve">P</w:t>
      </w:r>
      <w:r>
        <w:t xml:space="preserve">=0.100).</w:t>
      </w:r>
    </w:p>
    <w:p>
      <w:pPr>
        <w:pStyle w:val="BodyText"/>
      </w:pPr>
      <w:r>
        <w:t xml:space="preserve">This negative-control analysis changed the interpretation. The 4.36-fold</w:t>
      </w:r>
      <w:r>
        <w:t xml:space="preserve"> </w:t>
      </w:r>
      <w:r>
        <w:t xml:space="preserve">enrichment did not demonstrate a purely cell-intrinsic chromatin gate. Instead,</w:t>
      </w:r>
      <w:r>
        <w:t xml:space="preserve"> </w:t>
      </w:r>
      <w:r>
        <w:t xml:space="preserve">many observational edges failed in terminal erythroid cells because TF</w:t>
      </w:r>
      <w:r>
        <w:t xml:space="preserve"> </w:t>
      </w:r>
      <w:r>
        <w:t xml:space="preserve">perturbation altered developmental progression and because the total molecular</w:t>
      </w:r>
      <w:r>
        <w:t xml:space="preserve"> </w:t>
      </w:r>
      <w:r>
        <w:t xml:space="preserve">effect was concentrated in an earlier context.</w:t>
      </w:r>
    </w:p>
    <w:bookmarkEnd w:id="32"/>
    <w:bookmarkStart w:id="33" w:name="X9e3bb66a310624ae72c503e54c94d43c45f8bcc"/>
    <w:p>
      <w:pPr>
        <w:pStyle w:val="Heading3"/>
      </w:pPr>
      <w:r>
        <w:t xml:space="preserve">Within-state analysis leaves two heterogeneous candidates but no unambiguous cell-intrinsic edge</w:t>
      </w:r>
    </w:p>
    <w:p>
      <w:pPr>
        <w:pStyle w:val="FirstParagraph"/>
      </w:pPr>
      <w:r>
        <w:t xml:space="preserve">As a secondary diagnostic, we fitted perturbation-by-author-erythroid-state</w:t>
      </w:r>
      <w:r>
        <w:t xml:space="preserve"> </w:t>
      </w:r>
      <w:r>
        <w:t xml:space="preserve">interactions across CFU-E, proerythroblast, basophilic, polychromatic and</w:t>
      </w:r>
      <w:r>
        <w:t xml:space="preserve"> </w:t>
      </w:r>
      <w:r>
        <w:t xml:space="preserve">orthochromatic erythroblast pseudobulks. These labels were assigned after</w:t>
      </w:r>
      <w:r>
        <w:t xml:space="preserve"> </w:t>
      </w:r>
      <w:r>
        <w:t xml:space="preserve">perturbation and may lie on the causal path; the analysis was therefore treated</w:t>
      </w:r>
      <w:r>
        <w:t xml:space="preserve"> </w:t>
      </w:r>
      <w:r>
        <w:t xml:space="preserve">as a persistence sensitivity analysis rather than the primary causal test.</w:t>
      </w:r>
    </w:p>
    <w:p>
      <w:pPr>
        <w:pStyle w:val="BodyText"/>
      </w:pPr>
      <w:r>
        <w:t xml:space="preserve">Nine of 619 edges showed a within-erythroid-state interaction FDR&lt;0.05. Only</w:t>
      </w:r>
      <w:r>
        <w:t xml:space="preserve"> </w:t>
      </w:r>
      <w:r>
        <w:t xml:space="preserve">two were also among the 53 collection-time-dependent edges. GATA1→</w:t>
      </w:r>
      <w:r>
        <w:rPr>
          <w:iCs/>
          <w:i/>
        </w:rPr>
        <w:t xml:space="preserve">OSBP2</w:t>
      </w:r>
      <w:r>
        <w:t xml:space="preserve"> </w:t>
      </w:r>
      <w:r>
        <w:t xml:space="preserve">changed from a −0.867 total effect at day 7 to +0.037 at day 14, and from −0.685</w:t>
      </w:r>
      <w:r>
        <w:t xml:space="preserve"> </w:t>
      </w:r>
      <w:r>
        <w:t xml:space="preserve">in CFU-E to +0.088 in orthochromatic erythroblasts. This was the cleaner RNA</w:t>
      </w:r>
      <w:r>
        <w:t xml:space="preserve"> </w:t>
      </w:r>
      <w:r>
        <w:t xml:space="preserve">candidate because the early perturbation response was compatible with the</w:t>
      </w:r>
      <w:r>
        <w:t xml:space="preserve"> </w:t>
      </w:r>
      <w:r>
        <w:t xml:space="preserve">positive observational association and the authors' reported direction.</w:t>
      </w:r>
      <w:r>
        <w:t xml:space="preserve"> </w:t>
      </w:r>
      <w:r>
        <w:t xml:space="preserve">Nevertheless, it was also fate-shift-associated. NFE2→</w:t>
      </w:r>
      <w:r>
        <w:rPr>
          <w:iCs/>
          <w:i/>
        </w:rPr>
        <w:t xml:space="preserve">DCAF11</w:t>
      </w:r>
      <w:r>
        <w:t xml:space="preserve"> </w:t>
      </w:r>
      <w:r>
        <w:t xml:space="preserve">increased from</w:t>
      </w:r>
      <w:r>
        <w:t xml:space="preserve"> </w:t>
      </w:r>
      <w:r>
        <w:t xml:space="preserve">+0.028 at day 7 to +0.398 at day 14 and from −0.058 in CFU-E to +0.454 in</w:t>
      </w:r>
      <w:r>
        <w:t xml:space="preserve"> </w:t>
      </w:r>
      <w:r>
        <w:t xml:space="preserve">orthochromatic erythroblasts, but its perturbation sign conflicted with the</w:t>
      </w:r>
      <w:r>
        <w:t xml:space="preserve"> </w:t>
      </w:r>
      <w:r>
        <w:t xml:space="preserve">observational edge.</w:t>
      </w:r>
    </w:p>
    <w:p>
      <w:pPr>
        <w:pStyle w:val="BodyText"/>
      </w:pPr>
      <w:r>
        <w:t xml:space="preserve">Held-out GATA2 and SPI1 perturbations produced 126 and 59 transcriptome-wide</w:t>
      </w:r>
      <w:r>
        <w:t xml:space="preserve"> </w:t>
      </w:r>
      <w:r>
        <w:t xml:space="preserve">time-interaction genes, respectively, without passing the stronger global</w:t>
      </w:r>
      <w:r>
        <w:t xml:space="preserve"> </w:t>
      </w:r>
      <w:r>
        <w:t xml:space="preserve">trajectory-shift criterion. Thus, the framework could detect context-dependent</w:t>
      </w:r>
      <w:r>
        <w:t xml:space="preserve"> </w:t>
      </w:r>
      <w:r>
        <w:t xml:space="preserve">responses that were not reducible to a large differentiation delay. For the E0</w:t>
      </w:r>
      <w:r>
        <w:t xml:space="preserve"> </w:t>
      </w:r>
      <w:r>
        <w:t xml:space="preserve">panel, however, no edge could yet be called a clean, state-intrinsic causal</w:t>
      </w:r>
      <w:r>
        <w:t xml:space="preserve"> </w:t>
      </w:r>
      <w:r>
        <w:t xml:space="preserve">relationship.</w:t>
      </w:r>
    </w:p>
    <w:bookmarkEnd w:id="33"/>
    <w:bookmarkStart w:id="37" w:name="X52ed221528c5c4fda10d864580c5096460895aa"/>
    <w:p>
      <w:pPr>
        <w:pStyle w:val="Heading3"/>
      </w:pPr>
      <w:r>
        <w:t xml:space="preserve">Paired chromatin analysis supports four developmental-program edges but rejects a simple open-gate model</w:t>
      </w:r>
    </w:p>
    <w:p>
      <w:pPr>
        <w:pStyle w:val="FirstParagraph"/>
      </w:pPr>
      <w:r>
        <w:t xml:space="preserve">We froze eight candidates before inspecting local ATAC results: the primary</w:t>
      </w:r>
      <w:r>
        <w:t xml:space="preserve"> </w:t>
      </w:r>
      <w:r>
        <w:t xml:space="preserve">GATA1→</w:t>
      </w:r>
      <w:r>
        <w:rPr>
          <w:iCs/>
          <w:i/>
        </w:rPr>
        <w:t xml:space="preserve">OSBP2</w:t>
      </w:r>
      <w:r>
        <w:t xml:space="preserve"> </w:t>
      </w:r>
      <w:r>
        <w:t xml:space="preserve">edge; the sign-conflict NFE2→</w:t>
      </w:r>
      <w:r>
        <w:rPr>
          <w:iCs/>
          <w:i/>
        </w:rPr>
        <w:t xml:space="preserve">DCAF11</w:t>
      </w:r>
      <w:r>
        <w:t xml:space="preserve"> </w:t>
      </w:r>
      <w:r>
        <w:t xml:space="preserve">edge; four fate-shift</w:t>
      </w:r>
      <w:r>
        <w:t xml:space="preserve"> </w:t>
      </w:r>
      <w:r>
        <w:t xml:space="preserve">comparisons (GATA1→</w:t>
      </w:r>
      <w:r>
        <w:rPr>
          <w:iCs/>
          <w:i/>
        </w:rPr>
        <w:t xml:space="preserve">SPTA1</w:t>
      </w:r>
      <w:r>
        <w:t xml:space="preserve">,</w:t>
      </w:r>
      <w:r>
        <w:t xml:space="preserve"> </w:t>
      </w:r>
      <w:r>
        <w:rPr>
          <w:iCs/>
          <w:i/>
        </w:rPr>
        <w:t xml:space="preserve">ALAS2</w:t>
      </w:r>
      <w:r>
        <w:t xml:space="preserve">,</w:t>
      </w:r>
      <w:r>
        <w:t xml:space="preserve"> </w:t>
      </w:r>
      <w:r>
        <w:rPr>
          <w:iCs/>
          <w:i/>
        </w:rPr>
        <w:t xml:space="preserve">SLC25A37</w:t>
      </w:r>
      <w:r>
        <w:t xml:space="preserve">, and</w:t>
      </w:r>
      <w:r>
        <w:t xml:space="preserve"> </w:t>
      </w:r>
      <w:r>
        <w:rPr>
          <w:iCs/>
          <w:i/>
        </w:rPr>
        <w:t xml:space="preserve">EPOR</w:t>
      </w:r>
      <w:r>
        <w:t xml:space="preserve">); and two positive</w:t>
      </w:r>
      <w:r>
        <w:t xml:space="preserve"> </w:t>
      </w:r>
      <w:r>
        <w:t xml:space="preserve">controls (GATA1→</w:t>
      </w:r>
      <w:r>
        <w:rPr>
          <w:iCs/>
          <w:i/>
        </w:rPr>
        <w:t xml:space="preserve">CPEB4</w:t>
      </w:r>
      <w:r>
        <w:t xml:space="preserve"> </w:t>
      </w:r>
      <w:r>
        <w:t xml:space="preserve">and GATA1→</w:t>
      </w:r>
      <w:r>
        <w:rPr>
          <w:iCs/>
          <w:i/>
        </w:rPr>
        <w:t xml:space="preserve">GATA2</w:t>
      </w:r>
      <w:r>
        <w:t xml:space="preserve">). Within GRCh38 TSS±50-kb windows,</w:t>
      </w:r>
      <w:r>
        <w:t xml:space="preserve"> </w:t>
      </w:r>
      <w:r>
        <w:t xml:space="preserve">library-specific 10x peaks were merged to 193 consensus accessible chromatin</w:t>
      </w:r>
      <w:r>
        <w:t xml:space="preserve"> </w:t>
      </w:r>
      <w:r>
        <w:t xml:space="preserve">regions (ACRs). The targeted paired matrix contained 24,071 QC-passing cells:</w:t>
      </w:r>
      <w:r>
        <w:t xml:space="preserve"> </w:t>
      </w:r>
      <w:r>
        <w:t xml:space="preserve">4,403 GATA1-perturbed, 8,221 NFE2-perturbed and 11,447 controls.</w:t>
      </w:r>
    </w:p>
    <w:p>
      <w:pPr>
        <w:pStyle w:val="BodyText"/>
      </w:pPr>
      <w:r>
        <w:t xml:space="preserve">E2 evidence required four layers. First, a controls-only peak–gene link was</w:t>
      </w:r>
      <w:r>
        <w:t xml:space="preserve"> </w:t>
      </w:r>
      <w:r>
        <w:t xml:space="preserve">tested after residualizing RNA and ATAC values for depth, library and author cell</w:t>
      </w:r>
      <w:r>
        <w:t xml:space="preserve"> </w:t>
      </w:r>
      <w:r>
        <w:t xml:space="preserve">type; the frozen criterion was FDR&lt;0.05, |</w:t>
      </w:r>
      <w:r>
        <w:rPr>
          <w:iCs/>
          <w:i/>
        </w:rPr>
        <w:t xml:space="preserve">r</w:t>
      </w:r>
      <w:r>
        <w:t xml:space="preserve">|≥0.03 and at least 0.80 same-sign</w:t>
      </w:r>
      <w:r>
        <w:t xml:space="preserve"> </w:t>
      </w:r>
      <w:r>
        <w:t xml:space="preserve">frequency in 200 library-stratified bootstraps. Second, the ACR had to respond to</w:t>
      </w:r>
      <w:r>
        <w:t xml:space="preserve"> </w:t>
      </w:r>
      <w:r>
        <w:t xml:space="preserve">TF perturbation in guide-consistent pseudobulk analysis (timepoint-specific</w:t>
      </w:r>
      <w:r>
        <w:t xml:space="preserve"> </w:t>
      </w:r>
      <w:r>
        <w:t xml:space="preserve">FDR&lt;0.05, |log2 effect|≥0.20 and at least two concordant guides). Third, the</w:t>
      </w:r>
      <w:r>
        <w:t xml:space="preserve"> </w:t>
      </w:r>
      <w:r>
        <w:t xml:space="preserve">target-RNA effect at the strongest ATAC timepoint had to be directionally</w:t>
      </w:r>
      <w:r>
        <w:t xml:space="preserve"> </w:t>
      </w:r>
      <w:r>
        <w:t xml:space="preserve">compatible and have magnitude ≥0.25. Fourth, the peak had to contain the</w:t>
      </w:r>
      <w:r>
        <w:t xml:space="preserve"> </w:t>
      </w:r>
      <w:r>
        <w:t xml:space="preserve">cognate GATA1 or NFE2 motif at a relative JASPAR 2024 PWM score ≥0.85 [14].</w:t>
      </w:r>
    </w:p>
    <w:p>
      <w:pPr>
        <w:pStyle w:val="BodyText"/>
      </w:pPr>
      <w:r>
        <w:t xml:space="preserve">Of 193 peaks, 21 passed the controls-only link criterion and 31 were</w:t>
      </w:r>
      <w:r>
        <w:t xml:space="preserve"> </w:t>
      </w:r>
      <w:r>
        <w:t xml:space="preserve">ATAC-sensitive. Eleven peaks across four edges passed the link, ATAC and RNA</w:t>
      </w:r>
      <w:r>
        <w:t xml:space="preserve"> </w:t>
      </w:r>
      <w:r>
        <w:t xml:space="preserve">criteria, and all 11 contained the cognate motif. These total-effect E2 peaks</w:t>
      </w:r>
      <w:r>
        <w:t xml:space="preserve"> </w:t>
      </w:r>
      <w:r>
        <w:t xml:space="preserve">comprised two at GATA1→</w:t>
      </w:r>
      <w:r>
        <w:rPr>
          <w:iCs/>
          <w:i/>
        </w:rPr>
        <w:t xml:space="preserve">SPTA1</w:t>
      </w:r>
      <w:r>
        <w:t xml:space="preserve">, one at GATA1→</w:t>
      </w:r>
      <w:r>
        <w:rPr>
          <w:iCs/>
          <w:i/>
        </w:rPr>
        <w:t xml:space="preserve">ALAS2</w:t>
      </w:r>
      <w:r>
        <w:t xml:space="preserve">, five at</w:t>
      </w:r>
      <w:r>
        <w:t xml:space="preserve"> </w:t>
      </w:r>
      <w:r>
        <w:t xml:space="preserve">GATA1→</w:t>
      </w:r>
      <w:r>
        <w:rPr>
          <w:iCs/>
          <w:i/>
        </w:rPr>
        <w:t xml:space="preserve">SLC25A37</w:t>
      </w:r>
      <w:r>
        <w:t xml:space="preserve">, and three at GATA1→</w:t>
      </w:r>
      <w:r>
        <w:rPr>
          <w:iCs/>
          <w:i/>
        </w:rPr>
        <w:t xml:space="preserve">CPEB4</w:t>
      </w:r>
      <w:r>
        <w:t xml:space="preserve">. Motifs were common across the</w:t>
      </w:r>
      <w:r>
        <w:t xml:space="preserve"> </w:t>
      </w:r>
      <w:r>
        <w:t xml:space="preserve">candidate set (159/193 peaks passed the score threshold), and motif enrichment</w:t>
      </w:r>
      <w:r>
        <w:t xml:space="preserve"> </w:t>
      </w:r>
      <w:r>
        <w:t xml:space="preserve">among E2 peaks was not significant (</w:t>
      </w:r>
      <w:r>
        <w:rPr>
          <w:iCs/>
          <w:i/>
        </w:rPr>
        <w:t xml:space="preserve">P</w:t>
      </w:r>
      <w:r>
        <w:t xml:space="preserve">=0.111). Motif occurrence therefore</w:t>
      </w:r>
      <w:r>
        <w:t xml:space="preserve"> </w:t>
      </w:r>
      <w:r>
        <w:t xml:space="preserve">served as supporting annotation rather than discriminating evidence of binding.</w:t>
      </w:r>
    </w:p>
    <w:p>
      <w:pPr>
        <w:pStyle w:val="BodyText"/>
      </w:pPr>
      <w:r>
        <w:t xml:space="preserve">The known</w:t>
      </w:r>
      <w:r>
        <w:t xml:space="preserve"> </w:t>
      </w:r>
      <w:r>
        <w:rPr>
          <w:iCs/>
          <w:i/>
        </w:rPr>
        <w:t xml:space="preserve">CPEB4</w:t>
      </w:r>
      <w:r>
        <w:t xml:space="preserve"> </w:t>
      </w:r>
      <w:r>
        <w:t xml:space="preserve">mechanism provided a positive calibration. Peak</w:t>
      </w:r>
      <w:r>
        <w:t xml:space="preserve"> </w:t>
      </w:r>
      <w:r>
        <w:t xml:space="preserve">chr5:173860317–173861249, 27.5 kb upstream of the</w:t>
      </w:r>
      <w:r>
        <w:t xml:space="preserve"> </w:t>
      </w:r>
      <w:r>
        <w:rPr>
          <w:iCs/>
          <w:i/>
        </w:rPr>
        <w:t xml:space="preserve">CPEB4</w:t>
      </w:r>
      <w:r>
        <w:t xml:space="preserve"> </w:t>
      </w:r>
      <w:r>
        <w:t xml:space="preserve">TSS, had a</w:t>
      </w:r>
      <w:r>
        <w:t xml:space="preserve"> </w:t>
      </w:r>
      <w:r>
        <w:t xml:space="preserve">controls-only correlation of 0.0495 (FDR=6.93×10⁻⁴), a day-7 GATA1</w:t>
      </w:r>
      <w:r>
        <w:t xml:space="preserve"> </w:t>
      </w:r>
      <w:r>
        <w:t xml:space="preserve">perturbation ATAC effect of −0.814 (FDR=8.34×10⁻⁷), a concordant RNA effect of</w:t>
      </w:r>
      <w:r>
        <w:t xml:space="preserve"> </w:t>
      </w:r>
      <w:r>
        <w:t xml:space="preserve">−0.289, and a GATA1 motif score of 0.898. This recapitulated the source study's</w:t>
      </w:r>
      <w:r>
        <w:t xml:space="preserve"> </w:t>
      </w:r>
      <w:r>
        <w:t xml:space="preserve">experimentally validated GATA1-sensitive element approximately 25 kb upstream</w:t>
      </w:r>
      <w:r>
        <w:t xml:space="preserve"> </w:t>
      </w:r>
      <w:r>
        <w:t xml:space="preserve">of</w:t>
      </w:r>
      <w:r>
        <w:t xml:space="preserve"> </w:t>
      </w:r>
      <w:r>
        <w:rPr>
          <w:iCs/>
          <w:i/>
        </w:rPr>
        <w:t xml:space="preserve">CPEB4</w:t>
      </w:r>
      <w:r>
        <w:t xml:space="preserve"> </w:t>
      </w:r>
      <w:r>
        <w:t xml:space="preserve">[11].</w:t>
      </w:r>
    </w:p>
    <w:p>
      <w:pPr>
        <w:pStyle w:val="BodyText"/>
      </w:pPr>
      <w:r>
        <w:t xml:space="preserve">Neither Chapter-2 RNA candidate reached E2. For GATA1→</w:t>
      </w:r>
      <w:r>
        <w:rPr>
          <w:iCs/>
          <w:i/>
        </w:rPr>
        <w:t xml:space="preserve">OSBP2</w:t>
      </w:r>
      <w:r>
        <w:t xml:space="preserve">, one upstream</w:t>
      </w:r>
      <w:r>
        <w:t xml:space="preserve"> </w:t>
      </w:r>
      <w:r>
        <w:t xml:space="preserve">peak linked to</w:t>
      </w:r>
      <w:r>
        <w:t xml:space="preserve"> </w:t>
      </w:r>
      <w:r>
        <w:rPr>
          <w:iCs/>
          <w:i/>
        </w:rPr>
        <w:t xml:space="preserve">OSBP2</w:t>
      </w:r>
      <w:r>
        <w:t xml:space="preserve"> </w:t>
      </w:r>
      <w:r>
        <w:t xml:space="preserve">in controls, while five different peaks were</w:t>
      </w:r>
      <w:r>
        <w:t xml:space="preserve"> </w:t>
      </w:r>
      <w:r>
        <w:t xml:space="preserve">ATAC-sensitive; no single ACR joined the evidence chain. NFE2→</w:t>
      </w:r>
      <w:r>
        <w:rPr>
          <w:iCs/>
          <w:i/>
        </w:rPr>
        <w:t xml:space="preserve">DCAF11</w:t>
      </w:r>
      <w:r>
        <w:t xml:space="preserve"> </w:t>
      </w:r>
      <w:r>
        <w:t xml:space="preserve">had no</w:t>
      </w:r>
      <w:r>
        <w:t xml:space="preserve"> </w:t>
      </w:r>
      <w:r>
        <w:t xml:space="preserve">passing controls-only local peak–gene link. These edges remained unresolved or</w:t>
      </w:r>
      <w:r>
        <w:t xml:space="preserve"> </w:t>
      </w:r>
      <w:r>
        <w:t xml:space="preserve">state-dependent RNA responses rather than chromatin-resolved mechanisms.</w:t>
      </w:r>
    </w:p>
    <w:p>
      <w:pPr>
        <w:pStyle w:val="BodyText"/>
      </w:pPr>
      <w:r>
        <w:t xml:space="preserve">Crucially, the direction of the E2 trajectories opposed a simple model in which</w:t>
      </w:r>
      <w:r>
        <w:t xml:space="preserve"> </w:t>
      </w:r>
      <w:r>
        <w:t xml:space="preserve">more-open chromatin permits a stronger edge. Across all 11 E2 peaks, baseline</w:t>
      </w:r>
      <w:r>
        <w:t xml:space="preserve"> </w:t>
      </w:r>
      <w:r>
        <w:t xml:space="preserve">accessibility increased during differentiation while ATAC and RNA perturbation</w:t>
      </w:r>
      <w:r>
        <w:t xml:space="preserve"> </w:t>
      </w:r>
      <w:r>
        <w:t xml:space="preserve">effects were strongest at day 7 and weakened later. The median correlation</w:t>
      </w:r>
      <w:r>
        <w:t xml:space="preserve"> </w:t>
      </w:r>
      <w:r>
        <w:t xml:space="preserve">between baseline accessibility and absolute ATAC effect was −0.872 (range</w:t>
      </w:r>
      <w:r>
        <w:t xml:space="preserve"> </w:t>
      </w:r>
      <w:r>
        <w:t xml:space="preserve">−0.963 to −0.255); the median correlation with absolute RNA effect was −0.714</w:t>
      </w:r>
      <w:r>
        <w:t xml:space="preserve"> </w:t>
      </w:r>
      <w:r>
        <w:t xml:space="preserve">(range −0.830 to −0.466). By contrast, ATAC- and RNA-effect trajectories moved</w:t>
      </w:r>
      <w:r>
        <w:t xml:space="preserve"> </w:t>
      </w:r>
      <w:r>
        <w:t xml:space="preserve">together (median correlation +0.950; range 0.848 to 0.999; Figure 3).</w:t>
      </w:r>
    </w:p>
    <w:p>
      <w:pPr>
        <w:pStyle w:val="BodyText"/>
      </w:pPr>
      <w:r>
        <w:drawing>
          <wp:inline>
            <wp:extent cx="5334000" cy="1676400"/>
            <wp:effectExtent b="0" l="0" r="0" t="0"/>
            <wp:docPr descr="Figure 3. Baseline accessibility and perturbation effects" title="" id="35" name="Picture"/>
            <a:graphic>
              <a:graphicData uri="http://schemas.openxmlformats.org/drawingml/2006/picture">
                <pic:pic>
                  <pic:nvPicPr>
                    <pic:cNvPr descr="../reports/chromatin_mechanism/chromatin_trajectory_diagnostic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None of the 11 E2 peaks remained significant after conditioning on six</w:t>
      </w:r>
      <w:r>
        <w:t xml:space="preserve"> </w:t>
      </w:r>
      <w:r>
        <w:t xml:space="preserve">post-perturbation erythroid states; median absolute-effect attenuation was</w:t>
      </w:r>
      <w:r>
        <w:t xml:space="preserve"> </w:t>
      </w:r>
      <w:r>
        <w:t xml:space="preserve">41.6%. The known</w:t>
      </w:r>
      <w:r>
        <w:t xml:space="preserve"> </w:t>
      </w:r>
      <w:r>
        <w:rPr>
          <w:iCs/>
          <w:i/>
        </w:rPr>
        <w:t xml:space="preserve">CPEB4</w:t>
      </w:r>
      <w:r>
        <w:t xml:space="preserve"> </w:t>
      </w:r>
      <w:r>
        <w:t xml:space="preserve">positive control also failed this stringent analysis.</w:t>
      </w:r>
      <w:r>
        <w:t xml:space="preserve"> </w:t>
      </w:r>
      <w:r>
        <w:t xml:space="preserve">Because post-treatment state may mediate the effect, state adjustment can remove</w:t>
      </w:r>
      <w:r>
        <w:t xml:space="preserve"> </w:t>
      </w:r>
      <w:r>
        <w:t xml:space="preserve">biologically real developmental mechanisms and can introduce selection bias.</w:t>
      </w:r>
      <w:r>
        <w:t xml:space="preserve"> </w:t>
      </w:r>
      <w:r>
        <w:t xml:space="preserve">The defensible conclusion was therefore that four edges had total</w:t>
      </w:r>
      <w:r>
        <w:t xml:space="preserve"> </w:t>
      </w:r>
      <w:r>
        <w:t xml:space="preserve">intervention-supported chromatin effects, but no candidate had demonstrated a</w:t>
      </w:r>
      <w:r>
        <w:t xml:space="preserve"> </w:t>
      </w:r>
      <w:r>
        <w:t xml:space="preserve">state-robust direct chromatin gate.</w:t>
      </w:r>
    </w:p>
    <w:p>
      <w:pPr>
        <w:pStyle w:val="BodyText"/>
      </w:pPr>
      <w:r>
        <w:t xml:space="preserve">Together, these findings suggested an establishment-versus-maintenance model.</w:t>
      </w:r>
      <w:r>
        <w:t xml:space="preserve"> </w:t>
      </w:r>
      <w:r>
        <w:t xml:space="preserve">Early GATA1 activity may help establish an erythroid accessibility programme;</w:t>
      </w:r>
      <w:r>
        <w:t xml:space="preserve"> </w:t>
      </w:r>
      <w:r>
        <w:t xml:space="preserve">after the locus is broadly open, redundant factors, chromatin memory or the</w:t>
      </w:r>
      <w:r>
        <w:t xml:space="preserve"> </w:t>
      </w:r>
      <w:r>
        <w:t xml:space="preserve">stable differentiated state may reduce the acute marginal dependence on GATA1.</w:t>
      </w:r>
      <w:r>
        <w:t xml:space="preserve"> </w:t>
      </w:r>
      <w:r>
        <w:t xml:space="preserve">This model generated a prospective external prediction: E2 peaks should become</w:t>
      </w:r>
      <w:r>
        <w:t xml:space="preserve"> </w:t>
      </w:r>
      <w:r>
        <w:t xml:space="preserve">accessible before, or earlier than, the major induction of their linked targets</w:t>
      </w:r>
      <w:r>
        <w:t xml:space="preserve"> </w:t>
      </w:r>
      <w:r>
        <w:t xml:space="preserve">during independent erythroid differentiation.</w:t>
      </w:r>
    </w:p>
    <w:bookmarkEnd w:id="37"/>
    <w:bookmarkStart w:id="41" w:name="X058bb0caa87e7a428f5e45350b4ce84cf028ec0"/>
    <w:p>
      <w:pPr>
        <w:pStyle w:val="Heading3"/>
      </w:pPr>
      <w:r>
        <w:t xml:space="preserve">Independent differentiation data support chromatin establishment before target activation</w:t>
      </w:r>
    </w:p>
    <w:p>
      <w:pPr>
        <w:pStyle w:val="FirstParagraph"/>
      </w:pPr>
      <w:r>
        <w:t xml:space="preserve">We first evaluated the frozen Chapter-3 peaks in the Ranzoni fetal human</w:t>
      </w:r>
      <w:r>
        <w:t xml:space="preserve"> </w:t>
      </w:r>
      <w:r>
        <w:t xml:space="preserve">haematopoiesis atlas [12]. The official processed dataset contained 4,504 RNA</w:t>
      </w:r>
      <w:r>
        <w:t xml:space="preserve"> </w:t>
      </w:r>
      <w:r>
        <w:t xml:space="preserve">cells and 3,611 ATAC cells; the modalities were unpaired. Primary non-cycling</w:t>
      </w:r>
      <w:r>
        <w:t xml:space="preserve"> </w:t>
      </w:r>
      <w:r>
        <w:t xml:space="preserve">comparisons were HSC–MPP→MEMP→erythroid cells for RNA and</w:t>
      </w:r>
      <w:r>
        <w:t xml:space="preserve"> </w:t>
      </w:r>
      <w:r>
        <w:t xml:space="preserve">MPP→common-progenitor (Comm-Prog) for ATAC. Four of 11 E2 peaks and five of ten</w:t>
      </w:r>
      <w:r>
        <w:t xml:space="preserve"> </w:t>
      </w:r>
      <w:r>
        <w:t xml:space="preserve">linked non-E2 peaks directly overlapped the independently called fetal ATAC peak</w:t>
      </w:r>
      <w:r>
        <w:t xml:space="preserve"> </w:t>
      </w:r>
      <w:r>
        <w:t xml:space="preserve">set. None of the four mapped E2 peaks reached the prespecified MPP-to-Comm-Prog</w:t>
      </w:r>
      <w:r>
        <w:t xml:space="preserve"> </w:t>
      </w:r>
      <w:r>
        <w:t xml:space="preserve">accessibility threshold. However, mean GATA1 chromVAR activity rose from −0.300</w:t>
      </w:r>
      <w:r>
        <w:t xml:space="preserve"> </w:t>
      </w:r>
      <w:r>
        <w:t xml:space="preserve">in MPP to 1.418 in Comm-Prog (standardized effect 1.005; batch-stratified</w:t>
      </w:r>
      <w:r>
        <w:t xml:space="preserve"> </w:t>
      </w:r>
      <w:r>
        <w:t xml:space="preserve">bootstrap 95% CI 0.794–1.219), and</w:t>
      </w:r>
      <w:r>
        <w:t xml:space="preserve"> </w:t>
      </w:r>
      <w:r>
        <w:rPr>
          <w:iCs/>
          <w:i/>
        </w:rPr>
        <w:t xml:space="preserve">ALAS2</w:t>
      </w:r>
      <w:r>
        <w:t xml:space="preserve">,</w:t>
      </w:r>
      <w:r>
        <w:t xml:space="preserve"> </w:t>
      </w:r>
      <w:r>
        <w:rPr>
          <w:iCs/>
          <w:i/>
        </w:rPr>
        <w:t xml:space="preserve">SLC25A37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SPTA1</w:t>
      </w:r>
      <w:r>
        <w:t xml:space="preserve"> </w:t>
      </w:r>
      <w:r>
        <w:t xml:space="preserve">showed strong</w:t>
      </w:r>
      <w:r>
        <w:t xml:space="preserve"> </w:t>
      </w:r>
      <w:r>
        <w:t xml:space="preserve">delayed RNA induction in erythroid cells. Because the ATAC sample did not include</w:t>
      </w:r>
      <w:r>
        <w:t xml:space="preserve"> </w:t>
      </w:r>
      <w:r>
        <w:t xml:space="preserve">an annotated mature erythroid state, we interpreted 0/4 as a coverage-limited</w:t>
      </w:r>
      <w:r>
        <w:t xml:space="preserve"> </w:t>
      </w:r>
      <w:r>
        <w:t xml:space="preserve">non-replication rather than evidence for temporal ordering.</w:t>
      </w:r>
    </w:p>
    <w:p>
      <w:pPr>
        <w:pStyle w:val="BodyText"/>
      </w:pPr>
      <w:r>
        <w:t xml:space="preserve">We therefore applied the frozen temporal rule to the Ludwig adult human CD34+</w:t>
      </w:r>
      <w:r>
        <w:t xml:space="preserve"> </w:t>
      </w:r>
      <w:r>
        <w:t xml:space="preserve">terminal erythroid time course [13]. This dataset contains 28 paired bulk</w:t>
      </w:r>
      <w:r>
        <w:t xml:space="preserve"> </w:t>
      </w:r>
      <w:r>
        <w:t xml:space="preserve">RNA/ATAC libraries spanning eight sorted populations from two or three healthy</w:t>
      </w:r>
      <w:r>
        <w:t xml:space="preserve"> </w:t>
      </w:r>
      <w:r>
        <w:t xml:space="preserve">adult donors: P1 MyP, P2 CFU-E, P3 ProE1, P4 ProE2, P5 BasoE, P6 PolyE, P7</w:t>
      </w:r>
      <w:r>
        <w:t xml:space="preserve"> </w:t>
      </w:r>
      <w:r>
        <w:t xml:space="preserve">OrthoE and P8 Orth/Ret. Chapter-3 GRCh38 peaks were lifted to hg19, the genome</w:t>
      </w:r>
      <w:r>
        <w:t xml:space="preserve"> </w:t>
      </w:r>
      <w:r>
        <w:t xml:space="preserve">build used by Ludwig and colleagues, and only direct overlaps with independently</w:t>
      </w:r>
      <w:r>
        <w:t xml:space="preserve"> </w:t>
      </w:r>
      <w:r>
        <w:t xml:space="preserve">called ATAC peaks were retained. All 21 frozen E2 and linked non-E2 peaks lifted</w:t>
      </w:r>
      <w:r>
        <w:t xml:space="preserve"> </w:t>
      </w:r>
      <w:r>
        <w:t xml:space="preserve">successfully and overlapped an external peak.</w:t>
      </w:r>
    </w:p>
    <w:p>
      <w:pPr>
        <w:pStyle w:val="BodyText"/>
      </w:pPr>
      <w:r>
        <w:t xml:space="preserve">For each feature, activation was defined before inspecting the profiles as the</w:t>
      </w:r>
      <w:r>
        <w:t xml:space="preserve"> </w:t>
      </w:r>
      <w:r>
        <w:t xml:space="preserve">first post-P1 population reaching 50% of the increase from P1 to the maximum.</w:t>
      </w:r>
      <w:r>
        <w:t xml:space="preserve"> </w:t>
      </w:r>
      <w:r>
        <w:t xml:space="preserve">Both ATAC and RNA required a dynamic range of at least 1.0 log2 CPM. A peak</w:t>
      </w:r>
      <w:r>
        <w:t xml:space="preserve"> </w:t>
      </w:r>
      <w:r>
        <w:t xml:space="preserve">passed when ATAC activation preceded RNA activation by at least one population</w:t>
      </w:r>
      <w:r>
        <w:t xml:space="preserve"> </w:t>
      </w:r>
      <w:r>
        <w:t xml:space="preserve">and this lead occurred in at least 80% of 1,000 within-population bootstrap</w:t>
      </w:r>
      <w:r>
        <w:t xml:space="preserve"> </w:t>
      </w:r>
      <w:r>
        <w:t xml:space="preserve">draws.</w:t>
      </w:r>
    </w:p>
    <w:p>
      <w:pPr>
        <w:pStyle w:val="BodyText"/>
      </w:pPr>
      <w:r>
        <w:t xml:space="preserve">Eight of 11 E2 peaks passed, compared with 0 of 10 linked non-E2 peaks</w:t>
      </w:r>
      <w:r>
        <w:t xml:space="preserve"> </w:t>
      </w:r>
      <w:r>
        <w:t xml:space="preserve">(peak-level Fisher's exact</w:t>
      </w:r>
      <w:r>
        <w:t xml:space="preserve"> </w:t>
      </w:r>
      <w:r>
        <w:rPr>
          <w:iCs/>
          <w:i/>
        </w:rPr>
        <w:t xml:space="preserve">P</w:t>
      </w:r>
      <w:r>
        <w:t xml:space="preserve">=0.00103). Because peaks linked to the same target</w:t>
      </w:r>
      <w:r>
        <w:t xml:space="preserve"> </w:t>
      </w:r>
      <w:r>
        <w:t xml:space="preserve">are not independent, the primary enrichment test used edges: three of four E2</w:t>
      </w:r>
      <w:r>
        <w:t xml:space="preserve"> </w:t>
      </w:r>
      <w:r>
        <w:t xml:space="preserve">edges passed versus zero of six linked non-E2 comparison edges (Fisher's exact</w:t>
      </w:r>
      <w:r>
        <w:t xml:space="preserve"> </w:t>
      </w:r>
      <w:r>
        <w:rPr>
          <w:iCs/>
          <w:i/>
        </w:rPr>
        <w:t xml:space="preserve">P</w:t>
      </w:r>
      <w:r>
        <w:t xml:space="preserve">=0.0333; Figure 4).</w:t>
      </w:r>
    </w:p>
    <w:p>
      <w:pPr>
        <w:pStyle w:val="BodyText"/>
      </w:pPr>
      <w:r>
        <w:drawing>
          <wp:inline>
            <wp:extent cx="5334000" cy="3469409"/>
            <wp:effectExtent b="0" l="0" r="0" t="0"/>
            <wp:docPr descr="Figure 4. External terminal erythroid validation" title="" id="39" name="Picture"/>
            <a:graphic>
              <a:graphicData uri="http://schemas.openxmlformats.org/drawingml/2006/picture">
                <pic:pic>
                  <pic:nvPicPr>
                    <pic:cNvPr descr="../reports/external_validation/terminal_temporal_valida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GATA1→</w:t>
      </w:r>
      <w:r>
        <w:rPr>
          <w:iCs/>
          <w:i/>
        </w:rPr>
        <w:t xml:space="preserve">ALAS2</w:t>
      </w:r>
      <w:r>
        <w:t xml:space="preserve"> </w:t>
      </w:r>
      <w:r>
        <w:t xml:space="preserve">E2 peak activated at P2 (CFU-E), whereas</w:t>
      </w:r>
      <w:r>
        <w:t xml:space="preserve"> </w:t>
      </w:r>
      <w:r>
        <w:rPr>
          <w:iCs/>
          <w:i/>
        </w:rPr>
        <w:t xml:space="preserve">ALAS2</w:t>
      </w:r>
      <w:r>
        <w:t xml:space="preserve"> </w:t>
      </w:r>
      <w:r>
        <w:t xml:space="preserve">RNA reached</w:t>
      </w:r>
      <w:r>
        <w:t xml:space="preserve"> </w:t>
      </w:r>
      <w:r>
        <w:t xml:space="preserve">its midpoint at P4 (ProE2; bootstrap lead support 0.998). Four of five</w:t>
      </w:r>
      <w:r>
        <w:t xml:space="preserve"> </w:t>
      </w:r>
      <w:r>
        <w:t xml:space="preserve">GATA1→</w:t>
      </w:r>
      <w:r>
        <w:rPr>
          <w:iCs/>
          <w:i/>
        </w:rPr>
        <w:t xml:space="preserve">SLC25A37</w:t>
      </w:r>
      <w:r>
        <w:t xml:space="preserve"> </w:t>
      </w:r>
      <w:r>
        <w:t xml:space="preserve">peaks activated at P2–P3 before the P4 RNA midpoint (support</w:t>
      </w:r>
      <w:r>
        <w:t xml:space="preserve"> </w:t>
      </w:r>
      <w:r>
        <w:t xml:space="preserve">0.998–1.000); the fifth peak was a genuine exception and opened at P5.</w:t>
      </w:r>
      <w:r>
        <w:t xml:space="preserve"> </w:t>
      </w:r>
      <w:r>
        <w:t xml:space="preserve">All three GATA1→</w:t>
      </w:r>
      <w:r>
        <w:rPr>
          <w:iCs/>
          <w:i/>
        </w:rPr>
        <w:t xml:space="preserve">CPEB4</w:t>
      </w:r>
      <w:r>
        <w:t xml:space="preserve"> </w:t>
      </w:r>
      <w:r>
        <w:t xml:space="preserve">E2 peaks activated at P2, three stages before the P5</w:t>
      </w:r>
      <w:r>
        <w:t xml:space="preserve"> </w:t>
      </w:r>
      <w:r>
        <w:t xml:space="preserve">RNA midpoint (support 1.000). GATA1→</w:t>
      </w:r>
      <w:r>
        <w:rPr>
          <w:iCs/>
          <w:i/>
        </w:rPr>
        <w:t xml:space="preserve">SPTA1</w:t>
      </w:r>
      <w:r>
        <w:t xml:space="preserve"> </w:t>
      </w:r>
      <w:r>
        <w:t xml:space="preserve">was a near miss: both E2 peaks had</w:t>
      </w:r>
      <w:r>
        <w:t xml:space="preserve"> </w:t>
      </w:r>
      <w:r>
        <w:t xml:space="preserve">the expected P2 ATAC and P3 RNA point estimate, but bootstrap support of 0.717</w:t>
      </w:r>
      <w:r>
        <w:t xml:space="preserve"> </w:t>
      </w:r>
      <w:r>
        <w:t xml:space="preserve">and 0.742 did not meet the frozen 0.80 threshold.</w:t>
      </w:r>
    </w:p>
    <w:p>
      <w:pPr>
        <w:pStyle w:val="BodyText"/>
      </w:pPr>
      <w:r>
        <w:t xml:space="preserve">The linked non-E2 peaks failed for informative reasons.</w:t>
      </w:r>
      <w:r>
        <w:t xml:space="preserve"> </w:t>
      </w:r>
      <w:r>
        <w:rPr>
          <w:iCs/>
          <w:i/>
        </w:rPr>
        <w:t xml:space="preserve">OSBP2</w:t>
      </w:r>
      <w:r>
        <w:t xml:space="preserve"> </w:t>
      </w:r>
      <w:r>
        <w:t xml:space="preserve">and one</w:t>
      </w:r>
      <w:r>
        <w:t xml:space="preserve"> </w:t>
      </w:r>
      <w:r>
        <w:rPr>
          <w:iCs/>
          <w:i/>
        </w:rPr>
        <w:t xml:space="preserve">CPEB4</w:t>
      </w:r>
      <w:r>
        <w:t xml:space="preserve"> </w:t>
      </w:r>
      <w:r>
        <w:t xml:space="preserve">comparison peak lacked sufficient accessibility dynamics. The linked</w:t>
      </w:r>
      <w:r>
        <w:t xml:space="preserve"> </w:t>
      </w:r>
      <w:r>
        <w:t xml:space="preserve">non-E2</w:t>
      </w:r>
      <w:r>
        <w:t xml:space="preserve"> </w:t>
      </w:r>
      <w:r>
        <w:rPr>
          <w:iCs/>
          <w:i/>
        </w:rPr>
        <w:t xml:space="preserve">ALAS2</w:t>
      </w:r>
      <w:r>
        <w:t xml:space="preserve"> </w:t>
      </w:r>
      <w:r>
        <w:t xml:space="preserve">peak opened at the same stage as RNA, and non-E2</w:t>
      </w:r>
      <w:r>
        <w:t xml:space="preserve"> </w:t>
      </w:r>
      <w:r>
        <w:rPr>
          <w:iCs/>
          <w:i/>
        </w:rPr>
        <w:t xml:space="preserve">SPTA1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SLC25A37</w:t>
      </w:r>
      <w:r>
        <w:t xml:space="preserve"> </w:t>
      </w:r>
      <w:r>
        <w:t xml:space="preserve">peaks opened at or after the RNA midpoint. Thus, temporal ordering</w:t>
      </w:r>
      <w:r>
        <w:t xml:space="preserve"> </w:t>
      </w:r>
      <w:r>
        <w:t xml:space="preserve">was not a generic property of nearby accessible or expression-linked peaks; it</w:t>
      </w:r>
      <w:r>
        <w:t xml:space="preserve"> </w:t>
      </w:r>
      <w:r>
        <w:t xml:space="preserve">preferentially marked the elements that had joined the complete perturbational</w:t>
      </w:r>
      <w:r>
        <w:t xml:space="preserve"> </w:t>
      </w:r>
      <w:r>
        <w:t xml:space="preserve">E2 evidence chain.</w:t>
      </w:r>
    </w:p>
    <w:bookmarkEnd w:id="41"/>
    <w:bookmarkEnd w:id="42"/>
    <w:bookmarkStart w:id="43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This study began with a simple question: when does an observational regulatory</w:t>
      </w:r>
      <w:r>
        <w:t xml:space="preserve"> </w:t>
      </w:r>
      <w:r>
        <w:t xml:space="preserve">edge become causal? The answer was not a single score. Causal credibility was</w:t>
      </w:r>
      <w:r>
        <w:t xml:space="preserve"> </w:t>
      </w:r>
      <w:r>
        <w:t xml:space="preserve">concentrated in the extreme top of one observational ranking, sparse under</w:t>
      </w:r>
      <w:r>
        <w:t xml:space="preserve"> </w:t>
      </w:r>
      <w:r>
        <w:t xml:space="preserve">strict terminal-state intervention, dependent on developmental context, and</w:t>
      </w:r>
      <w:r>
        <w:t xml:space="preserve"> </w:t>
      </w:r>
      <w:r>
        <w:t xml:space="preserve">mechanistically strongest during chromatin establishment. These layers identify</w:t>
      </w:r>
      <w:r>
        <w:t xml:space="preserve"> </w:t>
      </w:r>
      <w:r>
        <w:t xml:space="preserve">distinct reasons why an edge can be present in observational single-cell data</w:t>
      </w:r>
      <w:r>
        <w:t xml:space="preserve"> </w:t>
      </w:r>
      <w:r>
        <w:t xml:space="preserve">yet fail under intervention.</w:t>
      </w:r>
    </w:p>
    <w:p>
      <w:pPr>
        <w:pStyle w:val="BodyText"/>
      </w:pPr>
      <w:r>
        <w:t xml:space="preserve">First, network rank mattered, but the inference method mattered as much as the</w:t>
      </w:r>
      <w:r>
        <w:t xml:space="preserve"> </w:t>
      </w:r>
      <w:r>
        <w:t xml:space="preserve">rank. The top 1% of residualized associations was enriched 2.44-fold for</w:t>
      </w:r>
      <w:r>
        <w:t xml:space="preserve"> </w:t>
      </w:r>
      <w:r>
        <w:t xml:space="preserve">intervention support, whereas GRNBoost2 was indistinguishable from a matched</w:t>
      </w:r>
      <w:r>
        <w:t xml:space="preserve"> </w:t>
      </w:r>
      <w:r>
        <w:t xml:space="preserve">null. This does not imply that residualized correlation is generally superior to</w:t>
      </w:r>
      <w:r>
        <w:t xml:space="preserve"> </w:t>
      </w:r>
      <w:r>
        <w:t xml:space="preserve">tree-based inference. The result is specific to this cell population, TF panel,</w:t>
      </w:r>
      <w:r>
        <w:t xml:space="preserve"> </w:t>
      </w:r>
      <w:r>
        <w:t xml:space="preserve">covariate structure and validation target. It does show that algorithmic</w:t>
      </w:r>
      <w:r>
        <w:t xml:space="preserve"> </w:t>
      </w:r>
      <w:r>
        <w:t xml:space="preserve">importance is not equivalent to intervention credibility, and that averaging</w:t>
      </w:r>
      <w:r>
        <w:t xml:space="preserve"> </w:t>
      </w:r>
      <w:r>
        <w:t xml:space="preserve">an informative and an uninformative ranking can reduce rather than improve the</w:t>
      </w:r>
      <w:r>
        <w:t xml:space="preserve"> </w:t>
      </w:r>
      <w:r>
        <w:t xml:space="preserve">signal. Evaluating GRNs only by agreement with other observational methods would</w:t>
      </w:r>
      <w:r>
        <w:t xml:space="preserve"> </w:t>
      </w:r>
      <w:r>
        <w:t xml:space="preserve">have missed this distinction.</w:t>
      </w:r>
    </w:p>
    <w:p>
      <w:pPr>
        <w:pStyle w:val="BodyText"/>
      </w:pPr>
      <w:r>
        <w:t xml:space="preserve">Second, cell-state dependence had at least two separable components. Some</w:t>
      </w:r>
      <w:r>
        <w:t xml:space="preserve"> </w:t>
      </w:r>
      <w:r>
        <w:t xml:space="preserve">perturbation effects genuinely varied across matched erythroid states, but many</w:t>
      </w:r>
      <w:r>
        <w:t xml:space="preserve"> </w:t>
      </w:r>
      <w:r>
        <w:t xml:space="preserve">time-dependent edges coincided with TF-induced displacement along the</w:t>
      </w:r>
      <w:r>
        <w:t xml:space="preserve"> </w:t>
      </w:r>
      <w:r>
        <w:t xml:space="preserve">differentiation axis. The latter is not merely a technical confounder. If a TF</w:t>
      </w:r>
      <w:r>
        <w:t xml:space="preserve"> </w:t>
      </w:r>
      <w:r>
        <w:t xml:space="preserve">controls differentiation, then changing state occupancy is part of its total</w:t>
      </w:r>
      <w:r>
        <w:t xml:space="preserve"> </w:t>
      </w:r>
      <w:r>
        <w:t xml:space="preserve">biological effect. However, it changes the meaning of the edge. An atlas-level</w:t>
      </w:r>
      <w:r>
        <w:t xml:space="preserve"> </w:t>
      </w:r>
      <w:r>
        <w:t xml:space="preserve">TF→target response may reflect a developmental programme that becomes weak in a</w:t>
      </w:r>
      <w:r>
        <w:t xml:space="preserve"> </w:t>
      </w:r>
      <w:r>
        <w:t xml:space="preserve">terminal state, rather than a direct cell-intrinsic regulatory interaction that</w:t>
      </w:r>
      <w:r>
        <w:t xml:space="preserve"> </w:t>
      </w:r>
      <w:r>
        <w:t xml:space="preserve">is switched on or off by local chromatin. The distinction is essential for</w:t>
      </w:r>
      <w:r>
        <w:t xml:space="preserve"> </w:t>
      </w:r>
      <w:r>
        <w:t xml:space="preserve">predictive models intended to simulate perturbations in a specified starting</w:t>
      </w:r>
      <w:r>
        <w:t xml:space="preserve"> </w:t>
      </w:r>
      <w:r>
        <w:t xml:space="preserve">state.</w:t>
      </w:r>
    </w:p>
    <w:p>
      <w:pPr>
        <w:pStyle w:val="BodyText"/>
      </w:pPr>
      <w:r>
        <w:t xml:space="preserve">Third, paired chromatin data rejected the intuitive but incomplete proposition</w:t>
      </w:r>
      <w:r>
        <w:t xml:space="preserve"> </w:t>
      </w:r>
      <w:r>
        <w:t xml:space="preserve">that an edge becomes causal simply when its regulatory element is open. The 11</w:t>
      </w:r>
      <w:r>
        <w:t xml:space="preserve"> </w:t>
      </w:r>
      <w:r>
        <w:t xml:space="preserve">E2 peaks showed the opposite relationship: dependence on GATA1 was greatest</w:t>
      </w:r>
      <w:r>
        <w:t xml:space="preserve"> </w:t>
      </w:r>
      <w:r>
        <w:t xml:space="preserve">when baseline accessibility was lowest, and the marginal ATAC and RNA effects</w:t>
      </w:r>
      <w:r>
        <w:t xml:space="preserve"> </w:t>
      </w:r>
      <w:r>
        <w:t xml:space="preserve">declined as the elements opened. ATAC and RNA responses remained tightly</w:t>
      </w:r>
      <w:r>
        <w:t xml:space="preserve"> </w:t>
      </w:r>
      <w:r>
        <w:t xml:space="preserve">coupled, arguing that the effect was molecularly coherent even though it was not</w:t>
      </w:r>
      <w:r>
        <w:t xml:space="preserve"> </w:t>
      </w:r>
      <w:r>
        <w:t xml:space="preserve">stronger in the open state. We therefore propose that the relevant distinction</w:t>
      </w:r>
      <w:r>
        <w:t xml:space="preserve"> </w:t>
      </w:r>
      <w:r>
        <w:t xml:space="preserve">is between establishment and maintenance. A TF can be necessary to establish a</w:t>
      </w:r>
      <w:r>
        <w:t xml:space="preserve"> </w:t>
      </w:r>
      <w:r>
        <w:t xml:space="preserve">regulatory state without remaining the sole factor required to maintain it.</w:t>
      </w:r>
    </w:p>
    <w:p>
      <w:pPr>
        <w:pStyle w:val="BodyText"/>
      </w:pPr>
      <w:r>
        <w:t xml:space="preserve">The independent adult erythroid time course supplied the most important test of</w:t>
      </w:r>
      <w:r>
        <w:t xml:space="preserve"> </w:t>
      </w:r>
      <w:r>
        <w:t xml:space="preserve">this interpretation. E2 peaks were not selected from the external data, and the</w:t>
      </w:r>
      <w:r>
        <w:t xml:space="preserve"> </w:t>
      </w:r>
      <w:r>
        <w:t xml:space="preserve">thresholds, coordinate mapping and comparison set were frozen before their</w:t>
      </w:r>
      <w:r>
        <w:t xml:space="preserve"> </w:t>
      </w:r>
      <w:r>
        <w:t xml:space="preserve">profiles were inspected. Eight of 11 E2 peaks, but none of ten linked non-E2</w:t>
      </w:r>
      <w:r>
        <w:t xml:space="preserve"> </w:t>
      </w:r>
      <w:r>
        <w:t xml:space="preserve">peaks, showed accessibility activation before target induction. The separation</w:t>
      </w:r>
      <w:r>
        <w:t xml:space="preserve"> </w:t>
      </w:r>
      <w:r>
        <w:t xml:space="preserve">remained significant at the edge level, which reduces the dependence among</w:t>
      </w:r>
      <w:r>
        <w:t xml:space="preserve"> </w:t>
      </w:r>
      <w:r>
        <w:t xml:space="preserve">multiple peaks assigned to one gene. The results therefore transport the</w:t>
      </w:r>
      <w:r>
        <w:t xml:space="preserve"> </w:t>
      </w:r>
      <w:r>
        <w:t xml:space="preserve">temporal signature, not merely the presence of accessible chromatin, across a</w:t>
      </w:r>
      <w:r>
        <w:t xml:space="preserve"> </w:t>
      </w:r>
      <w:r>
        <w:t xml:space="preserve">different experiment, donor structure, genome build and assay resolution.</w:t>
      </w:r>
    </w:p>
    <w:p>
      <w:pPr>
        <w:pStyle w:val="BodyText"/>
      </w:pPr>
      <w:r>
        <w:t xml:space="preserve">The fetal atlas result provides an equally useful caution. Global GATA1 motif</w:t>
      </w:r>
      <w:r>
        <w:t xml:space="preserve"> </w:t>
      </w:r>
      <w:r>
        <w:t xml:space="preserve">activity increased strongly and late target induction was visible in RNA, yet</w:t>
      </w:r>
      <w:r>
        <w:t xml:space="preserve"> </w:t>
      </w:r>
      <w:r>
        <w:t xml:space="preserve">the sampled ATAC states ended too early to capture the predicted terminal locus</w:t>
      </w:r>
      <w:r>
        <w:t xml:space="preserve"> </w:t>
      </w:r>
      <w:r>
        <w:t xml:space="preserve">dynamics. A dataset can be biologically relevant but structurally unable to test</w:t>
      </w:r>
      <w:r>
        <w:t xml:space="preserve"> </w:t>
      </w:r>
      <w:r>
        <w:t xml:space="preserve">a specific temporal hypothesis. Treating absence of replication as evidence</w:t>
      </w:r>
      <w:r>
        <w:t xml:space="preserve"> </w:t>
      </w:r>
      <w:r>
        <w:t xml:space="preserve">against the mechanism without auditing state coverage would have been</w:t>
      </w:r>
      <w:r>
        <w:t xml:space="preserve"> </w:t>
      </w:r>
      <w:r>
        <w:t xml:space="preserve">misleading.</w:t>
      </w:r>
    </w:p>
    <w:p>
      <w:pPr>
        <w:pStyle w:val="BodyText"/>
      </w:pPr>
      <w:r>
        <w:t xml:space="preserve">Several limitations constrain the conclusions. The primary Perturb-multiome</w:t>
      </w:r>
      <w:r>
        <w:t xml:space="preserve"> </w:t>
      </w:r>
      <w:r>
        <w:t xml:space="preserve">libraries are not documented as independent donors, so FDR values describe</w:t>
      </w:r>
      <w:r>
        <w:t xml:space="preserve"> </w:t>
      </w:r>
      <w:r>
        <w:t xml:space="preserve">within-screen evidence rather than population-level donor replication. Guide</w:t>
      </w:r>
      <w:r>
        <w:t xml:space="preserve"> </w:t>
      </w:r>
      <w:r>
        <w:t xml:space="preserve">efficacy varied substantially; strict E1 analysis could test only TFs with at</w:t>
      </w:r>
      <w:r>
        <w:t xml:space="preserve"> </w:t>
      </w:r>
      <w:r>
        <w:t xml:space="preserve">least two effective guides, and all strict hits were NFE2 edges. The source</w:t>
      </w:r>
      <w:r>
        <w:t xml:space="preserve"> </w:t>
      </w:r>
      <w:r>
        <w:t xml:space="preserve">study used single-cell genotyping because transcript abundance is not a reliable</w:t>
      </w:r>
      <w:r>
        <w:t xml:space="preserve"> </w:t>
      </w:r>
      <w:r>
        <w:t xml:space="preserve">proxy for editing; the present re-analysis used public guide and author-QC</w:t>
      </w:r>
      <w:r>
        <w:t xml:space="preserve"> </w:t>
      </w:r>
      <w:r>
        <w:t xml:space="preserve">annotations and did not recreate the complete genotype model. The E2 analysis</w:t>
      </w:r>
      <w:r>
        <w:t xml:space="preserve"> </w:t>
      </w:r>
      <w:r>
        <w:t xml:space="preserve">was targeted to eight candidates and cannot estimate the genome-wide prevalence</w:t>
      </w:r>
      <w:r>
        <w:t xml:space="preserve"> </w:t>
      </w:r>
      <w:r>
        <w:t xml:space="preserve">of establishment-type edges. Peak–gene correlation and motif occurrence do not</w:t>
      </w:r>
      <w:r>
        <w:t xml:space="preserve"> </w:t>
      </w:r>
      <w:r>
        <w:t xml:space="preserve">prove physical enhancer–promoter contact or TF binding. Conditioning on</w:t>
      </w:r>
      <w:r>
        <w:t xml:space="preserve"> </w:t>
      </w:r>
      <w:r>
        <w:t xml:space="preserve">post-perturbation state can attenuate a mediated causal effect or induce collider</w:t>
      </w:r>
      <w:r>
        <w:t xml:space="preserve"> </w:t>
      </w:r>
      <w:r>
        <w:t xml:space="preserve">bias, so the absence of state-robust E2 peaks does not prove that all 11 total</w:t>
      </w:r>
      <w:r>
        <w:t xml:space="preserve"> </w:t>
      </w:r>
      <w:r>
        <w:t xml:space="preserve">effects are indirect. Finally, the adult external validation was stage-resolved</w:t>
      </w:r>
      <w:r>
        <w:t xml:space="preserve"> </w:t>
      </w:r>
      <w:r>
        <w:t xml:space="preserve">bulk data. It provides donor and terminal-stage coverage but cannot test</w:t>
      </w:r>
      <w:r>
        <w:t xml:space="preserve"> </w:t>
      </w:r>
      <w:r>
        <w:t xml:space="preserve">cell-level co-variation.</w:t>
      </w:r>
    </w:p>
    <w:p>
      <w:pPr>
        <w:pStyle w:val="BodyText"/>
      </w:pPr>
      <w:r>
        <w:t xml:space="preserve">These limitations also define the next experiments. CUT&amp;RUN or CUT&amp;Tag for</w:t>
      </w:r>
      <w:r>
        <w:t xml:space="preserve"> </w:t>
      </w:r>
      <w:r>
        <w:t xml:space="preserve">GATA1 across early erythroid stages would test occupancy at the 11 E2 peaks.</w:t>
      </w:r>
      <w:r>
        <w:t xml:space="preserve"> </w:t>
      </w:r>
      <w:r>
        <w:t xml:space="preserve">Targeted CRISPRi or base editing of individual elements could separate local</w:t>
      </w:r>
      <w:r>
        <w:t xml:space="preserve"> </w:t>
      </w:r>
      <w:r>
        <w:t xml:space="preserve">enhancer dependence from TF-induced fate shifts. Paired time-resolved</w:t>
      </w:r>
      <w:r>
        <w:t xml:space="preserve"> </w:t>
      </w:r>
      <w:r>
        <w:t xml:space="preserve">perturbation with lineage tracing would help distinguish changes in state</w:t>
      </w:r>
      <w:r>
        <w:t xml:space="preserve"> </w:t>
      </w:r>
      <w:r>
        <w:t xml:space="preserve">transition rates from within-state molecular responses. Applying the frozen</w:t>
      </w:r>
      <w:r>
        <w:t xml:space="preserve"> </w:t>
      </w:r>
      <w:r>
        <w:t xml:space="preserve">framework to non-erythroid lineages will determine whether establishment-before-</w:t>
      </w:r>
      <w:r>
        <w:t xml:space="preserve"> </w:t>
      </w:r>
      <w:r>
        <w:t xml:space="preserve">maintenance is a general property or a feature of erythroid regulatory</w:t>
      </w:r>
      <w:r>
        <w:t xml:space="preserve"> </w:t>
      </w:r>
      <w:r>
        <w:t xml:space="preserve">programmes.</w:t>
      </w:r>
    </w:p>
    <w:p>
      <w:pPr>
        <w:pStyle w:val="BodyText"/>
      </w:pPr>
      <w:r>
        <w:t xml:space="preserve">In summary, an observational edge does not become causal merely because it is</w:t>
      </w:r>
      <w:r>
        <w:t xml:space="preserve"> </w:t>
      </w:r>
      <w:r>
        <w:t xml:space="preserve">stable, highly ranked or located in open chromatin. It gains causal credibility</w:t>
      </w:r>
      <w:r>
        <w:t xml:space="preserve"> </w:t>
      </w:r>
      <w:r>
        <w:t xml:space="preserve">when the TF perturbation changes the target in a defined context, a specific</w:t>
      </w:r>
      <w:r>
        <w:t xml:space="preserve"> </w:t>
      </w:r>
      <w:r>
        <w:t xml:space="preserve">cis-regulatory element joins the RNA and chromatin evidence chain, and the</w:t>
      </w:r>
      <w:r>
        <w:t xml:space="preserve"> </w:t>
      </w:r>
      <w:r>
        <w:t xml:space="preserve">mechanistic temporal signature transports to independent differentiation. For</w:t>
      </w:r>
      <w:r>
        <w:t xml:space="preserve"> </w:t>
      </w:r>
      <w:r>
        <w:t xml:space="preserve">the GATA1 edges identified here, dependence is greatest during the establishment</w:t>
      </w:r>
      <w:r>
        <w:t xml:space="preserve"> </w:t>
      </w:r>
      <w:r>
        <w:t xml:space="preserve">of the erythroid chromatin programme and attenuates during maintenance. This</w:t>
      </w:r>
      <w:r>
        <w:t xml:space="preserve"> </w:t>
      </w:r>
      <w:r>
        <w:t xml:space="preserve">provides a biologically interpretable answer to why regulatory relationships</w:t>
      </w:r>
      <w:r>
        <w:t xml:space="preserve"> </w:t>
      </w:r>
      <w:r>
        <w:t xml:space="preserve">learned from one single-cell context do not always survive real intervention.</w:t>
      </w:r>
    </w:p>
    <w:bookmarkEnd w:id="43"/>
    <w:bookmarkStart w:id="57" w:name="methods"/>
    <w:p>
      <w:pPr>
        <w:pStyle w:val="Heading2"/>
      </w:pPr>
      <w:r>
        <w:t xml:space="preserve">Methods</w:t>
      </w:r>
    </w:p>
    <w:bookmarkStart w:id="44" w:name="X962b9f7c33340b7fc3ed866b60f228f39ae65e9"/>
    <w:p>
      <w:pPr>
        <w:pStyle w:val="Heading3"/>
      </w:pPr>
      <w:r>
        <w:t xml:space="preserve">Study design and reproducibility safeguards</w:t>
      </w:r>
    </w:p>
    <w:p>
      <w:pPr>
        <w:pStyle w:val="FirstParagraph"/>
      </w:pPr>
      <w:r>
        <w:t xml:space="preserve">All analysis thresholds, primary TFs, candidate roles and external validation</w:t>
      </w:r>
      <w:r>
        <w:t xml:space="preserve"> </w:t>
      </w:r>
      <w:r>
        <w:t xml:space="preserve">rules are recorded in</w:t>
      </w:r>
      <w:r>
        <w:t xml:space="preserve"> </w:t>
      </w:r>
      <w:r>
        <w:rPr>
          <w:rStyle w:val="VerbatimChar"/>
        </w:rPr>
        <w:t xml:space="preserve">config/mvp.yaml</w:t>
      </w:r>
      <w:r>
        <w:t xml:space="preserve">. Observational edge discovery used only</w:t>
      </w:r>
      <w:r>
        <w:t xml:space="preserve"> </w:t>
      </w:r>
      <w:r>
        <w:t xml:space="preserve">non-targeting cells. Perturbed cells were introduced after rankings and</w:t>
      </w:r>
      <w:r>
        <w:t xml:space="preserve"> </w:t>
      </w:r>
      <w:r>
        <w:t xml:space="preserve">candidate sets were fixed. Chapter-specific outputs were generated by command-</w:t>
      </w:r>
      <w:r>
        <w:t xml:space="preserve"> </w:t>
      </w:r>
      <w:r>
        <w:t xml:space="preserve">line modules in the</w:t>
      </w:r>
      <w:r>
        <w:t xml:space="preserve"> </w:t>
      </w:r>
      <w:r>
        <w:rPr>
          <w:rStyle w:val="VerbatimChar"/>
        </w:rPr>
        <w:t xml:space="preserve">edge_causality</w:t>
      </w:r>
      <w:r>
        <w:t xml:space="preserve"> </w:t>
      </w:r>
      <w:r>
        <w:t xml:space="preserve">Python package. The project-wide random</w:t>
      </w:r>
      <w:r>
        <w:t xml:space="preserve"> </w:t>
      </w:r>
      <w:r>
        <w:t xml:space="preserve">seed was 20260820. At the time of this draft, 37 unit tests covered barcode</w:t>
      </w:r>
      <w:r>
        <w:t xml:space="preserve"> </w:t>
      </w:r>
      <w:r>
        <w:t xml:space="preserve">handling, residualization, perturbation scoring, interaction models, peak</w:t>
      </w:r>
      <w:r>
        <w:t xml:space="preserve"> </w:t>
      </w:r>
      <w:r>
        <w:t xml:space="preserve">mapping, motif support and external temporal validation.</w:t>
      </w:r>
    </w:p>
    <w:bookmarkEnd w:id="44"/>
    <w:bookmarkStart w:id="45" w:name="perturb-multiome-data-and-cell-selection"/>
    <w:p>
      <w:pPr>
        <w:pStyle w:val="Heading3"/>
      </w:pPr>
      <w:r>
        <w:t xml:space="preserve">Perturb-multiome data and cell selection</w:t>
      </w:r>
    </w:p>
    <w:p>
      <w:pPr>
        <w:pStyle w:val="FirstParagraph"/>
      </w:pPr>
      <w:r>
        <w:t xml:space="preserve">Processed 10x HDF5 matrices and author metadata for GSE274113 were used. Blank</w:t>
      </w:r>
      <w:r>
        <w:t xml:space="preserve"> </w:t>
      </w:r>
      <w:r>
        <w:t xml:space="preserve">interleaved rows in the metadata file were removed explicitly. Each author-QC</w:t>
      </w:r>
      <w:r>
        <w:t xml:space="preserve"> </w:t>
      </w:r>
      <w:r>
        <w:t xml:space="preserve">barcode was required to occur in its stated HDF5 library, and RNA feature order</w:t>
      </w:r>
      <w:r>
        <w:t xml:space="preserve"> </w:t>
      </w:r>
      <w:r>
        <w:t xml:space="preserve">was checked across all 14 libraries. Day-14 late erythroid cells were defined by</w:t>
      </w:r>
      <w:r>
        <w:t xml:space="preserve"> </w:t>
      </w:r>
      <w:r>
        <w:t xml:space="preserve">the authors' polychromatic and orthochromatic erythroblast labels. NT_1, NT_2</w:t>
      </w:r>
      <w:r>
        <w:t xml:space="preserve"> </w:t>
      </w:r>
      <w:r>
        <w:t xml:space="preserve">and NT_3 cells formed the discovery controls. AAVS1_1, AAVS1_2 and AAVS1_3 were</w:t>
      </w:r>
      <w:r>
        <w:t xml:space="preserve"> </w:t>
      </w:r>
      <w:r>
        <w:t xml:space="preserve">the intervention reference guides.</w:t>
      </w:r>
    </w:p>
    <w:bookmarkEnd w:id="45"/>
    <w:bookmarkStart w:id="46" w:name="cross-fitted-guide-perturbation-scores"/>
    <w:p>
      <w:pPr>
        <w:pStyle w:val="Heading3"/>
      </w:pPr>
      <w:r>
        <w:t xml:space="preserve">Cross-fitted guide perturbation scores</w:t>
      </w:r>
    </w:p>
    <w:p>
      <w:pPr>
        <w:pStyle w:val="FirstParagraph"/>
      </w:pPr>
      <w:r>
        <w:t xml:space="preserve">RNA counts were library-normalized. Cells carrying AAVS1_1 were used as a</w:t>
      </w:r>
      <w:r>
        <w:t xml:space="preserve"> </w:t>
      </w:r>
      <w:r>
        <w:t xml:space="preserve">reference population, and local control profiles were obtained from nearest</w:t>
      </w:r>
      <w:r>
        <w:t xml:space="preserve"> </w:t>
      </w:r>
      <w:r>
        <w:t xml:space="preserve">neighbours in a 30-component PCA representation of 2,000 variable genes. For a</w:t>
      </w:r>
      <w:r>
        <w:t xml:space="preserve"> </w:t>
      </w:r>
      <w:r>
        <w:t xml:space="preserve">held-out guide, a 100-gene perturbation signature was learned from cells carrying</w:t>
      </w:r>
      <w:r>
        <w:t xml:space="preserve"> </w:t>
      </w:r>
      <w:r>
        <w:t xml:space="preserve">the other guides targeting the same TF. The held-out cells were projected onto</w:t>
      </w:r>
      <w:r>
        <w:t xml:space="preserve"> </w:t>
      </w:r>
      <w:r>
        <w:t xml:space="preserve">that signature and standardized relative to control-guide cells. Guide</w:t>
      </w:r>
      <w:r>
        <w:t xml:space="preserve"> </w:t>
      </w:r>
      <w:r>
        <w:t xml:space="preserve">significance, direction consistency and the control-guide null distribution were</w:t>
      </w:r>
      <w:r>
        <w:t xml:space="preserve"> </w:t>
      </w:r>
      <w:r>
        <w:t xml:space="preserve">used to define effective guides before E1 analysis.</w:t>
      </w:r>
    </w:p>
    <w:bookmarkEnd w:id="46"/>
    <w:bookmarkStart w:id="47" w:name="controls-only-observational-networks"/>
    <w:p>
      <w:pPr>
        <w:pStyle w:val="Heading3"/>
      </w:pPr>
      <w:r>
        <w:t xml:space="preserve">Controls-only observational networks</w:t>
      </w:r>
    </w:p>
    <w:p>
      <w:pPr>
        <w:pStyle w:val="FirstParagraph"/>
      </w:pPr>
      <w:r>
        <w:t xml:space="preserve">Genes were required to have detection fraction ≥0.05 and mean CPM ≥1, and</w:t>
      </w:r>
      <w:r>
        <w:t xml:space="preserve"> </w:t>
      </w:r>
      <w:r>
        <w:t xml:space="preserve">mitochondrial-prefix genes were excluded. For each TF–target pair, log-normalized</w:t>
      </w:r>
      <w:r>
        <w:t xml:space="preserve"> </w:t>
      </w:r>
      <w:r>
        <w:t xml:space="preserve">expression was residualized against log library depth, library indicators and</w:t>
      </w:r>
      <w:r>
        <w:t xml:space="preserve"> </w:t>
      </w:r>
      <w:r>
        <w:t xml:space="preserve">late erythroid state. Pearson correlation between TF and target residuals</w:t>
      </w:r>
      <w:r>
        <w:t xml:space="preserve"> </w:t>
      </w:r>
      <w:r>
        <w:t xml:space="preserve">defined the signed association. One hundred bootstraps sampled cells within</w:t>
      </w:r>
      <w:r>
        <w:t xml:space="preserve"> </w:t>
      </w:r>
      <w:r>
        <w:t xml:space="preserve">library and state strata. Stable E0 edges occurred in the top 5% of a</w:t>
      </w:r>
      <w:r>
        <w:t xml:space="preserve"> </w:t>
      </w:r>
      <w:r>
        <w:t xml:space="preserve">TF-specific absolute-association ranking in at least 70% of bootstraps.</w:t>
      </w:r>
    </w:p>
    <w:p>
      <w:pPr>
        <w:pStyle w:val="BodyText"/>
      </w:pPr>
      <w:r>
        <w:t xml:space="preserve">GRNBoost2 was run on the same controls-only expression universe. Rankings were</w:t>
      </w:r>
      <w:r>
        <w:t xml:space="preserve"> </w:t>
      </w:r>
      <w:r>
        <w:t xml:space="preserve">retained separately because their intervention calibration differed. For</w:t>
      </w:r>
      <w:r>
        <w:t xml:space="preserve"> </w:t>
      </w:r>
      <w:r>
        <w:t xml:space="preserve">descriptive overlap, residualized E0 edges were annotated by occurrence in the</w:t>
      </w:r>
      <w:r>
        <w:t xml:space="preserve"> </w:t>
      </w:r>
      <w:r>
        <w:t xml:space="preserve">GRNBoost2 top 1%, 5% and 10%.</w:t>
      </w:r>
    </w:p>
    <w:bookmarkEnd w:id="47"/>
    <w:bookmarkStart w:id="48" w:name="Xbf042d91c0654ce9cc1861a64fab197e3440508"/>
    <w:p>
      <w:pPr>
        <w:pStyle w:val="Heading3"/>
      </w:pPr>
      <w:r>
        <w:t xml:space="preserve">Calibration against published intervention responses</w:t>
      </w:r>
    </w:p>
    <w:p>
      <w:pPr>
        <w:pStyle w:val="FirstParagraph"/>
      </w:pPr>
      <w:r>
        <w:t xml:space="preserve">The authors' Table S3 TF-sensitive gene sheet was restricted to the six primary</w:t>
      </w:r>
      <w:r>
        <w:t xml:space="preserve"> </w:t>
      </w:r>
      <w:r>
        <w:t xml:space="preserve">TFs and joined to the 43,740-edge observational universe by TF and gene symbol.</w:t>
      </w:r>
      <w:r>
        <w:t xml:space="preserve"> </w:t>
      </w:r>
      <w:r>
        <w:t xml:space="preserve">Published support required a reported response and, for the primary truth</w:t>
      </w:r>
      <w:r>
        <w:t xml:space="preserve"> </w:t>
      </w:r>
      <w:r>
        <w:t xml:space="preserve">label, |log2 fold-change|≥0.25. Directional concordance accounted for the</w:t>
      </w:r>
      <w:r>
        <w:t xml:space="preserve"> </w:t>
      </w:r>
      <w:r>
        <w:t xml:space="preserve">orientation of the source perturbation score: a positive observational edge was</w:t>
      </w:r>
      <w:r>
        <w:t xml:space="preserve"> </w:t>
      </w:r>
      <w:r>
        <w:t xml:space="preserve">expected to decrease as loss of TF function increased.</w:t>
      </w:r>
    </w:p>
    <w:p>
      <w:pPr>
        <w:pStyle w:val="BodyText"/>
      </w:pPr>
      <w:r>
        <w:t xml:space="preserve">AUROC and AUPRC were calculated over the complete ranking. For top-</w:t>
      </w:r>
      <w:r>
        <w:rPr>
          <w:iCs/>
          <w:i/>
        </w:rPr>
        <w:t xml:space="preserve">k</w:t>
      </w:r>
      <w:r>
        <w:t xml:space="preserve"> </w:t>
      </w:r>
      <w:r>
        <w:t xml:space="preserve">enrichment, selected edges were compared with 1,000 null samples matched by TF,</w:t>
      </w:r>
      <w:r>
        <w:t xml:space="preserve"> </w:t>
      </w:r>
      <w:r>
        <w:t xml:space="preserve">target mean-expression decile and detection-fraction decile. The empirical</w:t>
      </w:r>
      <w:r>
        <w:t xml:space="preserve"> </w:t>
      </w:r>
      <w:r>
        <w:t xml:space="preserve">one-sided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 was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P_{emp}=\frac{1+\sum_{b=1}^{B}I(r_b\ge r_{obs})}{B+1},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(r_{obs}) is the selected-edge support rate and (r_b) is the rate in</w:t>
      </w:r>
      <w:r>
        <w:t xml:space="preserve"> </w:t>
      </w:r>
      <w:r>
        <w:t xml:space="preserve">null draw (b).</w:t>
      </w:r>
    </w:p>
    <w:bookmarkEnd w:id="48"/>
    <w:bookmarkStart w:id="49" w:name="strict-late-erythroid-e1-validation"/>
    <w:p>
      <w:pPr>
        <w:pStyle w:val="Heading3"/>
      </w:pPr>
      <w:r>
        <w:t xml:space="preserve">Strict late-erythroid E1 validation</w:t>
      </w:r>
    </w:p>
    <w:p>
      <w:pPr>
        <w:pStyle w:val="FirstParagraph"/>
      </w:pPr>
      <w:r>
        <w:t xml:space="preserve">RNA counts were aggregated by guide, library and late erythroid state. Features</w:t>
      </w:r>
      <w:r>
        <w:t xml:space="preserve"> </w:t>
      </w:r>
      <w:r>
        <w:t xml:space="preserve">were converted to log2(CPM+0.5). For each TF, a weighted least-squares model</w:t>
      </w:r>
      <w:r>
        <w:t xml:space="preserve"> </w:t>
      </w:r>
      <w:r>
        <w:t xml:space="preserve">included an intercept, targeting-guide condition, library and cell-state</w:t>
      </w:r>
      <w:r>
        <w:t xml:space="preserve"> </w:t>
      </w:r>
      <w:r>
        <w:t xml:space="preserve">indicators; weights were proportional to pseudobulk cell count and scaled to a</w:t>
      </w:r>
      <w:r>
        <w:t xml:space="preserve"> </w:t>
      </w:r>
      <w:r>
        <w:t xml:space="preserve">median of one. The condition coefficient estimated the pooled perturbation</w:t>
      </w:r>
      <w:r>
        <w:t xml:space="preserve"> </w:t>
      </w:r>
      <w:r>
        <w:t xml:space="preserve">effect. Guide-specific effects compared each guide with AAVS1 controls in the</w:t>
      </w:r>
      <w:r>
        <w:t xml:space="preserve"> </w:t>
      </w:r>
      <w:r>
        <w:t xml:space="preserve">same library and state. Leave-one-guide-out models were refitted after omitting</w:t>
      </w:r>
      <w:r>
        <w:t xml:space="preserve"> </w:t>
      </w:r>
      <w:r>
        <w:t xml:space="preserve">each effective guide.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values were adjusted by the Benjamini–Hochberg method</w:t>
      </w:r>
      <w:r>
        <w:t xml:space="preserve"> </w:t>
      </w:r>
      <w:r>
        <w:t xml:space="preserve">[15]. E1 required FDR&lt;0.05, |effect|≥0.25, at least two effective guides, complete</w:t>
      </w:r>
      <w:r>
        <w:t xml:space="preserve"> </w:t>
      </w:r>
      <w:r>
        <w:t xml:space="preserve">guide-direction agreement, and complete leave-one-guide-out direction agreement.</w:t>
      </w:r>
    </w:p>
    <w:bookmarkEnd w:id="49"/>
    <w:bookmarkStart w:id="50" w:name="perturbation-by-collection-time-analysis"/>
    <w:p>
      <w:pPr>
        <w:pStyle w:val="Heading3"/>
      </w:pPr>
      <w:r>
        <w:t xml:space="preserve">Perturbation-by-collection-time analysis</w:t>
      </w:r>
    </w:p>
    <w:p>
      <w:pPr>
        <w:pStyle w:val="FirstParagraph"/>
      </w:pPr>
      <w:r>
        <w:t xml:space="preserve">All-timepoint RNA counts were aggregated by guide and library, retaining</w:t>
      </w:r>
      <w:r>
        <w:t xml:space="preserve"> </w:t>
      </w:r>
      <w:r>
        <w:t xml:space="preserve">pseudobulks with at least 15 cells. For each TF, the full weighted least-squares</w:t>
      </w:r>
      <w:r>
        <w:t xml:space="preserve"> </w:t>
      </w:r>
      <w:r>
        <w:t xml:space="preserve">model contained perturbation, library and perturbation interactions with days 9,</w:t>
      </w:r>
      <w:r>
        <w:t xml:space="preserve"> </w:t>
      </w:r>
      <w:r>
        <w:t xml:space="preserve">11 and 14; day 7 was the reference. A reduced model omitted the interaction</w:t>
      </w:r>
      <w:r>
        <w:t xml:space="preserve"> </w:t>
      </w:r>
      <w:r>
        <w:t xml:space="preserve">terms. A joint F test compared models, and interaction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values were adjusted</w:t>
      </w:r>
      <w:r>
        <w:t xml:space="preserve"> </w:t>
      </w:r>
      <w:r>
        <w:t xml:space="preserve">across E0 edges. Time-specific contrasts estimated effects at each collection</w:t>
      </w:r>
      <w:r>
        <w:t xml:space="preserve"> </w:t>
      </w:r>
      <w:r>
        <w:t xml:space="preserve">time. The frozen shape classifier used effect magnitude, effect range and</w:t>
      </w:r>
      <w:r>
        <w:t xml:space="preserve"> </w:t>
      </w:r>
      <w:r>
        <w:t xml:space="preserve">guide-direction consistency to label gated, reversed, amplified,</w:t>
      </w:r>
      <w:r>
        <w:t xml:space="preserve"> </w:t>
      </w:r>
      <w:r>
        <w:t xml:space="preserve">constitutive, unstable or other patterns.</w:t>
      </w:r>
    </w:p>
    <w:bookmarkEnd w:id="50"/>
    <w:bookmarkStart w:id="51" w:name="Xe7c48c6b3734a412bea41d9877543b3cb6e164a"/>
    <w:p>
      <w:pPr>
        <w:pStyle w:val="Heading3"/>
      </w:pPr>
      <w:r>
        <w:t xml:space="preserve">Controls-defined differentiation-axis diagnostic</w:t>
      </w:r>
    </w:p>
    <w:p>
      <w:pPr>
        <w:pStyle w:val="FirstParagraph"/>
      </w:pPr>
      <w:r>
        <w:t xml:space="preserve">The differentiation score was trained exclusively on NT_1/2/3 pseudobulks. The</w:t>
      </w:r>
      <w:r>
        <w:t xml:space="preserve"> </w:t>
      </w:r>
      <w:r>
        <w:t xml:space="preserve">2,000 most variable eligible genes were standardized and represented with ten</w:t>
      </w:r>
      <w:r>
        <w:t xml:space="preserve"> </w:t>
      </w:r>
      <w:r>
        <w:t xml:space="preserve">principal components. Ridge regression predicted numeric collection day. Model</w:t>
      </w:r>
      <w:r>
        <w:t xml:space="preserve"> </w:t>
      </w:r>
      <w:r>
        <w:t xml:space="preserve">performance was evaluated with leave-one-library-out cross-validation, after</w:t>
      </w:r>
      <w:r>
        <w:t xml:space="preserve"> </w:t>
      </w:r>
      <w:r>
        <w:t xml:space="preserve">which a final model projected all targeting and control pseudobulks. Within each</w:t>
      </w:r>
      <w:r>
        <w:t xml:space="preserve"> </w:t>
      </w:r>
      <w:r>
        <w:t xml:space="preserve">library and timepoint, each targeting guide was compared with AAVS1 guides. A TF</w:t>
      </w:r>
      <w:r>
        <w:t xml:space="preserve"> </w:t>
      </w:r>
      <w:r>
        <w:t xml:space="preserve">shift required an interaction FDR&lt;0.05, a timepoint effect FDR&lt;0.05, magnitude</w:t>
      </w:r>
      <w:r>
        <w:t xml:space="preserve"> </w:t>
      </w:r>
      <w:r>
        <w:t xml:space="preserve">above the 95th-percentile absolute control-guide shift and at least two</w:t>
      </w:r>
      <w:r>
        <w:t xml:space="preserve"> </w:t>
      </w:r>
      <w:r>
        <w:t xml:space="preserve">direction-consistent guides. An edge was called fate-shift-associated when its</w:t>
      </w:r>
      <w:r>
        <w:t xml:space="preserve"> </w:t>
      </w:r>
      <w:r>
        <w:t xml:space="preserve">strongest timepoint coincided with a supported shift of its TF.</w:t>
      </w:r>
    </w:p>
    <w:bookmarkEnd w:id="51"/>
    <w:bookmarkStart w:id="52" w:name="X818e433140597d70c88433ffc13bdbd6b05d122"/>
    <w:p>
      <w:pPr>
        <w:pStyle w:val="Heading3"/>
      </w:pPr>
      <w:r>
        <w:t xml:space="preserve">Within-erythroid-state interaction analysis</w:t>
      </w:r>
    </w:p>
    <w:p>
      <w:pPr>
        <w:pStyle w:val="FirstParagraph"/>
      </w:pPr>
      <w:r>
        <w:t xml:space="preserve">RNA counts for the 419 genes represented by E0 edges were aggregated by guide,</w:t>
      </w:r>
      <w:r>
        <w:t xml:space="preserve"> </w:t>
      </w:r>
      <w:r>
        <w:t xml:space="preserve">library and author erythroid state. BFU-E was excluded from modelling because no</w:t>
      </w:r>
      <w:r>
        <w:t xml:space="preserve"> </w:t>
      </w:r>
      <w:r>
        <w:t xml:space="preserve">AAVS1 pseudobulk passed the 15-cell minimum. The model included perturbation,</w:t>
      </w:r>
      <w:r>
        <w:t xml:space="preserve"> </w:t>
      </w:r>
      <w:r>
        <w:t xml:space="preserve">library, state and perturbation-by-state interactions across CFU-E,</w:t>
      </w:r>
      <w:r>
        <w:t xml:space="preserve"> </w:t>
      </w:r>
      <w:r>
        <w:t xml:space="preserve">proerythroblast, basophilic, polychromatic and orthochromatic erythroblast</w:t>
      </w:r>
      <w:r>
        <w:t xml:space="preserve"> </w:t>
      </w:r>
      <w:r>
        <w:t xml:space="preserve">states. Because state was observed after perturbation, results were interpreted</w:t>
      </w:r>
      <w:r>
        <w:t xml:space="preserve"> </w:t>
      </w:r>
      <w:r>
        <w:t xml:space="preserve">as persistence diagnostics and not substituted for the collection-time total</w:t>
      </w:r>
      <w:r>
        <w:t xml:space="preserve"> </w:t>
      </w:r>
      <w:r>
        <w:t xml:space="preserve">effect.</w:t>
      </w:r>
    </w:p>
    <w:bookmarkEnd w:id="52"/>
    <w:bookmarkStart w:id="53" w:name="X5742325b6b21707c20894c128bad6d5973b8696"/>
    <w:p>
      <w:pPr>
        <w:pStyle w:val="Heading3"/>
      </w:pPr>
      <w:r>
        <w:t xml:space="preserve">Targeted paired RNA/ATAC candidate construction</w:t>
      </w:r>
    </w:p>
    <w:p>
      <w:pPr>
        <w:pStyle w:val="FirstParagraph"/>
      </w:pPr>
      <w:r>
        <w:t xml:space="preserve">Eight edges and their roles were frozen before local peak results were inspected.</w:t>
      </w:r>
      <w:r>
        <w:t xml:space="preserve"> </w:t>
      </w:r>
      <w:r>
        <w:t xml:space="preserve">For each target, ATAC peaks within ±50 kb of the GRCh38 TSS were collected from</w:t>
      </w:r>
      <w:r>
        <w:t xml:space="preserve"> </w:t>
      </w:r>
      <w:r>
        <w:t xml:space="preserve">all 14 libraries and merged into consensus intervals. Only author-QC GATA1,</w:t>
      </w:r>
      <w:r>
        <w:t xml:space="preserve"> </w:t>
      </w:r>
      <w:r>
        <w:t xml:space="preserve">NFE2 and control cells were retained. Library-specific presence was tracked for</w:t>
      </w:r>
      <w:r>
        <w:t xml:space="preserve"> </w:t>
      </w:r>
      <w:r>
        <w:t xml:space="preserve">each consensus peak so comparisons were restricted to libraries in which a</w:t>
      </w:r>
      <w:r>
        <w:t xml:space="preserve"> </w:t>
      </w:r>
      <w:r>
        <w:t xml:space="preserve">source peak was observed.</w:t>
      </w:r>
    </w:p>
    <w:p>
      <w:pPr>
        <w:pStyle w:val="BodyText"/>
      </w:pPr>
      <w:r>
        <w:t xml:space="preserve">For controls-only peak–gene links, gene and peak values were normalized for RNA</w:t>
      </w:r>
      <w:r>
        <w:t xml:space="preserve"> </w:t>
      </w:r>
      <w:r>
        <w:t xml:space="preserve">and ATAC depth, respectively. Both were residualized against depth, library and</w:t>
      </w:r>
      <w:r>
        <w:t xml:space="preserve"> </w:t>
      </w:r>
      <w:r>
        <w:t xml:space="preserve">author cell type. Pearson correlation, BH FDR and 200 library-stratified</w:t>
      </w:r>
      <w:r>
        <w:t xml:space="preserve"> </w:t>
      </w:r>
      <w:r>
        <w:t xml:space="preserve">bootstraps were used to apply the frozen link rule. ATAC perturbation effects</w:t>
      </w:r>
      <w:r>
        <w:t xml:space="preserve"> </w:t>
      </w:r>
      <w:r>
        <w:t xml:space="preserve">were estimated in guide × library pseudobulks using the collection-time</w:t>
      </w:r>
      <w:r>
        <w:t xml:space="preserve"> </w:t>
      </w:r>
      <w:r>
        <w:t xml:space="preserve">interaction framework; at least two guide-consistent directions were required.</w:t>
      </w:r>
      <w:r>
        <w:t xml:space="preserve"> </w:t>
      </w:r>
      <w:r>
        <w:t xml:space="preserve">The target-RNA effect was estimated from the same TF and timepoint.</w:t>
      </w:r>
    </w:p>
    <w:bookmarkEnd w:id="53"/>
    <w:bookmarkStart w:id="54" w:name="motif-analysis-and-e2-definitions"/>
    <w:p>
      <w:pPr>
        <w:pStyle w:val="Heading3"/>
      </w:pPr>
      <w:r>
        <w:t xml:space="preserve">Motif analysis and E2 definitions</w:t>
      </w:r>
    </w:p>
    <w:p>
      <w:pPr>
        <w:pStyle w:val="FirstParagraph"/>
      </w:pPr>
      <w:r>
        <w:t xml:space="preserve">GRCh38 peak sequences were retrieved through Ensembl resources. Both strands</w:t>
      </w:r>
      <w:r>
        <w:t xml:space="preserve"> </w:t>
      </w:r>
      <w:r>
        <w:t xml:space="preserve">were scanned using JASPAR 2024 GATA1 MA0035.5 and NFE2 MA0841.2 matrices [14].</w:t>
      </w:r>
      <w:r>
        <w:t xml:space="preserve"> </w:t>
      </w:r>
      <w:r>
        <w:t xml:space="preserve">A relative score ≥0.85 denoted motif support. A total-effect E2 peak required a</w:t>
      </w:r>
      <w:r>
        <w:t xml:space="preserve"> </w:t>
      </w:r>
      <w:r>
        <w:t xml:space="preserve">passing controls-only link, a passing TF perturbation effect on accessibility, a</w:t>
      </w:r>
      <w:r>
        <w:t xml:space="preserve"> </w:t>
      </w:r>
      <w:r>
        <w:t xml:space="preserve">directionally compatible target-RNA response of at least 0.25 at the strongest</w:t>
      </w:r>
      <w:r>
        <w:t xml:space="preserve"> </w:t>
      </w:r>
      <w:r>
        <w:t xml:space="preserve">ATAC timepoint, and motif support. A state-robust E2 peak additionally required</w:t>
      </w:r>
      <w:r>
        <w:t xml:space="preserve"> </w:t>
      </w:r>
      <w:r>
        <w:t xml:space="preserve">the ATAC effect to remain significant after adjustment for six</w:t>
      </w:r>
      <w:r>
        <w:t xml:space="preserve"> </w:t>
      </w:r>
      <w:r>
        <w:t xml:space="preserve">post-perturbation erythroid states.</w:t>
      </w:r>
    </w:p>
    <w:bookmarkEnd w:id="54"/>
    <w:bookmarkStart w:id="55" w:name="fetal-external-validation"/>
    <w:p>
      <w:pPr>
        <w:pStyle w:val="Heading3"/>
      </w:pPr>
      <w:r>
        <w:t xml:space="preserve">Fetal external validation</w:t>
      </w:r>
    </w:p>
    <w:p>
      <w:pPr>
        <w:pStyle w:val="FirstParagraph"/>
      </w:pPr>
      <w:r>
        <w:t xml:space="preserve">Processed RNA and ATAC data were obtained from the official repository of</w:t>
      </w:r>
      <w:r>
        <w:t xml:space="preserve"> </w:t>
      </w:r>
      <w:r>
        <w:t xml:space="preserve">Ranzoni et al. [12]. RNA used the authors' annotated PAGA object, including the</w:t>
      </w:r>
      <w:r>
        <w:t xml:space="preserve"> </w:t>
      </w:r>
      <w:r>
        <w:t xml:space="preserve">stored diffusion pseudotime [16,17]. Primary RNA states were HSC–MPP, MEMP and</w:t>
      </w:r>
      <w:r>
        <w:t xml:space="preserve"> </w:t>
      </w:r>
      <w:r>
        <w:t xml:space="preserve">erythroid cells; primary ATAC states were label-transferred MPP and Comm-Prog.</w:t>
      </w:r>
      <w:r>
        <w:t xml:space="preserve"> </w:t>
      </w:r>
      <w:r>
        <w:t xml:space="preserve">Cycling states were reserved for sensitivity analysis. Only direct overlap of</w:t>
      </w:r>
      <w:r>
        <w:t xml:space="preserve"> </w:t>
      </w:r>
      <w:r>
        <w:t xml:space="preserve">GRCh38 intervals was considered primary mapping. Per-peak ATAC profiles were</w:t>
      </w:r>
      <w:r>
        <w:t xml:space="preserve"> </w:t>
      </w:r>
      <w:r>
        <w:t xml:space="preserve">standardized across MPP and Comm-Prog cells; establishment required a committed</w:t>
      </w:r>
      <w:r>
        <w:t xml:space="preserve"> </w:t>
      </w:r>
      <w:r>
        <w:t xml:space="preserve">minus early standardized effect ≥0.25 and a batch-stratified bootstrap 95% CI</w:t>
      </w:r>
      <w:r>
        <w:t xml:space="preserve"> </w:t>
      </w:r>
      <w:r>
        <w:t xml:space="preserve">above zero. Target RNA was summarized as sample × state pseudobulk CPM. Delayed</w:t>
      </w:r>
      <w:r>
        <w:t xml:space="preserve"> </w:t>
      </w:r>
      <w:r>
        <w:t xml:space="preserve">induction required late-versus-committed log2 fold-change ≥0.5, no more than 50%</w:t>
      </w:r>
      <w:r>
        <w:t xml:space="preserve"> </w:t>
      </w:r>
      <w:r>
        <w:t xml:space="preserve">of the early-to-late dynamic range reached at commitment, and a sample-bootstrap</w:t>
      </w:r>
      <w:r>
        <w:t xml:space="preserve"> </w:t>
      </w:r>
      <w:r>
        <w:t xml:space="preserve">CI above zero. GATA1 chromVAR activity was analysed as global context, not</w:t>
      </w:r>
      <w:r>
        <w:t xml:space="preserve"> </w:t>
      </w:r>
      <w:r>
        <w:t xml:space="preserve">edge-specific evidence.</w:t>
      </w:r>
    </w:p>
    <w:bookmarkEnd w:id="55"/>
    <w:bookmarkStart w:id="56" w:name="Xfcac5a3566e0a4d20a16e59935d7758d29a3d90"/>
    <w:p>
      <w:pPr>
        <w:pStyle w:val="Heading3"/>
      </w:pPr>
      <w:r>
        <w:t xml:space="preserve">Adult terminal erythroid external validation</w:t>
      </w:r>
    </w:p>
    <w:p>
      <w:pPr>
        <w:pStyle w:val="FirstParagraph"/>
      </w:pPr>
      <w:r>
        <w:t xml:space="preserve">Processed ATAC peaks and counts were downloaded from GSE115672 and RNA counts</w:t>
      </w:r>
      <w:r>
        <w:t xml:space="preserve"> </w:t>
      </w:r>
      <w:r>
        <w:t xml:space="preserve">from GSE115678 [13]. Sample names encoded donor, population and replicate. Frozen</w:t>
      </w:r>
      <w:r>
        <w:t xml:space="preserve"> </w:t>
      </w:r>
      <w:r>
        <w:t xml:space="preserve">GRCh38 intervals were mapped to hg19 with the UCSC hg38-to-hg19 chain; both</w:t>
      </w:r>
      <w:r>
        <w:t xml:space="preserve"> </w:t>
      </w:r>
      <w:r>
        <w:t xml:space="preserve">interval endpoints had to map compatibly, and a direct overlap with a Ludwig</w:t>
      </w:r>
      <w:r>
        <w:t xml:space="preserve"> </w:t>
      </w:r>
      <w:r>
        <w:t xml:space="preserve">ATAC peak was required. Counts were converted to log2(CPM+0.5).</w:t>
      </w:r>
    </w:p>
    <w:p>
      <w:pPr>
        <w:pStyle w:val="BodyText"/>
      </w:pPr>
      <w:r>
        <w:t xml:space="preserve">Population means followed P1–P8. For ATAC or RNA, activation was the earliest</w:t>
      </w:r>
      <w:r>
        <w:t xml:space="preserve"> </w:t>
      </w:r>
      <w:r>
        <w:t xml:space="preserve">post-P1 population reaching 50% of the feature's increase from P1 to its</w:t>
      </w:r>
      <w:r>
        <w:t xml:space="preserve"> </w:t>
      </w:r>
      <w:r>
        <w:t xml:space="preserve">maximum, conditional on ≥1.0 log2-CPM dynamic range. Within each population,</w:t>
      </w:r>
      <w:r>
        <w:t xml:space="preserve"> </w:t>
      </w:r>
      <w:r>
        <w:t xml:space="preserve">libraries were resampled with replacement 1,000 times. A peak passed when ATAC</w:t>
      </w:r>
      <w:r>
        <w:t xml:space="preserve"> </w:t>
      </w:r>
      <w:r>
        <w:t xml:space="preserve">activation preceded RNA by at least one population in the point estimate and in</w:t>
      </w:r>
      <w:r>
        <w:t xml:space="preserve"> </w:t>
      </w:r>
      <w:r>
        <w:t xml:space="preserve">≥80% of bootstrap draws. An edge passed if any frozen E2 peak passed. Fisher's</w:t>
      </w:r>
      <w:r>
        <w:t xml:space="preserve"> </w:t>
      </w:r>
      <w:r>
        <w:t xml:space="preserve">exact tests compared E2 and linked non-E2 sets; the edge-level test was primary</w:t>
      </w:r>
      <w:r>
        <w:t xml:space="preserve"> </w:t>
      </w:r>
      <w:r>
        <w:t xml:space="preserve">because multiple peaks assigned to one target are dependent.</w:t>
      </w:r>
    </w:p>
    <w:bookmarkEnd w:id="56"/>
    <w:bookmarkEnd w:id="57"/>
    <w:bookmarkStart w:id="58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analysis code, frozen configuration, unit tests, compact result tables and</w:t>
      </w:r>
      <w:r>
        <w:t xml:space="preserve"> </w:t>
      </w:r>
      <w:r>
        <w:t xml:space="preserve">figures are provided in the accompanying GitHub repository. Raw GSE274113 10x</w:t>
      </w:r>
      <w:r>
        <w:t xml:space="preserve"> </w:t>
      </w:r>
      <w:r>
        <w:t xml:space="preserve">matrices are not redistributed. The repository documents source accessions and</w:t>
      </w:r>
      <w:r>
        <w:t xml:space="preserve"> </w:t>
      </w:r>
      <w:r>
        <w:t xml:space="preserve">expected paths for GSE274113, E-MTAB-9067/E-MTAB-9068, GSE115672 and GSE115678.</w:t>
      </w:r>
      <w:r>
        <w:t xml:space="preserve"> </w:t>
      </w:r>
      <w:r>
        <w:t xml:space="preserve">The official Perturb-multiome and Ranzoni analysis repositories are linked in the</w:t>
      </w:r>
      <w:r>
        <w:t xml:space="preserve"> </w:t>
      </w:r>
      <w:r>
        <w:t xml:space="preserve">data manifest. A permanent archival DOI should be generated before submission.</w:t>
      </w:r>
    </w:p>
    <w:bookmarkEnd w:id="58"/>
    <w:bookmarkStart w:id="5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independent computational re-analysis used public datasets generated by</w:t>
      </w:r>
      <w:r>
        <w:t xml:space="preserve"> </w:t>
      </w:r>
      <w:r>
        <w:t xml:space="preserve">the Martin-Rufino, Ranzoni and Ludwig studies. The author thanks the original</w:t>
      </w:r>
      <w:r>
        <w:t xml:space="preserve"> </w:t>
      </w:r>
      <w:r>
        <w:t xml:space="preserve">study participants, experimental teams and data maintainers. Additional</w:t>
      </w:r>
      <w:r>
        <w:t xml:space="preserve"> </w:t>
      </w:r>
      <w:r>
        <w:t xml:space="preserve">scientific and supervisory acknowledgements should be confirmed before</w:t>
      </w:r>
      <w:r>
        <w:t xml:space="preserve"> </w:t>
      </w:r>
      <w:r>
        <w:t xml:space="preserve">submission.</w:t>
      </w:r>
    </w:p>
    <w:bookmarkEnd w:id="59"/>
    <w:bookmarkStart w:id="60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Y.T. conceived the re-analysis, implemented the computational workflow,</w:t>
      </w:r>
      <w:r>
        <w:t xml:space="preserve"> </w:t>
      </w:r>
      <w:r>
        <w:t xml:space="preserve">analysed the data, interpreted the results and drafted the manuscript. This</w:t>
      </w:r>
      <w:r>
        <w:t xml:space="preserve"> </w:t>
      </w:r>
      <w:r>
        <w:t xml:space="preserve">statement should be revised if collaborators contribute to subsequent versions.</w:t>
      </w:r>
    </w:p>
    <w:bookmarkEnd w:id="60"/>
    <w:bookmarkStart w:id="61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61"/>
    <w:bookmarkStart w:id="79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1"/>
        </w:numPr>
        <w:pStyle w:val="Compact"/>
      </w:pPr>
      <w:r>
        <w:t xml:space="preserve">Aibar, S.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SCENIC: single-cell regulatory network inference and clustering.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rPr>
          <w:bCs/>
          <w:b/>
        </w:rPr>
        <w:t xml:space="preserve">14</w:t>
      </w:r>
      <w:r>
        <w:t xml:space="preserve">, 1083–1086 (2017).</w:t>
      </w:r>
      <w:r>
        <w:t xml:space="preserve"> </w:t>
      </w:r>
      <w:hyperlink r:id="rId62">
        <w:r>
          <w:rPr>
            <w:rStyle w:val="Hyperlink"/>
          </w:rPr>
          <w:t xml:space="preserve">https://doi.org/10.1038/nmeth.4463</w:t>
        </w:r>
      </w:hyperlink>
    </w:p>
    <w:p>
      <w:pPr>
        <w:numPr>
          <w:ilvl w:val="0"/>
          <w:numId w:val="1001"/>
        </w:numPr>
        <w:pStyle w:val="Compact"/>
      </w:pPr>
      <w:r>
        <w:t xml:space="preserve">Moerman, T.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GRNBoost2 and Arboreto: efficient and scalable inference of gene regulatory networks.</w:t>
      </w:r>
      <w:r>
        <w:t xml:space="preserve"> </w:t>
      </w:r>
      <w:r>
        <w:rPr>
          <w:iCs/>
          <w:i/>
        </w:rPr>
        <w:t xml:space="preserve">Bioinformatics</w:t>
      </w:r>
      <w:r>
        <w:t xml:space="preserve"> </w:t>
      </w:r>
      <w:r>
        <w:rPr>
          <w:bCs/>
          <w:b/>
        </w:rPr>
        <w:t xml:space="preserve">35</w:t>
      </w:r>
      <w:r>
        <w:t xml:space="preserve">, 2159–2161 (2019).</w:t>
      </w:r>
      <w:r>
        <w:t xml:space="preserve"> </w:t>
      </w:r>
      <w:hyperlink r:id="rId63">
        <w:r>
          <w:rPr>
            <w:rStyle w:val="Hyperlink"/>
          </w:rPr>
          <w:t xml:space="preserve">https://doi.org/10.1093/bioinformatics/bty916</w:t>
        </w:r>
      </w:hyperlink>
    </w:p>
    <w:p>
      <w:pPr>
        <w:numPr>
          <w:ilvl w:val="0"/>
          <w:numId w:val="1001"/>
        </w:numPr>
        <w:pStyle w:val="Compact"/>
      </w:pPr>
      <w:r>
        <w:t xml:space="preserve">Huynh-Thu, V. A., Irrthum, A., Wehenkel, L. &amp; Geurts, P. Inferring regulatory networks from expression data using tree-based methods.</w:t>
      </w:r>
      <w:r>
        <w:t xml:space="preserve"> </w:t>
      </w:r>
      <w:r>
        <w:rPr>
          <w:iCs/>
          <w:i/>
        </w:rPr>
        <w:t xml:space="preserve">PLoS ONE</w:t>
      </w:r>
      <w:r>
        <w:t xml:space="preserve"> </w:t>
      </w:r>
      <w:r>
        <w:rPr>
          <w:bCs/>
          <w:b/>
        </w:rPr>
        <w:t xml:space="preserve">5</w:t>
      </w:r>
      <w:r>
        <w:t xml:space="preserve">, e12776 (2010).</w:t>
      </w:r>
      <w:r>
        <w:t xml:space="preserve"> </w:t>
      </w:r>
      <w:hyperlink r:id="rId64">
        <w:r>
          <w:rPr>
            <w:rStyle w:val="Hyperlink"/>
          </w:rPr>
          <w:t xml:space="preserve">https://doi.org/10.1371/journal.pone.0012776</w:t>
        </w:r>
      </w:hyperlink>
    </w:p>
    <w:p>
      <w:pPr>
        <w:numPr>
          <w:ilvl w:val="0"/>
          <w:numId w:val="1001"/>
        </w:numPr>
        <w:pStyle w:val="Compact"/>
      </w:pPr>
      <w:r>
        <w:t xml:space="preserve">Bravo González-Blas, C.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SCENIC+: single-cell multiomic inference of enhancers and gene regulatory networks.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rPr>
          <w:bCs/>
          <w:b/>
        </w:rPr>
        <w:t xml:space="preserve">20</w:t>
      </w:r>
      <w:r>
        <w:t xml:space="preserve">, 1355–1367 (2023).</w:t>
      </w:r>
      <w:r>
        <w:t xml:space="preserve"> </w:t>
      </w:r>
      <w:hyperlink r:id="rId65">
        <w:r>
          <w:rPr>
            <w:rStyle w:val="Hyperlink"/>
          </w:rPr>
          <w:t xml:space="preserve">https://doi.org/10.1038/s41592-023-01938-4</w:t>
        </w:r>
      </w:hyperlink>
    </w:p>
    <w:p>
      <w:pPr>
        <w:numPr>
          <w:ilvl w:val="0"/>
          <w:numId w:val="1001"/>
        </w:numPr>
        <w:pStyle w:val="Compact"/>
      </w:pPr>
      <w:r>
        <w:t xml:space="preserve">Wang, L.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Dictys: dynamic gene regulatory network dissects developmental continuum with single-cell multiomics.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rPr>
          <w:bCs/>
          <w:b/>
        </w:rPr>
        <w:t xml:space="preserve">20</w:t>
      </w:r>
      <w:r>
        <w:t xml:space="preserve">, 1368–1378 (2023).</w:t>
      </w:r>
      <w:r>
        <w:t xml:space="preserve"> </w:t>
      </w:r>
      <w:hyperlink r:id="rId66">
        <w:r>
          <w:rPr>
            <w:rStyle w:val="Hyperlink"/>
          </w:rPr>
          <w:t xml:space="preserve">https://doi.org/10.1038/s41592-023-01971-3</w:t>
        </w:r>
      </w:hyperlink>
    </w:p>
    <w:p>
      <w:pPr>
        <w:numPr>
          <w:ilvl w:val="0"/>
          <w:numId w:val="1001"/>
        </w:numPr>
        <w:pStyle w:val="Compact"/>
      </w:pPr>
      <w:r>
        <w:t xml:space="preserve">Dixit, A.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Perturb-Seq: dissecting molecular circuits with scalable single-cell RNA profiling of pooled genetic screens.</w:t>
      </w:r>
      <w:r>
        <w:t xml:space="preserve"> </w:t>
      </w:r>
      <w:r>
        <w:rPr>
          <w:iCs/>
          <w:i/>
        </w:rPr>
        <w:t xml:space="preserve">Cell</w:t>
      </w:r>
      <w:r>
        <w:t xml:space="preserve"> </w:t>
      </w:r>
      <w:r>
        <w:rPr>
          <w:bCs/>
          <w:b/>
        </w:rPr>
        <w:t xml:space="preserve">167</w:t>
      </w:r>
      <w:r>
        <w:t xml:space="preserve">, 1853–1866.e17 (2016).</w:t>
      </w:r>
      <w:r>
        <w:t xml:space="preserve"> </w:t>
      </w:r>
      <w:hyperlink r:id="rId67">
        <w:r>
          <w:rPr>
            <w:rStyle w:val="Hyperlink"/>
          </w:rPr>
          <w:t xml:space="preserve">https://doi.org/10.1016/j.cell.2016.11.038</w:t>
        </w:r>
      </w:hyperlink>
    </w:p>
    <w:p>
      <w:pPr>
        <w:numPr>
          <w:ilvl w:val="0"/>
          <w:numId w:val="1001"/>
        </w:numPr>
        <w:pStyle w:val="Compact"/>
      </w:pPr>
      <w:r>
        <w:t xml:space="preserve">Adamson, B.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A multiplexed single-cell CRISPR screening platform enables systematic dissection of the unfolded protein response.</w:t>
      </w:r>
      <w:r>
        <w:t xml:space="preserve"> </w:t>
      </w:r>
      <w:r>
        <w:rPr>
          <w:iCs/>
          <w:i/>
        </w:rPr>
        <w:t xml:space="preserve">Cell</w:t>
      </w:r>
      <w:r>
        <w:t xml:space="preserve"> </w:t>
      </w:r>
      <w:r>
        <w:rPr>
          <w:bCs/>
          <w:b/>
        </w:rPr>
        <w:t xml:space="preserve">167</w:t>
      </w:r>
      <w:r>
        <w:t xml:space="preserve">, 1867–1882.e21 (2016).</w:t>
      </w:r>
      <w:r>
        <w:t xml:space="preserve"> </w:t>
      </w:r>
      <w:hyperlink r:id="rId68">
        <w:r>
          <w:rPr>
            <w:rStyle w:val="Hyperlink"/>
          </w:rPr>
          <w:t xml:space="preserve">https://doi.org/10.1016/j.cell.2016.11.048</w:t>
        </w:r>
      </w:hyperlink>
    </w:p>
    <w:p>
      <w:pPr>
        <w:numPr>
          <w:ilvl w:val="0"/>
          <w:numId w:val="1001"/>
        </w:numPr>
        <w:pStyle w:val="Compact"/>
      </w:pPr>
      <w:r>
        <w:t xml:space="preserve">Replogle, J. M.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Combinatorial single-cell CRISPR screens by direct guide RNA capture and targeted sequencing.</w:t>
      </w:r>
      <w:r>
        <w:t xml:space="preserve"> </w:t>
      </w:r>
      <w:r>
        <w:rPr>
          <w:iCs/>
          <w:i/>
        </w:rPr>
        <w:t xml:space="preserve">Nature Biotechnology</w:t>
      </w:r>
      <w:r>
        <w:t xml:space="preserve"> </w:t>
      </w:r>
      <w:r>
        <w:rPr>
          <w:bCs/>
          <w:b/>
        </w:rPr>
        <w:t xml:space="preserve">38</w:t>
      </w:r>
      <w:r>
        <w:t xml:space="preserve">, 954–961 (2020).</w:t>
      </w:r>
      <w:r>
        <w:t xml:space="preserve"> </w:t>
      </w:r>
      <w:hyperlink r:id="rId69">
        <w:r>
          <w:rPr>
            <w:rStyle w:val="Hyperlink"/>
          </w:rPr>
          <w:t xml:space="preserve">https://doi.org/10.1038/s41587-020-0470-y</w:t>
        </w:r>
      </w:hyperlink>
    </w:p>
    <w:p>
      <w:pPr>
        <w:numPr>
          <w:ilvl w:val="0"/>
          <w:numId w:val="1001"/>
        </w:numPr>
        <w:pStyle w:val="Compact"/>
      </w:pPr>
      <w:r>
        <w:t xml:space="preserve">Rubin, A. J.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Coupled single-cell CRISPR screening and epigenomic profiling reveals causal gene regulatory networks.</w:t>
      </w:r>
      <w:r>
        <w:t xml:space="preserve"> </w:t>
      </w:r>
      <w:r>
        <w:rPr>
          <w:iCs/>
          <w:i/>
        </w:rPr>
        <w:t xml:space="preserve">Cell</w:t>
      </w:r>
      <w:r>
        <w:t xml:space="preserve"> </w:t>
      </w:r>
      <w:r>
        <w:rPr>
          <w:bCs/>
          <w:b/>
        </w:rPr>
        <w:t xml:space="preserve">176</w:t>
      </w:r>
      <w:r>
        <w:t xml:space="preserve">, 361–376.e17 (2019).</w:t>
      </w:r>
      <w:r>
        <w:t xml:space="preserve"> </w:t>
      </w:r>
      <w:hyperlink r:id="rId70">
        <w:r>
          <w:rPr>
            <w:rStyle w:val="Hyperlink"/>
          </w:rPr>
          <w:t xml:space="preserve">https://doi.org/10.1016/j.cell.2018.11.022</w:t>
        </w:r>
      </w:hyperlink>
    </w:p>
    <w:p>
      <w:pPr>
        <w:numPr>
          <w:ilvl w:val="0"/>
          <w:numId w:val="1001"/>
        </w:numPr>
        <w:pStyle w:val="Compact"/>
      </w:pPr>
      <w:r>
        <w:t xml:space="preserve">Schep, A. N., Wu, B., Buenrostro, J. D. &amp; Greenleaf, W. J. chromVAR: inferring transcription-factor-associated accessibility from single-cell epigenomic data.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rPr>
          <w:bCs/>
          <w:b/>
        </w:rPr>
        <w:t xml:space="preserve">14</w:t>
      </w:r>
      <w:r>
        <w:t xml:space="preserve">, 975–978 (2017).</w:t>
      </w:r>
      <w:r>
        <w:t xml:space="preserve"> </w:t>
      </w:r>
      <w:hyperlink r:id="rId71">
        <w:r>
          <w:rPr>
            <w:rStyle w:val="Hyperlink"/>
          </w:rPr>
          <w:t xml:space="preserve">https://doi.org/10.1038/nmeth.4401</w:t>
        </w:r>
      </w:hyperlink>
    </w:p>
    <w:p>
      <w:pPr>
        <w:numPr>
          <w:ilvl w:val="0"/>
          <w:numId w:val="1001"/>
        </w:numPr>
        <w:pStyle w:val="Compact"/>
      </w:pPr>
      <w:r>
        <w:t xml:space="preserve">Martin-Rufino, J. D.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Transcription factor networks disproportionately enrich for heritability of blood cell phenotypes.</w:t>
      </w:r>
      <w:r>
        <w:t xml:space="preserve"> </w:t>
      </w:r>
      <w:r>
        <w:rPr>
          <w:iCs/>
          <w:i/>
        </w:rPr>
        <w:t xml:space="preserve">Science</w:t>
      </w:r>
      <w:r>
        <w:t xml:space="preserve"> </w:t>
      </w:r>
      <w:r>
        <w:t xml:space="preserve">(2025).</w:t>
      </w:r>
      <w:r>
        <w:t xml:space="preserve"> </w:t>
      </w:r>
      <w:hyperlink r:id="rId72">
        <w:r>
          <w:rPr>
            <w:rStyle w:val="Hyperlink"/>
          </w:rPr>
          <w:t xml:space="preserve">https://doi.org/10.1126/science.ads7951</w:t>
        </w:r>
      </w:hyperlink>
    </w:p>
    <w:p>
      <w:pPr>
        <w:numPr>
          <w:ilvl w:val="0"/>
          <w:numId w:val="1001"/>
        </w:numPr>
        <w:pStyle w:val="Compact"/>
      </w:pPr>
      <w:r>
        <w:t xml:space="preserve">Ranzoni, A. M.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Integrative single-cell RNA-seq and ATAC-seq analysis of human developmental hematopoiesis.</w:t>
      </w:r>
      <w:r>
        <w:t xml:space="preserve"> </w:t>
      </w:r>
      <w:r>
        <w:rPr>
          <w:iCs/>
          <w:i/>
        </w:rPr>
        <w:t xml:space="preserve">Cell Stem Cell</w:t>
      </w:r>
      <w:r>
        <w:t xml:space="preserve"> </w:t>
      </w:r>
      <w:r>
        <w:rPr>
          <w:bCs/>
          <w:b/>
        </w:rPr>
        <w:t xml:space="preserve">28</w:t>
      </w:r>
      <w:r>
        <w:t xml:space="preserve">, 472–487.e7 (2021).</w:t>
      </w:r>
      <w:r>
        <w:t xml:space="preserve"> </w:t>
      </w:r>
      <w:hyperlink r:id="rId73">
        <w:r>
          <w:rPr>
            <w:rStyle w:val="Hyperlink"/>
          </w:rPr>
          <w:t xml:space="preserve">https://doi.org/10.1016/j.stem.2020.11.015</w:t>
        </w:r>
      </w:hyperlink>
    </w:p>
    <w:p>
      <w:pPr>
        <w:numPr>
          <w:ilvl w:val="0"/>
          <w:numId w:val="1001"/>
        </w:numPr>
        <w:pStyle w:val="Compact"/>
      </w:pPr>
      <w:r>
        <w:t xml:space="preserve">Ludwig, L. S.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Transcriptional states and chromatin accessibility underlying human erythropoiesis.</w:t>
      </w:r>
      <w:r>
        <w:t xml:space="preserve"> </w:t>
      </w:r>
      <w:r>
        <w:rPr>
          <w:iCs/>
          <w:i/>
        </w:rPr>
        <w:t xml:space="preserve">Cell Reports</w:t>
      </w:r>
      <w:r>
        <w:t xml:space="preserve"> </w:t>
      </w:r>
      <w:r>
        <w:rPr>
          <w:bCs/>
          <w:b/>
        </w:rPr>
        <w:t xml:space="preserve">27</w:t>
      </w:r>
      <w:r>
        <w:t xml:space="preserve">, 3228–3240.e7 (2019).</w:t>
      </w:r>
      <w:r>
        <w:t xml:space="preserve"> </w:t>
      </w:r>
      <w:hyperlink r:id="rId74">
        <w:r>
          <w:rPr>
            <w:rStyle w:val="Hyperlink"/>
          </w:rPr>
          <w:t xml:space="preserve">https://doi.org/10.1016/j.celrep.2019.05.046</w:t>
        </w:r>
      </w:hyperlink>
    </w:p>
    <w:p>
      <w:pPr>
        <w:numPr>
          <w:ilvl w:val="0"/>
          <w:numId w:val="1001"/>
        </w:numPr>
        <w:pStyle w:val="Compact"/>
      </w:pPr>
      <w:r>
        <w:t xml:space="preserve">Rauluseviciute, I.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JASPAR 2024: 20th anniversary of the open-access database of transcription factor binding profiles.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 </w:t>
      </w:r>
      <w:r>
        <w:rPr>
          <w:bCs/>
          <w:b/>
        </w:rPr>
        <w:t xml:space="preserve">52</w:t>
      </w:r>
      <w:r>
        <w:t xml:space="preserve">, D174–D182 (2024).</w:t>
      </w:r>
      <w:r>
        <w:t xml:space="preserve"> </w:t>
      </w:r>
      <w:hyperlink r:id="rId75">
        <w:r>
          <w:rPr>
            <w:rStyle w:val="Hyperlink"/>
          </w:rPr>
          <w:t xml:space="preserve">https://doi.org/10.1093/nar/gkad1059</w:t>
        </w:r>
      </w:hyperlink>
    </w:p>
    <w:p>
      <w:pPr>
        <w:numPr>
          <w:ilvl w:val="0"/>
          <w:numId w:val="1001"/>
        </w:numPr>
        <w:pStyle w:val="Compact"/>
      </w:pPr>
      <w:r>
        <w:t xml:space="preserve">Benjamini, Y. &amp; Hochberg, Y. Controlling the false discovery rate: a practical and powerful approach to multiple testing.</w:t>
      </w:r>
      <w:r>
        <w:t xml:space="preserve"> </w:t>
      </w:r>
      <w:r>
        <w:rPr>
          <w:iCs/>
          <w:i/>
        </w:rPr>
        <w:t xml:space="preserve">Journal of the Royal Statistical Society Series B</w:t>
      </w:r>
      <w:r>
        <w:t xml:space="preserve"> </w:t>
      </w:r>
      <w:r>
        <w:rPr>
          <w:bCs/>
          <w:b/>
        </w:rPr>
        <w:t xml:space="preserve">57</w:t>
      </w:r>
      <w:r>
        <w:t xml:space="preserve">, 289–300 (1995).</w:t>
      </w:r>
      <w:r>
        <w:t xml:space="preserve"> </w:t>
      </w:r>
      <w:hyperlink r:id="rId76">
        <w:r>
          <w:rPr>
            <w:rStyle w:val="Hyperlink"/>
          </w:rPr>
          <w:t xml:space="preserve">https://doi.org/10.1111/j.2517-6161.1995.tb02031.x</w:t>
        </w:r>
      </w:hyperlink>
    </w:p>
    <w:p>
      <w:pPr>
        <w:numPr>
          <w:ilvl w:val="0"/>
          <w:numId w:val="1001"/>
        </w:numPr>
        <w:pStyle w:val="Compact"/>
      </w:pPr>
      <w:r>
        <w:t xml:space="preserve">Wolf, F. A., Angerer, P. &amp; Theis, F. J. SCANPY: large-scale single-cell gene expression data analysis.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rPr>
          <w:bCs/>
          <w:b/>
        </w:rPr>
        <w:t xml:space="preserve">19</w:t>
      </w:r>
      <w:r>
        <w:t xml:space="preserve">, 15 (2018).</w:t>
      </w:r>
      <w:r>
        <w:t xml:space="preserve"> </w:t>
      </w:r>
      <w:hyperlink r:id="rId77">
        <w:r>
          <w:rPr>
            <w:rStyle w:val="Hyperlink"/>
          </w:rPr>
          <w:t xml:space="preserve">https://doi.org/10.1186/s13059-017-1382-0</w:t>
        </w:r>
      </w:hyperlink>
    </w:p>
    <w:p>
      <w:pPr>
        <w:numPr>
          <w:ilvl w:val="0"/>
          <w:numId w:val="1001"/>
        </w:numPr>
        <w:pStyle w:val="Compact"/>
      </w:pPr>
      <w:r>
        <w:t xml:space="preserve">Wolf, F. A.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PAGA: graph abstraction reconciles clustering with trajectory inference through a topology preserving map of single cells.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rPr>
          <w:bCs/>
          <w:b/>
        </w:rPr>
        <w:t xml:space="preserve">20</w:t>
      </w:r>
      <w:r>
        <w:t xml:space="preserve">, 59 (2019).</w:t>
      </w:r>
      <w:r>
        <w:t xml:space="preserve"> </w:t>
      </w:r>
      <w:hyperlink r:id="rId78">
        <w:r>
          <w:rPr>
            <w:rStyle w:val="Hyperlink"/>
          </w:rPr>
          <w:t xml:space="preserve">https://doi.org/10.1186/s13059-019-1663-x</w:t>
        </w:r>
      </w:hyperlink>
    </w:p>
    <w:bookmarkEnd w:id="79"/>
    <w:bookmarkStart w:id="80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rPr>
          <w:bCs/>
          <w:b/>
        </w:rPr>
        <w:t xml:space="preserve">Figure 1 | Staged study design.</w:t>
      </w:r>
      <w:r>
        <w:t xml:space="preserve"> </w:t>
      </w:r>
      <w:r>
        <w:t xml:space="preserve">Observational TF–target edges were inferred</w:t>
      </w:r>
      <w:r>
        <w:t xml:space="preserve"> </w:t>
      </w:r>
      <w:r>
        <w:t xml:space="preserve">from non-targeting cells, challenged with CRISPR intervention, stratified by</w:t>
      </w:r>
      <w:r>
        <w:t xml:space="preserve"> </w:t>
      </w:r>
      <w:r>
        <w:t xml:space="preserve">collection time and erythroid state, connected to local chromatin elements, and</w:t>
      </w:r>
      <w:r>
        <w:t xml:space="preserve"> </w:t>
      </w:r>
      <w:r>
        <w:t xml:space="preserve">then evaluated for temporal transport in independent differentiation data.</w:t>
      </w:r>
      <w:r>
        <w:t xml:space="preserve"> </w:t>
      </w:r>
      <w:r>
        <w:t xml:space="preserve">Numbers summarize the principal evidence retained at each stage and should not</w:t>
      </w:r>
      <w:r>
        <w:t xml:space="preserve"> </w:t>
      </w:r>
      <w:r>
        <w:t xml:space="preserve">be interpreted as a single entity-level attrition funnel.</w:t>
      </w:r>
    </w:p>
    <w:p>
      <w:pPr>
        <w:pStyle w:val="BodyText"/>
      </w:pPr>
      <w:r>
        <w:rPr>
          <w:bCs/>
          <w:b/>
        </w:rPr>
        <w:t xml:space="preserve">Figure 2 | Observational confidence, strict intervention support, and</w:t>
      </w:r>
      <w:r>
        <w:rPr>
          <w:bCs/>
          <w:b/>
        </w:rPr>
        <w:t xml:space="preserve"> </w:t>
      </w:r>
      <w:r>
        <w:rPr>
          <w:bCs/>
          <w:b/>
        </w:rPr>
        <w:t xml:space="preserve">developmental context.</w:t>
      </w:r>
      <w:r>
        <w:t xml:space="preserve"> </w:t>
      </w:r>
      <w:r>
        <w:t xml:space="preserve">(A) Matched-null enrichment for effect-size-qualified</w:t>
      </w:r>
      <w:r>
        <w:t xml:space="preserve"> </w:t>
      </w:r>
      <w:r>
        <w:t xml:space="preserve">published intervention support among the top 1% of each observational ranking.</w:t>
      </w:r>
      <w:r>
        <w:t xml:space="preserve"> </w:t>
      </w:r>
      <w:r>
        <w:t xml:space="preserve">(B) Fraction of stable E0 edges with perturbation-by-collection-time interaction</w:t>
      </w:r>
      <w:r>
        <w:t xml:space="preserve"> </w:t>
      </w:r>
      <w:r>
        <w:t xml:space="preserve">FDR&lt;0.05 for each TF. (C) Number of strict late-erythroid E1 edges and the subset</w:t>
      </w:r>
      <w:r>
        <w:t xml:space="preserve"> </w:t>
      </w:r>
      <w:r>
        <w:t xml:space="preserve">directionally concordant with TF loss. (D) Time-dependent E0 edges separated by</w:t>
      </w:r>
      <w:r>
        <w:t xml:space="preserve"> </w:t>
      </w:r>
      <w:r>
        <w:t xml:space="preserve">whether the strongest effect coincided with a supported perturbation-induced</w:t>
      </w:r>
      <w:r>
        <w:t xml:space="preserve"> </w:t>
      </w:r>
      <w:r>
        <w:t xml:space="preserve">shift along the controls-defined differentiation axis.</w:t>
      </w:r>
    </w:p>
    <w:p>
      <w:pPr>
        <w:pStyle w:val="BodyText"/>
      </w:pPr>
      <w:r>
        <w:rPr>
          <w:bCs/>
          <w:b/>
        </w:rPr>
        <w:t xml:space="preserve">Figure 3 | Baseline accessibility does not behave as a simple permissive</w:t>
      </w:r>
      <w:r>
        <w:rPr>
          <w:bCs/>
          <w:b/>
        </w:rPr>
        <w:t xml:space="preserve"> </w:t>
      </w:r>
      <w:r>
        <w:rPr>
          <w:bCs/>
          <w:b/>
        </w:rPr>
        <w:t xml:space="preserve">gate.</w:t>
      </w:r>
      <w:r>
        <w:t xml:space="preserve"> </w:t>
      </w:r>
      <w:r>
        <w:t xml:space="preserve">Control accessibility and absolute GATA1 perturbation effects on ATAC and</w:t>
      </w:r>
      <w:r>
        <w:t xml:space="preserve"> </w:t>
      </w:r>
      <w:r>
        <w:t xml:space="preserve">RNA are shown across days 7–14 for the</w:t>
      </w:r>
      <w:r>
        <w:t xml:space="preserve"> </w:t>
      </w:r>
      <w:r>
        <w:rPr>
          <w:iCs/>
          <w:i/>
        </w:rPr>
        <w:t xml:space="preserve">CPEB4</w:t>
      </w:r>
      <w:r>
        <w:t xml:space="preserve"> </w:t>
      </w:r>
      <w:r>
        <w:t xml:space="preserve">positive-control E2 peak, a</w:t>
      </w:r>
      <w:r>
        <w:t xml:space="preserve"> </w:t>
      </w:r>
      <w:r>
        <w:rPr>
          <w:iCs/>
          <w:i/>
        </w:rPr>
        <w:t xml:space="preserve">SLC25A37</w:t>
      </w:r>
      <w:r>
        <w:t xml:space="preserve"> </w:t>
      </w:r>
      <w:r>
        <w:t xml:space="preserve">E2 peak, and the linked but non-E2</w:t>
      </w:r>
      <w:r>
        <w:t xml:space="preserve"> </w:t>
      </w:r>
      <w:r>
        <w:rPr>
          <w:iCs/>
          <w:i/>
        </w:rPr>
        <w:t xml:space="preserve">OSBP2</w:t>
      </w:r>
      <w:r>
        <w:t xml:space="preserve"> </w:t>
      </w:r>
      <w:r>
        <w:t xml:space="preserve">peak. Across E2 peaks,</w:t>
      </w:r>
      <w:r>
        <w:t xml:space="preserve"> </w:t>
      </w:r>
      <w:r>
        <w:t xml:space="preserve">accessibility increased as marginal perturbation effects attenuated.</w:t>
      </w:r>
    </w:p>
    <w:p>
      <w:pPr>
        <w:pStyle w:val="BodyText"/>
      </w:pPr>
      <w:r>
        <w:rPr>
          <w:bCs/>
          <w:b/>
        </w:rPr>
        <w:t xml:space="preserve">Figure 4 | Perturbation-sensitive GATA1 peaks precede target induction in</w:t>
      </w:r>
      <w:r>
        <w:rPr>
          <w:bCs/>
          <w:b/>
        </w:rPr>
        <w:t xml:space="preserve"> </w:t>
      </w:r>
      <w:r>
        <w:rPr>
          <w:bCs/>
          <w:b/>
        </w:rPr>
        <w:t xml:space="preserve">independent adult erythropoiesis.</w:t>
      </w:r>
      <w:r>
        <w:t xml:space="preserve"> </w:t>
      </w:r>
      <w:r>
        <w:t xml:space="preserve">Within-feature normalized ATAC and RNA</w:t>
      </w:r>
      <w:r>
        <w:t xml:space="preserve"> </w:t>
      </w:r>
      <w:r>
        <w:t xml:space="preserve">trajectories are shown across eight sorted populations for representative</w:t>
      </w:r>
      <w:r>
        <w:t xml:space="preserve"> </w:t>
      </w:r>
      <w:r>
        <w:rPr>
          <w:iCs/>
          <w:i/>
        </w:rPr>
        <w:t xml:space="preserve">ALAS2</w:t>
      </w:r>
      <w:r>
        <w:t xml:space="preserve">,</w:t>
      </w:r>
      <w:r>
        <w:t xml:space="preserve"> </w:t>
      </w:r>
      <w:r>
        <w:rPr>
          <w:iCs/>
          <w:i/>
        </w:rPr>
        <w:t xml:space="preserve">SLC25A37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CPEB4</w:t>
      </w:r>
      <w:r>
        <w:t xml:space="preserve"> </w:t>
      </w:r>
      <w:r>
        <w:t xml:space="preserve">E2 peaks. Dashed lines denote the prespecified</w:t>
      </w:r>
      <w:r>
        <w:t xml:space="preserve"> </w:t>
      </w:r>
      <w:r>
        <w:t xml:space="preserve">50% activation threshold. The final panel compares the proportion of frozen E2</w:t>
      </w:r>
      <w:r>
        <w:t xml:space="preserve"> </w:t>
      </w:r>
      <w:r>
        <w:t xml:space="preserve">and linked non-E2 peaks showing reproducible ATAC-before-RNA ordering.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hyperlink" Id="rId67" Target="https://doi.org/10.1016/j.cell.2016.11.038" TargetMode="External" /><Relationship Type="http://schemas.openxmlformats.org/officeDocument/2006/relationships/hyperlink" Id="rId68" Target="https://doi.org/10.1016/j.cell.2016.11.048" TargetMode="External" /><Relationship Type="http://schemas.openxmlformats.org/officeDocument/2006/relationships/hyperlink" Id="rId70" Target="https://doi.org/10.1016/j.cell.2018.11.022" TargetMode="External" /><Relationship Type="http://schemas.openxmlformats.org/officeDocument/2006/relationships/hyperlink" Id="rId74" Target="https://doi.org/10.1016/j.celrep.2019.05.046" TargetMode="External" /><Relationship Type="http://schemas.openxmlformats.org/officeDocument/2006/relationships/hyperlink" Id="rId73" Target="https://doi.org/10.1016/j.stem.2020.11.015" TargetMode="External" /><Relationship Type="http://schemas.openxmlformats.org/officeDocument/2006/relationships/hyperlink" Id="rId71" Target="https://doi.org/10.1038/nmeth.4401" TargetMode="External" /><Relationship Type="http://schemas.openxmlformats.org/officeDocument/2006/relationships/hyperlink" Id="rId62" Target="https://doi.org/10.1038/nmeth.4463" TargetMode="External" /><Relationship Type="http://schemas.openxmlformats.org/officeDocument/2006/relationships/hyperlink" Id="rId69" Target="https://doi.org/10.1038/s41587-020-0470-y" TargetMode="External" /><Relationship Type="http://schemas.openxmlformats.org/officeDocument/2006/relationships/hyperlink" Id="rId65" Target="https://doi.org/10.1038/s41592-023-01938-4" TargetMode="External" /><Relationship Type="http://schemas.openxmlformats.org/officeDocument/2006/relationships/hyperlink" Id="rId66" Target="https://doi.org/10.1038/s41592-023-01971-3" TargetMode="External" /><Relationship Type="http://schemas.openxmlformats.org/officeDocument/2006/relationships/hyperlink" Id="rId63" Target="https://doi.org/10.1093/bioinformatics/bty916" TargetMode="External" /><Relationship Type="http://schemas.openxmlformats.org/officeDocument/2006/relationships/hyperlink" Id="rId75" Target="https://doi.org/10.1093/nar/gkad1059" TargetMode="External" /><Relationship Type="http://schemas.openxmlformats.org/officeDocument/2006/relationships/hyperlink" Id="rId76" Target="https://doi.org/10.1111/j.2517-6161.1995.tb02031.x" TargetMode="External" /><Relationship Type="http://schemas.openxmlformats.org/officeDocument/2006/relationships/hyperlink" Id="rId72" Target="https://doi.org/10.1126/science.ads7951" TargetMode="External" /><Relationship Type="http://schemas.openxmlformats.org/officeDocument/2006/relationships/hyperlink" Id="rId77" Target="https://doi.org/10.1186/s13059-017-1382-0" TargetMode="External" /><Relationship Type="http://schemas.openxmlformats.org/officeDocument/2006/relationships/hyperlink" Id="rId78" Target="https://doi.org/10.1186/s13059-019-1663-x" TargetMode="External" /><Relationship Type="http://schemas.openxmlformats.org/officeDocument/2006/relationships/hyperlink" Id="rId64" Target="https://doi.org/10.1371/journal.pone.001277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16/j.cell.2016.11.038" TargetMode="External" /><Relationship Type="http://schemas.openxmlformats.org/officeDocument/2006/relationships/hyperlink" Id="rId68" Target="https://doi.org/10.1016/j.cell.2016.11.048" TargetMode="External" /><Relationship Type="http://schemas.openxmlformats.org/officeDocument/2006/relationships/hyperlink" Id="rId70" Target="https://doi.org/10.1016/j.cell.2018.11.022" TargetMode="External" /><Relationship Type="http://schemas.openxmlformats.org/officeDocument/2006/relationships/hyperlink" Id="rId74" Target="https://doi.org/10.1016/j.celrep.2019.05.046" TargetMode="External" /><Relationship Type="http://schemas.openxmlformats.org/officeDocument/2006/relationships/hyperlink" Id="rId73" Target="https://doi.org/10.1016/j.stem.2020.11.015" TargetMode="External" /><Relationship Type="http://schemas.openxmlformats.org/officeDocument/2006/relationships/hyperlink" Id="rId71" Target="https://doi.org/10.1038/nmeth.4401" TargetMode="External" /><Relationship Type="http://schemas.openxmlformats.org/officeDocument/2006/relationships/hyperlink" Id="rId62" Target="https://doi.org/10.1038/nmeth.4463" TargetMode="External" /><Relationship Type="http://schemas.openxmlformats.org/officeDocument/2006/relationships/hyperlink" Id="rId69" Target="https://doi.org/10.1038/s41587-020-0470-y" TargetMode="External" /><Relationship Type="http://schemas.openxmlformats.org/officeDocument/2006/relationships/hyperlink" Id="rId65" Target="https://doi.org/10.1038/s41592-023-01938-4" TargetMode="External" /><Relationship Type="http://schemas.openxmlformats.org/officeDocument/2006/relationships/hyperlink" Id="rId66" Target="https://doi.org/10.1038/s41592-023-01971-3" TargetMode="External" /><Relationship Type="http://schemas.openxmlformats.org/officeDocument/2006/relationships/hyperlink" Id="rId63" Target="https://doi.org/10.1093/bioinformatics/bty916" TargetMode="External" /><Relationship Type="http://schemas.openxmlformats.org/officeDocument/2006/relationships/hyperlink" Id="rId75" Target="https://doi.org/10.1093/nar/gkad1059" TargetMode="External" /><Relationship Type="http://schemas.openxmlformats.org/officeDocument/2006/relationships/hyperlink" Id="rId76" Target="https://doi.org/10.1111/j.2517-6161.1995.tb02031.x" TargetMode="External" /><Relationship Type="http://schemas.openxmlformats.org/officeDocument/2006/relationships/hyperlink" Id="rId72" Target="https://doi.org/10.1126/science.ads7951" TargetMode="External" /><Relationship Type="http://schemas.openxmlformats.org/officeDocument/2006/relationships/hyperlink" Id="rId77" Target="https://doi.org/10.1186/s13059-017-1382-0" TargetMode="External" /><Relationship Type="http://schemas.openxmlformats.org/officeDocument/2006/relationships/hyperlink" Id="rId78" Target="https://doi.org/10.1186/s13059-019-1663-x" TargetMode="External" /><Relationship Type="http://schemas.openxmlformats.org/officeDocument/2006/relationships/hyperlink" Id="rId64" Target="https://doi.org/10.1371/journal.pone.001277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2026-08-20T10:19:31Z</dcterms:created>
  <dcterms:modified xsi:type="dcterms:W3CDTF">2026-08-20T10:19:31Z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