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B9F4" w14:textId="3C54E2AE" w:rsidR="009D13BC" w:rsidRPr="009D13BC" w:rsidRDefault="009D13BC" w:rsidP="009D13B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36"/>
          <w:szCs w:val="36"/>
          <w:lang w:eastAsia="zh-CN"/>
          <w14:ligatures w14:val="none"/>
        </w:rPr>
        <w:t xml:space="preserve">A Multi-Disease Microbiome Diagnostic Framework Integrating Predictive </w:t>
      </w:r>
      <w:r w:rsidRPr="009D13BC">
        <w:rPr>
          <w:rFonts w:ascii="Calibri" w:eastAsia="Times New Roman" w:hAnsi="Calibri" w:cs="Calibri"/>
          <w:b/>
          <w:bCs/>
          <w:kern w:val="0"/>
          <w:sz w:val="36"/>
          <w:szCs w:val="36"/>
          <w:lang w:eastAsia="zh-CN"/>
          <w14:ligatures w14:val="none"/>
        </w:rPr>
        <w:t>Modelling</w:t>
      </w:r>
      <w:r w:rsidRPr="009D13BC">
        <w:rPr>
          <w:rFonts w:ascii="Calibri" w:eastAsia="Times New Roman" w:hAnsi="Calibri" w:cs="Calibri"/>
          <w:b/>
          <w:bCs/>
          <w:kern w:val="0"/>
          <w:sz w:val="36"/>
          <w:szCs w:val="36"/>
          <w:lang w:eastAsia="zh-CN"/>
          <w14:ligatures w14:val="none"/>
        </w:rPr>
        <w:t xml:space="preserve"> and Interpretable Index Construction</w:t>
      </w:r>
    </w:p>
    <w:p w14:paraId="39F3BDDE" w14:textId="0E1BE01C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  <w:t>Background</w:t>
      </w:r>
    </w:p>
    <w:p w14:paraId="56C7C7DC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The human gut microbiome has been widely associated with a range of diseases, including inflammatory, metabolic, and neurological disorders. However, microbiome-based disease prediction remains challenging due to high inter-study heterogeneity, overlapping microbial signatures across diseases, and limited interpretability of machine learning models.</w:t>
      </w:r>
    </w:p>
    <w:p w14:paraId="494B376F" w14:textId="05BC9460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Existing approaches typically focus on either statistical identification of differentially abundant taxa (e.g.,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LEfSe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) or predictive </w:t>
      </w: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modelling</w:t>
      </w: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. However, these methods often fail to simultaneously provide accurate prediction and biologically interpretable insights.</w:t>
      </w:r>
    </w:p>
    <w:p w14:paraId="32456BCE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</w:pPr>
    </w:p>
    <w:p w14:paraId="74725A0D" w14:textId="3D3EEE36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  <w:t>Objective</w:t>
      </w:r>
    </w:p>
    <w:p w14:paraId="61F5AB98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project aims to develop an integrated framework for microbiome-based disease diagnosis that combines:</w:t>
      </w:r>
    </w:p>
    <w:p w14:paraId="28C4BE43" w14:textId="0B255CF9" w:rsidR="009D13BC" w:rsidRPr="009D13BC" w:rsidRDefault="009D13BC" w:rsidP="009D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multi-class predictive </w:t>
      </w: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modelling</w:t>
      </w:r>
    </w:p>
    <w:p w14:paraId="1EC3D43A" w14:textId="77777777" w:rsidR="009D13BC" w:rsidRPr="009D13BC" w:rsidRDefault="009D13BC" w:rsidP="009D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robust biomarker identification</w:t>
      </w:r>
    </w:p>
    <w:p w14:paraId="59B17E46" w14:textId="77777777" w:rsidR="009D13BC" w:rsidRPr="009D13BC" w:rsidRDefault="009D13BC" w:rsidP="009D1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interpretable disease-specific microbiome indices</w:t>
      </w:r>
    </w:p>
    <w:p w14:paraId="09462F08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to improve both predictive performance and biological interpretability.</w:t>
      </w:r>
    </w:p>
    <w:p w14:paraId="74DF51FA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</w:pPr>
    </w:p>
    <w:p w14:paraId="28288123" w14:textId="558BF268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  <w:t>Methods</w:t>
      </w:r>
    </w:p>
    <w:p w14:paraId="34EEF601" w14:textId="77777777" w:rsidR="009D13BC" w:rsidRPr="009D13BC" w:rsidRDefault="009D13BC" w:rsidP="009D13BC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Data processing and feature construction</w:t>
      </w:r>
    </w:p>
    <w:p w14:paraId="4E60597B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 large-scale gut microbiome dataset was curated and filtered to retain disease-relevant samples across multiple phenotypes. Taxonomic abundance profiles were aggregated at the genus level, resulting in 14,855 samples and 1,420 taxa.</w:t>
      </w:r>
    </w:p>
    <w:p w14:paraId="6155AAB5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Feature filtering was performed using prevalence thresholds and log-transformation, reducing the feature space to 152 informative taxa.</w:t>
      </w:r>
    </w:p>
    <w:p w14:paraId="431B2704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</w:p>
    <w:p w14:paraId="6CBBF5D7" w14:textId="183BA44F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 xml:space="preserve">Predictive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modelling</w:t>
      </w:r>
    </w:p>
    <w:p w14:paraId="01D322E9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A multi-class classification model was trained using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LightGBM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to predict disease states across 12 phenotypes.</w:t>
      </w:r>
    </w:p>
    <w:p w14:paraId="1BEEE40B" w14:textId="77777777" w:rsidR="009D13BC" w:rsidRPr="009D13BC" w:rsidRDefault="009D13BC" w:rsidP="009D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Training samples: 11,884</w:t>
      </w:r>
    </w:p>
    <w:p w14:paraId="36AF3199" w14:textId="77777777" w:rsidR="009D13BC" w:rsidRPr="009D13BC" w:rsidRDefault="009D13BC" w:rsidP="009D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lastRenderedPageBreak/>
        <w:t>Test samples: 2,971</w:t>
      </w:r>
    </w:p>
    <w:p w14:paraId="7A0E7C84" w14:textId="77777777" w:rsidR="009D13BC" w:rsidRPr="009D13BC" w:rsidRDefault="009D13BC" w:rsidP="009D1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Accuracy: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0.737</w:t>
      </w:r>
    </w:p>
    <w:p w14:paraId="18CBCE2A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demonstrates strong predictive performance given the complexity of multi-disease classification.</w:t>
      </w:r>
    </w:p>
    <w:p w14:paraId="3A0AF6C2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</w:p>
    <w:p w14:paraId="655970E5" w14:textId="2D47E438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Biomarker identification</w:t>
      </w:r>
    </w:p>
    <w:p w14:paraId="334CFA0D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Disease-associated taxa were identified using two complementary approaches:</w:t>
      </w:r>
    </w:p>
    <w:p w14:paraId="2B219E0A" w14:textId="77777777" w:rsidR="009D13BC" w:rsidRPr="009D13BC" w:rsidRDefault="009D13BC" w:rsidP="009D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Model-derived feature importance</w:t>
      </w:r>
    </w:p>
    <w:p w14:paraId="43B8ACE4" w14:textId="77777777" w:rsidR="009D13BC" w:rsidRPr="009D13BC" w:rsidRDefault="009D13BC" w:rsidP="009D1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LEfSe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-based statistical markers</w:t>
      </w:r>
    </w:p>
    <w:p w14:paraId="1ECD76B4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These were intersected to obtain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high-confidence biomarkers</w:t>
      </w: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, ensuring both predictive relevance and statistical robustness.</w:t>
      </w:r>
    </w:p>
    <w:p w14:paraId="31FD211B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</w:p>
    <w:p w14:paraId="492CCEAD" w14:textId="1BA20742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Multi-disease microbiome index (MDMI)</w:t>
      </w:r>
    </w:p>
    <w:p w14:paraId="5701ABF9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 novel index-based framework was developed to capture disease-specific microbial signatures.</w:t>
      </w:r>
    </w:p>
    <w:p w14:paraId="762F4339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For each disease:</w:t>
      </w:r>
    </w:p>
    <w:p w14:paraId="0E32E4C3" w14:textId="77777777" w:rsidR="009D13BC" w:rsidRPr="009D13BC" w:rsidRDefault="009D13BC" w:rsidP="009D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top disease-enriched taxa and health-associated taxa were selected</w:t>
      </w:r>
    </w:p>
    <w:p w14:paraId="517EB47A" w14:textId="77777777" w:rsidR="009D13BC" w:rsidRPr="009D13BC" w:rsidRDefault="009D13BC" w:rsidP="009D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prevalence filtering ensured stability across samples</w:t>
      </w:r>
    </w:p>
    <w:p w14:paraId="04DE8989" w14:textId="77777777" w:rsidR="009D13BC" w:rsidRPr="009D13BC" w:rsidRDefault="009D13BC" w:rsidP="009D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weighted aggregation (based on confidence scores) was applied</w:t>
      </w:r>
    </w:p>
    <w:p w14:paraId="684EFEBF" w14:textId="77777777" w:rsidR="009D13BC" w:rsidRPr="009D13BC" w:rsidRDefault="009D13BC" w:rsidP="009D1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scores were standardized (z-score normalization)</w:t>
      </w:r>
    </w:p>
    <w:p w14:paraId="398FC525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The resulting index quantifies the relative strength of disease-specific microbiome signals for each sample.</w:t>
      </w:r>
    </w:p>
    <w:p w14:paraId="2589A797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</w:pPr>
    </w:p>
    <w:p w14:paraId="7DE030C6" w14:textId="37B49374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  <w:t>Results</w:t>
      </w:r>
    </w:p>
    <w:p w14:paraId="1CBC07C1" w14:textId="77777777" w:rsidR="009D13BC" w:rsidRPr="009D13BC" w:rsidRDefault="009D13BC" w:rsidP="009D13BC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Strong disease-specific separation</w:t>
      </w:r>
    </w:p>
    <w:p w14:paraId="74823946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The MDMI demonstrates clear separation between in-class and out-of-class samples:</w:t>
      </w:r>
    </w:p>
    <w:p w14:paraId="42DC1B2E" w14:textId="77777777" w:rsidR="009D13BC" w:rsidRPr="009D13BC" w:rsidRDefault="009D13BC" w:rsidP="009D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HIV Infections: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Δmean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=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1.54</w:t>
      </w:r>
    </w:p>
    <w:p w14:paraId="110B8B01" w14:textId="77777777" w:rsidR="009D13BC" w:rsidRPr="009D13BC" w:rsidRDefault="009D13BC" w:rsidP="009D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Irritable Bowel Syndrome: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Δmean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=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0.91</w:t>
      </w:r>
    </w:p>
    <w:p w14:paraId="02E0704C" w14:textId="77777777" w:rsidR="009D13BC" w:rsidRPr="009D13BC" w:rsidRDefault="009D13BC" w:rsidP="009D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Parkinson Disease: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Δmean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=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0.76</w:t>
      </w:r>
    </w:p>
    <w:p w14:paraId="7740B94C" w14:textId="77777777" w:rsidR="009D13BC" w:rsidRPr="009D13BC" w:rsidRDefault="009D13BC" w:rsidP="009D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Colorectal Neoplasms: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Δmean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=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0.69</w:t>
      </w:r>
    </w:p>
    <w:p w14:paraId="09118077" w14:textId="77777777" w:rsidR="009D13BC" w:rsidRPr="009D13BC" w:rsidRDefault="009D13BC" w:rsidP="009D1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Crohn Disease: </w:t>
      </w:r>
      <w:proofErr w:type="spellStart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Δmean</w:t>
      </w:r>
      <w:proofErr w:type="spellEnd"/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 =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0.59</w:t>
      </w:r>
    </w:p>
    <w:p w14:paraId="7F7A1631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indicates that the index captures robust and disease-specific microbial structures.</w:t>
      </w:r>
    </w:p>
    <w:p w14:paraId="7520A589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</w:p>
    <w:p w14:paraId="16A0784F" w14:textId="50BCC6BA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Complementary signal layers</w:t>
      </w:r>
    </w:p>
    <w:p w14:paraId="253433A3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Comparison between model predictions and index outputs revealed low agreement (~0.21), suggesting that:</w:t>
      </w:r>
    </w:p>
    <w:p w14:paraId="5EADABE3" w14:textId="77777777" w:rsidR="009D13BC" w:rsidRPr="009D13BC" w:rsidRDefault="009D13BC" w:rsidP="009D1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the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model captures complex predictive patterns across taxa combinations</w:t>
      </w:r>
    </w:p>
    <w:p w14:paraId="47A7FBBB" w14:textId="77777777" w:rsidR="009D13BC" w:rsidRPr="009D13BC" w:rsidRDefault="009D13BC" w:rsidP="009D1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 xml:space="preserve">the </w:t>
      </w: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index captures stable, interpretable biological signals</w:t>
      </w:r>
    </w:p>
    <w:p w14:paraId="12710DBA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Rather than redundancy, this reflects complementary information layers.</w:t>
      </w:r>
    </w:p>
    <w:p w14:paraId="04A10363" w14:textId="77777777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</w:pPr>
    </w:p>
    <w:p w14:paraId="246189DE" w14:textId="6D84398F" w:rsidR="009D13BC" w:rsidRPr="009D13BC" w:rsidRDefault="009D13BC" w:rsidP="009D13BC">
      <w:pPr>
        <w:spacing w:after="0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lang w:eastAsia="zh-CN"/>
          <w14:ligatures w14:val="none"/>
        </w:rPr>
        <w:t>Interpretable diagnostic output</w:t>
      </w:r>
    </w:p>
    <w:p w14:paraId="4CF2D2A1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The final framework integrates:</w:t>
      </w:r>
    </w:p>
    <w:p w14:paraId="1A87412F" w14:textId="77777777" w:rsidR="009D13BC" w:rsidRPr="009D13BC" w:rsidRDefault="009D13BC" w:rsidP="009D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predicted disease (model)</w:t>
      </w:r>
    </w:p>
    <w:p w14:paraId="51DC619E" w14:textId="77777777" w:rsidR="009D13BC" w:rsidRPr="009D13BC" w:rsidRDefault="009D13BC" w:rsidP="009D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disease-specific index scores</w:t>
      </w:r>
    </w:p>
    <w:p w14:paraId="0E99D76C" w14:textId="77777777" w:rsidR="009D13BC" w:rsidRPr="009D13BC" w:rsidRDefault="009D13BC" w:rsidP="009D1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supporting microbial taxa</w:t>
      </w:r>
    </w:p>
    <w:p w14:paraId="3EEA08BA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For each sample, the system provides:</w:t>
      </w:r>
    </w:p>
    <w:p w14:paraId="335D8DC7" w14:textId="77777777" w:rsidR="009D13BC" w:rsidRPr="009D13BC" w:rsidRDefault="009D13BC" w:rsidP="009D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predicted disease label</w:t>
      </w:r>
    </w:p>
    <w:p w14:paraId="2714ECB4" w14:textId="77777777" w:rsidR="009D13BC" w:rsidRPr="009D13BC" w:rsidRDefault="009D13BC" w:rsidP="009D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index-based confidence signal</w:t>
      </w:r>
    </w:p>
    <w:p w14:paraId="68C96DF6" w14:textId="77777777" w:rsidR="009D13BC" w:rsidRPr="009D13BC" w:rsidRDefault="009D13BC" w:rsidP="009D1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top contributing taxa (with directionality)</w:t>
      </w:r>
    </w:p>
    <w:p w14:paraId="3E003321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enables transparent interpretation of microbiome-based predictions.</w:t>
      </w:r>
    </w:p>
    <w:p w14:paraId="73DF7458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</w:p>
    <w:p w14:paraId="734905B9" w14:textId="28B64771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b/>
          <w:bCs/>
          <w:kern w:val="0"/>
          <w:sz w:val="27"/>
          <w:szCs w:val="27"/>
          <w:lang w:eastAsia="zh-CN"/>
          <w14:ligatures w14:val="none"/>
        </w:rPr>
        <w:t>Conclusion</w:t>
      </w:r>
    </w:p>
    <w:p w14:paraId="536D7308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study presents a multi-disease microbiome diagnostic framework that integrates machine learning and interpretable index construction.</w:t>
      </w:r>
    </w:p>
    <w:p w14:paraId="28E2D83E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Key contributions include:</w:t>
      </w:r>
    </w:p>
    <w:p w14:paraId="218E904D" w14:textId="77777777" w:rsidR="009D13BC" w:rsidRPr="009D13BC" w:rsidRDefault="009D13BC" w:rsidP="009D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 robust multi-class disease prediction model</w:t>
      </w:r>
    </w:p>
    <w:p w14:paraId="7542A247" w14:textId="77777777" w:rsidR="009D13BC" w:rsidRPr="009D13BC" w:rsidRDefault="009D13BC" w:rsidP="009D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 high-confidence biomarker selection strategy</w:t>
      </w:r>
    </w:p>
    <w:p w14:paraId="18586280" w14:textId="77777777" w:rsidR="009D13BC" w:rsidRPr="009D13BC" w:rsidRDefault="009D13BC" w:rsidP="009D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 novel multi-disease microbiome index (MDMI)</w:t>
      </w:r>
    </w:p>
    <w:p w14:paraId="11C780C6" w14:textId="77777777" w:rsidR="009D13BC" w:rsidRPr="009D13BC" w:rsidRDefault="009D13BC" w:rsidP="009D1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an interpretable diagnostic output combining prediction and biological evidence</w:t>
      </w:r>
    </w:p>
    <w:p w14:paraId="2DA3EF37" w14:textId="77777777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Importantly, the observed divergence between predictive and index-based signals highlights the multi-layered nature of microbiome-disease associations.</w:t>
      </w:r>
    </w:p>
    <w:p w14:paraId="210FA941" w14:textId="70DCF57B" w:rsidR="009D13BC" w:rsidRPr="009D13BC" w:rsidRDefault="009D13BC" w:rsidP="009D13BC">
      <w:pPr>
        <w:spacing w:before="100" w:beforeAutospacing="1" w:after="100" w:afterAutospacing="1" w:line="240" w:lineRule="auto"/>
        <w:rPr>
          <w:rFonts w:ascii="Calibri" w:eastAsia="Times New Roman" w:hAnsi="Calibri" w:cs="Calibri" w:hint="eastAsia"/>
          <w:kern w:val="0"/>
          <w:lang w:eastAsia="zh-CN"/>
          <w14:ligatures w14:val="none"/>
        </w:rPr>
      </w:pPr>
      <w:r w:rsidRPr="009D13BC">
        <w:rPr>
          <w:rFonts w:ascii="Calibri" w:eastAsia="Times New Roman" w:hAnsi="Calibri" w:cs="Calibri"/>
          <w:kern w:val="0"/>
          <w:lang w:eastAsia="zh-CN"/>
          <w14:ligatures w14:val="none"/>
        </w:rPr>
        <w:t>This framework provides a foundation for developing clinically interpretable microbiome diagnostics and can be extended to additional diseases and multi-omics data integration.</w:t>
      </w:r>
    </w:p>
    <w:sectPr w:rsidR="009D13BC" w:rsidRPr="009D1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0C0F"/>
    <w:multiLevelType w:val="multilevel"/>
    <w:tmpl w:val="837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3925"/>
    <w:multiLevelType w:val="multilevel"/>
    <w:tmpl w:val="FAC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E94"/>
    <w:multiLevelType w:val="multilevel"/>
    <w:tmpl w:val="EFF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3A75"/>
    <w:multiLevelType w:val="multilevel"/>
    <w:tmpl w:val="B46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01D77"/>
    <w:multiLevelType w:val="multilevel"/>
    <w:tmpl w:val="163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96609"/>
    <w:multiLevelType w:val="multilevel"/>
    <w:tmpl w:val="6E0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41DCA"/>
    <w:multiLevelType w:val="multilevel"/>
    <w:tmpl w:val="FAE2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9656D"/>
    <w:multiLevelType w:val="multilevel"/>
    <w:tmpl w:val="C5D4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312637"/>
    <w:multiLevelType w:val="multilevel"/>
    <w:tmpl w:val="7DE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23303">
    <w:abstractNumId w:val="2"/>
  </w:num>
  <w:num w:numId="2" w16cid:durableId="1043821371">
    <w:abstractNumId w:val="3"/>
  </w:num>
  <w:num w:numId="3" w16cid:durableId="119417155">
    <w:abstractNumId w:val="7"/>
  </w:num>
  <w:num w:numId="4" w16cid:durableId="1512137597">
    <w:abstractNumId w:val="0"/>
  </w:num>
  <w:num w:numId="5" w16cid:durableId="823081375">
    <w:abstractNumId w:val="8"/>
  </w:num>
  <w:num w:numId="6" w16cid:durableId="480314860">
    <w:abstractNumId w:val="4"/>
  </w:num>
  <w:num w:numId="7" w16cid:durableId="1636451603">
    <w:abstractNumId w:val="5"/>
  </w:num>
  <w:num w:numId="8" w16cid:durableId="492910824">
    <w:abstractNumId w:val="1"/>
  </w:num>
  <w:num w:numId="9" w16cid:durableId="2111511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BC"/>
    <w:rsid w:val="00615E12"/>
    <w:rsid w:val="00646ABA"/>
    <w:rsid w:val="007740BB"/>
    <w:rsid w:val="008F0DEA"/>
    <w:rsid w:val="009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B15F"/>
  <w15:chartTrackingRefBased/>
  <w15:docId w15:val="{56F93353-1320-7E4D-AB84-4560B6D6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D1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9D13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513</Words>
  <Characters>3833</Characters>
  <Application>Microsoft Office Word</Application>
  <DocSecurity>0</DocSecurity>
  <Lines>98</Lines>
  <Paragraphs>74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Yuqi Tao</dc:creator>
  <cp:keywords/>
  <dc:description/>
  <cp:lastModifiedBy>Yuqi Tao</cp:lastModifiedBy>
  <cp:revision>1</cp:revision>
  <dcterms:created xsi:type="dcterms:W3CDTF">2026-03-19T15:41:00Z</dcterms:created>
  <dcterms:modified xsi:type="dcterms:W3CDTF">2026-03-19T15:43:00Z</dcterms:modified>
</cp:coreProperties>
</file>