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Sample Size and Statistical Power</w:t>
      </w:r>
    </w:p>
    <w:p>
      <w:pPr>
        <w:spacing w:after="280" w:before="0"/>
      </w:pPr>
      <w:r>
        <w:rPr>
          <w:rFonts w:ascii="Times New Roman" w:hAnsi="Times New Roman" w:cs="Times New Roman" w:eastAsia="Times New Roman"/>
          <w:b w:val="0"/>
          <w:i/>
          <w:color w:val="000000"/>
          <w:sz w:val="22"/>
        </w:rPr>
        <w:t>Discrete choice experiment, full survey — Developing Gender-Responsive Childcare Services in Uasin Gishu County Markets</w:t>
      </w:r>
    </w:p>
    <w:p>
      <w:pPr>
        <w:pStyle w:val="Heading1"/>
      </w:pPr>
      <w:r>
        <w:t>1.  Recommendation</w:t>
      </w:r>
    </w:p>
    <w:p>
      <w:pPr>
        <w:spacing w:after="120" w:before="0"/>
        <w:jc w:val="both"/>
      </w:pPr>
      <w:r>
        <w:rPr>
          <w:rFonts w:ascii="Times New Roman" w:hAnsi="Times New Roman" w:cs="Times New Roman" w:eastAsia="Times New Roman"/>
          <w:b w:val="0"/>
          <w:i w:val="0"/>
          <w:color w:val="000000"/>
          <w:sz w:val="24"/>
        </w:rPr>
        <w:t>The full survey should complete 300 trader interviews across the six sampled markets. Each respondent answers six choice tasks, giving 1,800 choice observations. This sample estimates the choice model with standard errors between 0.060 and 0.101 on the fourteen attribute parameters, detects utility differences of 0.23 at 80% power, and holds the 95% confidence interval on descriptive proportions to ±5.7 percentage points. Three independent methods set the minimum at 159 to 170 respondents; 300 provides the margin needed to model women traders as a separate stratum.</w:t>
      </w:r>
    </w:p>
    <w:p>
      <w:pPr>
        <w:pStyle w:val="Heading1"/>
      </w:pPr>
      <w:r>
        <w:t>2.  Basis of the calculation</w:t>
      </w:r>
    </w:p>
    <w:p>
      <w:pPr>
        <w:spacing w:after="120" w:before="0"/>
        <w:jc w:val="both"/>
      </w:pPr>
      <w:r>
        <w:rPr>
          <w:rFonts w:ascii="Times New Roman" w:hAnsi="Times New Roman" w:cs="Times New Roman" w:eastAsia="Times New Roman"/>
          <w:b w:val="0"/>
          <w:i w:val="0"/>
          <w:color w:val="000000"/>
          <w:sz w:val="24"/>
        </w:rPr>
        <w:t>The calculation is specific to the experimental design that will be fielded, not to a generic choice experiment. That design has the following structure:</w:t>
      </w:r>
    </w:p>
    <w:tbl>
      <w:tblPr>
        <w:tblStyle w:val="TableGrid"/>
        <w:tblW w:type="auto" w:w="0"/>
        <w:jc w:val="left"/>
        <w:tblLayout w:type="fixed"/>
        <w:tblLook w:firstColumn="1" w:firstRow="1" w:lastColumn="0" w:lastRow="0" w:noHBand="0" w:noVBand="1" w:val="04A0"/>
      </w:tblPr>
      <w:tblGrid>
        <w:gridCol w:w="4703"/>
        <w:gridCol w:w="4703"/>
      </w:tblGrid>
      <w:tr>
        <w:trPr>
          <w:tblHeader w:val="true"/>
        </w:trPr>
        <w:tc>
          <w:tcPr>
            <w:tcW w:type="dxa" w:w="2494"/>
            <w:vAlign w:val="center"/>
          </w:tcPr>
          <w:p>
            <w:pPr>
              <w:spacing w:before="40" w:after="40"/>
            </w:pPr>
            <w:r/>
            <w:r>
              <w:rPr>
                <w:rFonts w:ascii="Times New Roman" w:hAnsi="Times New Roman" w:cs="Times New Roman" w:eastAsia="Times New Roman"/>
                <w:b/>
                <w:i w:val="0"/>
                <w:color w:val="000000"/>
                <w:sz w:val="22"/>
              </w:rPr>
              <w:t>Design feature</w:t>
            </w:r>
          </w:p>
        </w:tc>
        <w:tc>
          <w:tcPr>
            <w:tcW w:type="dxa" w:w="6576"/>
            <w:vAlign w:val="center"/>
          </w:tcPr>
          <w:p>
            <w:pPr>
              <w:spacing w:before="40" w:after="40"/>
            </w:pPr>
            <w:r/>
            <w:r>
              <w:rPr>
                <w:rFonts w:ascii="Times New Roman" w:hAnsi="Times New Roman" w:cs="Times New Roman" w:eastAsia="Times New Roman"/>
                <w:b/>
                <w:i w:val="0"/>
                <w:color w:val="000000"/>
                <w:sz w:val="22"/>
              </w:rPr>
              <w:t>Specification</w:t>
            </w:r>
          </w:p>
        </w:tc>
      </w:tr>
      <w:tr>
        <w:tc>
          <w:tcPr>
            <w:tcW w:type="dxa" w:w="2494"/>
            <w:vAlign w:val="center"/>
          </w:tcPr>
          <w:p>
            <w:pPr>
              <w:spacing w:before="40" w:after="40"/>
            </w:pPr>
            <w:r/>
            <w:r>
              <w:rPr>
                <w:rFonts w:ascii="Times New Roman" w:hAnsi="Times New Roman" w:cs="Times New Roman" w:eastAsia="Times New Roman"/>
                <w:b/>
                <w:i w:val="0"/>
                <w:color w:val="000000"/>
                <w:sz w:val="22"/>
              </w:rPr>
              <w:t>Attributes</w:t>
            </w:r>
          </w:p>
        </w:tc>
        <w:tc>
          <w:tcPr>
            <w:tcW w:type="dxa" w:w="6576"/>
            <w:vAlign w:val="center"/>
          </w:tcPr>
          <w:p>
            <w:pPr>
              <w:spacing w:before="40" w:after="40"/>
            </w:pPr>
            <w:r/>
            <w:r>
              <w:rPr>
                <w:rFonts w:ascii="Times New Roman" w:hAnsi="Times New Roman" w:cs="Times New Roman" w:eastAsia="Times New Roman"/>
                <w:b w:val="0"/>
                <w:i w:val="0"/>
                <w:color w:val="000000"/>
                <w:sz w:val="22"/>
              </w:rPr>
              <w:t>Seven: daily cost, location within the market, opening hours, caregiver ratio and training, food provision, management model, and disability inclusion</w:t>
            </w:r>
          </w:p>
        </w:tc>
      </w:tr>
      <w:tr>
        <w:tc>
          <w:tcPr>
            <w:tcW w:type="dxa" w:w="2494"/>
            <w:vAlign w:val="center"/>
          </w:tcPr>
          <w:p>
            <w:pPr>
              <w:spacing w:before="40" w:after="40"/>
            </w:pPr>
            <w:r/>
            <w:r>
              <w:rPr>
                <w:rFonts w:ascii="Times New Roman" w:hAnsi="Times New Roman" w:cs="Times New Roman" w:eastAsia="Times New Roman"/>
                <w:b/>
                <w:i w:val="0"/>
                <w:color w:val="000000"/>
                <w:sz w:val="22"/>
              </w:rPr>
              <w:t>Levels</w:t>
            </w:r>
          </w:p>
        </w:tc>
        <w:tc>
          <w:tcPr>
            <w:tcW w:type="dxa" w:w="6576"/>
            <w:vAlign w:val="center"/>
          </w:tcPr>
          <w:p>
            <w:pPr>
              <w:spacing w:before="40" w:after="40"/>
            </w:pPr>
            <w:r/>
            <w:r>
              <w:rPr>
                <w:rFonts w:ascii="Times New Roman" w:hAnsi="Times New Roman" w:cs="Times New Roman" w:eastAsia="Times New Roman"/>
                <w:b w:val="0"/>
                <w:i w:val="0"/>
                <w:color w:val="000000"/>
                <w:sz w:val="22"/>
              </w:rPr>
              <w:t>4, 3, 2, 3, 2, 4 and 3 respectively</w:t>
            </w:r>
          </w:p>
        </w:tc>
      </w:tr>
      <w:tr>
        <w:tc>
          <w:tcPr>
            <w:tcW w:type="dxa" w:w="2494"/>
            <w:vAlign w:val="center"/>
          </w:tcPr>
          <w:p>
            <w:pPr>
              <w:spacing w:before="40" w:after="40"/>
            </w:pPr>
            <w:r/>
            <w:r>
              <w:rPr>
                <w:rFonts w:ascii="Times New Roman" w:hAnsi="Times New Roman" w:cs="Times New Roman" w:eastAsia="Times New Roman"/>
                <w:b/>
                <w:i w:val="0"/>
                <w:color w:val="000000"/>
                <w:sz w:val="22"/>
              </w:rPr>
              <w:t>Alternatives per task</w:t>
            </w:r>
          </w:p>
        </w:tc>
        <w:tc>
          <w:tcPr>
            <w:tcW w:type="dxa" w:w="6576"/>
            <w:vAlign w:val="center"/>
          </w:tcPr>
          <w:p>
            <w:pPr>
              <w:spacing w:before="40" w:after="40"/>
            </w:pPr>
            <w:r/>
            <w:r>
              <w:rPr>
                <w:rFonts w:ascii="Times New Roman" w:hAnsi="Times New Roman" w:cs="Times New Roman" w:eastAsia="Times New Roman"/>
                <w:b w:val="0"/>
                <w:i w:val="0"/>
                <w:color w:val="000000"/>
                <w:sz w:val="22"/>
              </w:rPr>
              <w:t>Two unlabelled services plus an opt-out (“I would keep my current arrangement”)</w:t>
            </w:r>
          </w:p>
        </w:tc>
      </w:tr>
      <w:tr>
        <w:tc>
          <w:tcPr>
            <w:tcW w:type="dxa" w:w="2494"/>
            <w:vAlign w:val="center"/>
          </w:tcPr>
          <w:p>
            <w:pPr>
              <w:spacing w:before="40" w:after="40"/>
            </w:pPr>
            <w:r/>
            <w:r>
              <w:rPr>
                <w:rFonts w:ascii="Times New Roman" w:hAnsi="Times New Roman" w:cs="Times New Roman" w:eastAsia="Times New Roman"/>
                <w:b/>
                <w:i w:val="0"/>
                <w:color w:val="000000"/>
                <w:sz w:val="22"/>
              </w:rPr>
              <w:t>Choice sets</w:t>
            </w:r>
          </w:p>
        </w:tc>
        <w:tc>
          <w:tcPr>
            <w:tcW w:type="dxa" w:w="6576"/>
            <w:vAlign w:val="center"/>
          </w:tcPr>
          <w:p>
            <w:pPr>
              <w:spacing w:before="40" w:after="40"/>
            </w:pPr>
            <w:r/>
            <w:r>
              <w:rPr>
                <w:rFonts w:ascii="Times New Roman" w:hAnsi="Times New Roman" w:cs="Times New Roman" w:eastAsia="Times New Roman"/>
                <w:b w:val="0"/>
                <w:i w:val="0"/>
                <w:color w:val="000000"/>
                <w:sz w:val="22"/>
              </w:rPr>
              <w:t>18, allocated to three blocks of six</w:t>
            </w:r>
          </w:p>
        </w:tc>
      </w:tr>
      <w:tr>
        <w:tc>
          <w:tcPr>
            <w:tcW w:type="dxa" w:w="2494"/>
            <w:vAlign w:val="center"/>
          </w:tcPr>
          <w:p>
            <w:pPr>
              <w:spacing w:before="40" w:after="40"/>
            </w:pPr>
            <w:r/>
            <w:r>
              <w:rPr>
                <w:rFonts w:ascii="Times New Roman" w:hAnsi="Times New Roman" w:cs="Times New Roman" w:eastAsia="Times New Roman"/>
                <w:b/>
                <w:i w:val="0"/>
                <w:color w:val="000000"/>
                <w:sz w:val="22"/>
              </w:rPr>
              <w:t>Tasks per respondent</w:t>
            </w:r>
          </w:p>
        </w:tc>
        <w:tc>
          <w:tcPr>
            <w:tcW w:type="dxa" w:w="6576"/>
            <w:vAlign w:val="center"/>
          </w:tcPr>
          <w:p>
            <w:pPr>
              <w:spacing w:before="40" w:after="40"/>
            </w:pPr>
            <w:r/>
            <w:r>
              <w:rPr>
                <w:rFonts w:ascii="Times New Roman" w:hAnsi="Times New Roman" w:cs="Times New Roman" w:eastAsia="Times New Roman"/>
                <w:b w:val="0"/>
                <w:i w:val="0"/>
                <w:color w:val="000000"/>
                <w:sz w:val="22"/>
              </w:rPr>
              <w:t>Six (one block)</w:t>
            </w:r>
          </w:p>
        </w:tc>
      </w:tr>
      <w:tr>
        <w:tc>
          <w:tcPr>
            <w:tcW w:type="dxa" w:w="2494"/>
            <w:vAlign w:val="center"/>
          </w:tcPr>
          <w:p>
            <w:pPr>
              <w:spacing w:before="40" w:after="40"/>
            </w:pPr>
            <w:r/>
            <w:r>
              <w:rPr>
                <w:rFonts w:ascii="Times New Roman" w:hAnsi="Times New Roman" w:cs="Times New Roman" w:eastAsia="Times New Roman"/>
                <w:b/>
                <w:i w:val="0"/>
                <w:color w:val="000000"/>
                <w:sz w:val="22"/>
              </w:rPr>
              <w:t>Parameters estimated</w:t>
            </w:r>
          </w:p>
        </w:tc>
        <w:tc>
          <w:tcPr>
            <w:tcW w:type="dxa" w:w="6576"/>
            <w:vAlign w:val="center"/>
          </w:tcPr>
          <w:p>
            <w:pPr>
              <w:spacing w:before="40" w:after="40"/>
            </w:pPr>
            <w:r/>
            <w:r>
              <w:rPr>
                <w:rFonts w:ascii="Times New Roman" w:hAnsi="Times New Roman" w:cs="Times New Roman" w:eastAsia="Times New Roman"/>
                <w:b w:val="0"/>
                <w:i w:val="0"/>
                <w:color w:val="000000"/>
                <w:sz w:val="22"/>
              </w:rPr>
              <w:t>15 — fourteen dummy-coded attribute contrasts and one alternative-specific constant for the opt-out</w:t>
            </w:r>
          </w:p>
        </w:tc>
      </w:tr>
      <w:tr>
        <w:tc>
          <w:tcPr>
            <w:tcW w:type="dxa" w:w="2494"/>
            <w:vAlign w:val="center"/>
          </w:tcPr>
          <w:p>
            <w:pPr>
              <w:spacing w:before="40" w:after="40"/>
            </w:pPr>
            <w:r/>
            <w:r>
              <w:rPr>
                <w:rFonts w:ascii="Times New Roman" w:hAnsi="Times New Roman" w:cs="Times New Roman" w:eastAsia="Times New Roman"/>
                <w:b/>
                <w:i w:val="0"/>
                <w:color w:val="000000"/>
                <w:sz w:val="22"/>
              </w:rPr>
              <w:t>Criterion</w:t>
            </w:r>
          </w:p>
        </w:tc>
        <w:tc>
          <w:tcPr>
            <w:tcW w:type="dxa" w:w="6576"/>
            <w:vAlign w:val="center"/>
          </w:tcPr>
          <w:p>
            <w:pPr>
              <w:spacing w:before="40" w:after="40"/>
            </w:pPr>
            <w:r/>
            <w:r>
              <w:rPr>
                <w:rFonts w:ascii="Times New Roman" w:hAnsi="Times New Roman" w:cs="Times New Roman" w:eastAsia="Times New Roman"/>
                <w:b w:val="0"/>
                <w:i w:val="0"/>
                <w:color w:val="000000"/>
                <w:sz w:val="22"/>
              </w:rPr>
              <w:t>D-efficient, generated by coordinate exchange under null priors</w:t>
            </w:r>
          </w:p>
        </w:tc>
      </w:tr>
    </w:tbl>
    <w:p>
      <w:pPr>
        <w:spacing w:after="80"/>
      </w:pPr>
    </w:p>
    <w:p>
      <w:pPr>
        <w:spacing w:after="120" w:before="0"/>
        <w:jc w:val="both"/>
      </w:pPr>
      <w:r>
        <w:rPr>
          <w:rFonts w:ascii="Times New Roman" w:hAnsi="Times New Roman" w:cs="Times New Roman" w:eastAsia="Times New Roman"/>
          <w:b w:val="0"/>
          <w:i w:val="0"/>
          <w:color w:val="000000"/>
          <w:sz w:val="24"/>
        </w:rPr>
        <w:t>The model is a conditional (multinomial) logit. Because priors are null, the three alternatives are equiprobable and the information matrix is exact rather than approximated, so the calculation below requires no simulation.</w:t>
      </w:r>
    </w:p>
    <w:p>
      <w:pPr>
        <w:pStyle w:val="Heading1"/>
      </w:pPr>
      <w:r>
        <w:t>3.  Design-based calculation</w:t>
      </w:r>
    </w:p>
    <w:p>
      <w:pPr>
        <w:spacing w:after="120" w:before="0"/>
        <w:jc w:val="both"/>
      </w:pPr>
      <w:r>
        <w:rPr>
          <w:rFonts w:ascii="Times New Roman" w:hAnsi="Times New Roman" w:cs="Times New Roman" w:eastAsia="Times New Roman"/>
          <w:b w:val="0"/>
          <w:i w:val="0"/>
          <w:color w:val="000000"/>
          <w:sz w:val="24"/>
        </w:rPr>
        <w:t>For the multinomial logit model, the asymptotic variance–covariance matrix of the parameter estimates is a function of the design (Rose and Bliemer, 2013; de Bekker-Grob et al., 2015):</w:t>
      </w:r>
    </w:p>
    <w:p>
      <w:pPr>
        <w:spacing w:before="160" w:after="200"/>
        <w:jc w:val="center"/>
      </w:pPr>
      <w:r>
        <w:drawing>
          <wp:inline xmlns:a="http://schemas.openxmlformats.org/drawingml/2006/main" xmlns:pic="http://schemas.openxmlformats.org/drawingml/2006/picture">
            <wp:extent cx="2217420" cy="427482"/>
            <wp:docPr id="1" name="Picture 1"/>
            <wp:cNvGraphicFramePr>
              <a:graphicFrameLocks noChangeAspect="1"/>
            </wp:cNvGraphicFramePr>
            <a:graphic>
              <a:graphicData uri="http://schemas.openxmlformats.org/drawingml/2006/picture">
                <pic:pic>
                  <pic:nvPicPr>
                    <pic:cNvPr id="0" name="eq12_omega.png"/>
                    <pic:cNvPicPr/>
                  </pic:nvPicPr>
                  <pic:blipFill>
                    <a:blip r:embed="rId9"/>
                    <a:stretch>
                      <a:fillRect/>
                    </a:stretch>
                  </pic:blipFill>
                  <pic:spPr>
                    <a:xfrm>
                      <a:off x="0" y="0"/>
                      <a:ext cx="2217420" cy="427482"/>
                    </a:xfrm>
                    <a:prstGeom prst="rect"/>
                  </pic:spPr>
                </pic:pic>
              </a:graphicData>
            </a:graphic>
          </wp:inline>
        </w:drawing>
      </w:r>
    </w:p>
    <w:p>
      <w:pPr>
        <w:spacing w:after="120" w:before="0"/>
        <w:jc w:val="both"/>
      </w:pPr>
      <w:r>
        <w:rPr>
          <w:rFonts w:ascii="Times New Roman" w:hAnsi="Times New Roman" w:cs="Times New Roman" w:eastAsia="Times New Roman"/>
          <w:b w:val="0"/>
          <w:i w:val="0"/>
          <w:color w:val="000000"/>
          <w:sz w:val="24"/>
        </w:rPr>
        <w:t xml:space="preserve">where </w:t>
      </w:r>
      <w:r>
        <w:rPr>
          <w:rFonts w:ascii="Times New Roman" w:hAnsi="Times New Roman" w:cs="Times New Roman" w:eastAsia="Times New Roman"/>
          <w:b/>
          <w:i w:val="0"/>
          <w:color w:val="000000"/>
          <w:sz w:val="24"/>
        </w:rPr>
        <w:t>X</w:t>
      </w:r>
      <w:r>
        <w:rPr>
          <w:rFonts w:ascii="Times New Roman" w:hAnsi="Times New Roman" w:cs="Times New Roman" w:eastAsia="Times New Roman"/>
          <w:b w:val="0"/>
          <w:i w:val="0"/>
          <w:color w:val="000000"/>
          <w:sz w:val="24"/>
          <w:vertAlign w:val="subscript"/>
        </w:rPr>
        <w:t>s</w:t>
      </w:r>
      <w:r>
        <w:rPr>
          <w:rFonts w:ascii="Times New Roman" w:hAnsi="Times New Roman" w:cs="Times New Roman" w:eastAsia="Times New Roman"/>
          <w:b w:val="0"/>
          <w:i w:val="0"/>
          <w:color w:val="000000"/>
          <w:sz w:val="24"/>
        </w:rPr>
        <w:t xml:space="preserve"> is the attribute matrix for choice set </w:t>
      </w:r>
      <w:r>
        <w:rPr>
          <w:rFonts w:ascii="Times New Roman" w:hAnsi="Times New Roman" w:cs="Times New Roman" w:eastAsia="Times New Roman"/>
          <w:b w:val="0"/>
          <w:i/>
          <w:color w:val="000000"/>
          <w:sz w:val="24"/>
        </w:rPr>
        <w:t>s</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i w:val="0"/>
          <w:color w:val="000000"/>
          <w:sz w:val="24"/>
        </w:rPr>
        <w:t>p</w:t>
      </w:r>
      <w:r>
        <w:rPr>
          <w:rFonts w:ascii="Times New Roman" w:hAnsi="Times New Roman" w:cs="Times New Roman" w:eastAsia="Times New Roman"/>
          <w:b w:val="0"/>
          <w:i w:val="0"/>
          <w:color w:val="000000"/>
          <w:sz w:val="24"/>
          <w:vertAlign w:val="subscript"/>
        </w:rPr>
        <w:t>s</w:t>
      </w:r>
      <w:r>
        <w:rPr>
          <w:rFonts w:ascii="Times New Roman" w:hAnsi="Times New Roman" w:cs="Times New Roman" w:eastAsia="Times New Roman"/>
          <w:b w:val="0"/>
          <w:i w:val="0"/>
          <w:color w:val="000000"/>
          <w:sz w:val="24"/>
        </w:rPr>
        <w:t xml:space="preserve"> the vector of choice probabilities and </w:t>
      </w:r>
      <w:r>
        <w:rPr>
          <w:rFonts w:ascii="Times New Roman" w:hAnsi="Times New Roman" w:cs="Times New Roman" w:eastAsia="Times New Roman"/>
          <w:b/>
          <w:i w:val="0"/>
          <w:color w:val="000000"/>
          <w:sz w:val="24"/>
        </w:rPr>
        <w:t>P</w:t>
      </w:r>
      <w:r>
        <w:rPr>
          <w:rFonts w:ascii="Times New Roman" w:hAnsi="Times New Roman" w:cs="Times New Roman" w:eastAsia="Times New Roman"/>
          <w:b w:val="0"/>
          <w:i w:val="0"/>
          <w:color w:val="000000"/>
          <w:sz w:val="24"/>
          <w:vertAlign w:val="subscript"/>
        </w:rPr>
        <w:t>s</w:t>
      </w:r>
      <w:r>
        <w:rPr>
          <w:rFonts w:ascii="Times New Roman" w:hAnsi="Times New Roman" w:cs="Times New Roman" w:eastAsia="Times New Roman"/>
          <w:b w:val="0"/>
          <w:i w:val="0"/>
          <w:color w:val="000000"/>
          <w:sz w:val="24"/>
        </w:rPr>
        <w:t xml:space="preserve"> = diag(</w:t>
      </w:r>
      <w:r>
        <w:rPr>
          <w:rFonts w:ascii="Times New Roman" w:hAnsi="Times New Roman" w:cs="Times New Roman" w:eastAsia="Times New Roman"/>
          <w:b/>
          <w:i w:val="0"/>
          <w:color w:val="000000"/>
          <w:sz w:val="24"/>
        </w:rPr>
        <w:t>p</w:t>
      </w:r>
      <w:r>
        <w:rPr>
          <w:rFonts w:ascii="Times New Roman" w:hAnsi="Times New Roman" w:cs="Times New Roman" w:eastAsia="Times New Roman"/>
          <w:b w:val="0"/>
          <w:i w:val="0"/>
          <w:color w:val="000000"/>
          <w:sz w:val="24"/>
          <w:vertAlign w:val="subscript"/>
        </w:rPr>
        <w:t>s</w:t>
      </w:r>
      <w:r>
        <w:rPr>
          <w:rFonts w:ascii="Times New Roman" w:hAnsi="Times New Roman" w:cs="Times New Roman" w:eastAsia="Times New Roman"/>
          <w:b w:val="0"/>
          <w:i w:val="0"/>
          <w:color w:val="000000"/>
          <w:sz w:val="24"/>
        </w:rPr>
        <w:t xml:space="preserve">). With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respondents allocated equally across the </w:t>
      </w:r>
      <w:r>
        <w:rPr>
          <w:rFonts w:ascii="Times New Roman" w:hAnsi="Times New Roman" w:cs="Times New Roman" w:eastAsia="Times New Roman"/>
          <w:b w:val="0"/>
          <w:i/>
          <w:color w:val="000000"/>
          <w:sz w:val="24"/>
        </w:rPr>
        <w:t>B</w:t>
      </w:r>
      <w:r>
        <w:rPr>
          <w:rFonts w:ascii="Times New Roman" w:hAnsi="Times New Roman" w:cs="Times New Roman" w:eastAsia="Times New Roman"/>
          <w:b w:val="0"/>
          <w:i w:val="0"/>
          <w:color w:val="000000"/>
          <w:sz w:val="24"/>
        </w:rPr>
        <w:t xml:space="preserve"> = 3 blocks:</w:t>
      </w:r>
    </w:p>
    <w:p>
      <w:pPr>
        <w:spacing w:before="160" w:after="200"/>
        <w:jc w:val="center"/>
      </w:pPr>
      <w:r>
        <w:drawing>
          <wp:inline xmlns:a="http://schemas.openxmlformats.org/drawingml/2006/main" xmlns:pic="http://schemas.openxmlformats.org/drawingml/2006/picture">
            <wp:extent cx="2473452" cy="242316"/>
            <wp:docPr id="2" name="Picture 2"/>
            <wp:cNvGraphicFramePr>
              <a:graphicFrameLocks noChangeAspect="1"/>
            </wp:cNvGraphicFramePr>
            <a:graphic>
              <a:graphicData uri="http://schemas.openxmlformats.org/drawingml/2006/picture">
                <pic:pic>
                  <pic:nvPicPr>
                    <pic:cNvPr id="0" name="eq12_omegaN.png"/>
                    <pic:cNvPicPr/>
                  </pic:nvPicPr>
                  <pic:blipFill>
                    <a:blip r:embed="rId10"/>
                    <a:stretch>
                      <a:fillRect/>
                    </a:stretch>
                  </pic:blipFill>
                  <pic:spPr>
                    <a:xfrm>
                      <a:off x="0" y="0"/>
                      <a:ext cx="2473452" cy="242316"/>
                    </a:xfrm>
                    <a:prstGeom prst="rect"/>
                  </pic:spPr>
                </pic:pic>
              </a:graphicData>
            </a:graphic>
          </wp:inline>
        </w:drawing>
      </w:r>
    </w:p>
    <w:p>
      <w:pPr>
        <w:spacing w:after="120" w:before="0"/>
        <w:jc w:val="both"/>
      </w:pPr>
      <w:r>
        <w:rPr>
          <w:rFonts w:ascii="Times New Roman" w:hAnsi="Times New Roman" w:cs="Times New Roman" w:eastAsia="Times New Roman"/>
          <w:b w:val="0"/>
          <w:i w:val="0"/>
          <w:color w:val="000000"/>
          <w:sz w:val="24"/>
        </w:rPr>
        <w:t xml:space="preserve">Power for the null hypothesis </w:t>
      </w:r>
      <w:r>
        <w:rPr>
          <w:rFonts w:ascii="Times New Roman" w:hAnsi="Times New Roman" w:cs="Times New Roman" w:eastAsia="Times New Roman"/>
          <w:b w:val="0"/>
          <w:i/>
          <w:color w:val="000000"/>
          <w:sz w:val="24"/>
        </w:rPr>
        <w:t>β</w:t>
      </w:r>
      <w:r>
        <w:rPr>
          <w:rFonts w:ascii="Times New Roman" w:hAnsi="Times New Roman" w:cs="Times New Roman" w:eastAsia="Times New Roman"/>
          <w:b w:val="0"/>
          <w:i/>
          <w:color w:val="000000"/>
          <w:sz w:val="24"/>
          <w:vertAlign w:val="subscript"/>
        </w:rPr>
        <w:t>k</w:t>
      </w:r>
      <w:r>
        <w:rPr>
          <w:rFonts w:ascii="Times New Roman" w:hAnsi="Times New Roman" w:cs="Times New Roman" w:eastAsia="Times New Roman"/>
          <w:b w:val="0"/>
          <w:i w:val="0"/>
          <w:color w:val="000000"/>
          <w:sz w:val="24"/>
        </w:rPr>
        <w:t xml:space="preserve"> = 0 against a two-sided alternative at significance level </w:t>
      </w:r>
      <w:r>
        <w:rPr>
          <w:rFonts w:ascii="Times New Roman" w:hAnsi="Times New Roman" w:cs="Times New Roman" w:eastAsia="Times New Roman"/>
          <w:b w:val="0"/>
          <w:i/>
          <w:color w:val="000000"/>
          <w:sz w:val="24"/>
        </w:rPr>
        <w:t>α</w:t>
      </w:r>
      <w:r>
        <w:rPr>
          <w:rFonts w:ascii="Times New Roman" w:hAnsi="Times New Roman" w:cs="Times New Roman" w:eastAsia="Times New Roman"/>
          <w:b w:val="0"/>
          <w:i w:val="0"/>
          <w:color w:val="000000"/>
          <w:sz w:val="24"/>
        </w:rPr>
        <w:t xml:space="preserve"> is:</w:t>
      </w:r>
    </w:p>
    <w:p>
      <w:pPr>
        <w:spacing w:before="160" w:after="200"/>
        <w:jc w:val="center"/>
      </w:pPr>
      <w:r>
        <w:drawing>
          <wp:inline xmlns:a="http://schemas.openxmlformats.org/drawingml/2006/main" xmlns:pic="http://schemas.openxmlformats.org/drawingml/2006/picture">
            <wp:extent cx="2882646" cy="292608"/>
            <wp:docPr id="3" name="Picture 3"/>
            <wp:cNvGraphicFramePr>
              <a:graphicFrameLocks noChangeAspect="1"/>
            </wp:cNvGraphicFramePr>
            <a:graphic>
              <a:graphicData uri="http://schemas.openxmlformats.org/drawingml/2006/picture">
                <pic:pic>
                  <pic:nvPicPr>
                    <pic:cNvPr id="0" name="eq12_power.png"/>
                    <pic:cNvPicPr/>
                  </pic:nvPicPr>
                  <pic:blipFill>
                    <a:blip r:embed="rId11"/>
                    <a:stretch>
                      <a:fillRect/>
                    </a:stretch>
                  </pic:blipFill>
                  <pic:spPr>
                    <a:xfrm>
                      <a:off x="0" y="0"/>
                      <a:ext cx="2882646" cy="292608"/>
                    </a:xfrm>
                    <a:prstGeom prst="rect"/>
                  </pic:spPr>
                </pic:pic>
              </a:graphicData>
            </a:graphic>
          </wp:inline>
        </w:drawing>
      </w:r>
    </w:p>
    <w:p>
      <w:pPr>
        <w:spacing w:after="120" w:before="0"/>
        <w:jc w:val="both"/>
      </w:pPr>
      <w:r>
        <w:rPr>
          <w:rFonts w:ascii="Times New Roman" w:hAnsi="Times New Roman" w:cs="Times New Roman" w:eastAsia="Times New Roman"/>
          <w:b w:val="0"/>
          <w:i w:val="0"/>
          <w:color w:val="000000"/>
          <w:sz w:val="24"/>
        </w:rPr>
        <w:t>and the minimum detectable effect is:</w:t>
      </w:r>
    </w:p>
    <w:p>
      <w:pPr>
        <w:spacing w:before="160" w:after="200"/>
        <w:jc w:val="center"/>
      </w:pPr>
      <w:r>
        <w:drawing>
          <wp:inline xmlns:a="http://schemas.openxmlformats.org/drawingml/2006/main" xmlns:pic="http://schemas.openxmlformats.org/drawingml/2006/picture">
            <wp:extent cx="1924812" cy="230886"/>
            <wp:docPr id="4" name="Picture 4"/>
            <wp:cNvGraphicFramePr>
              <a:graphicFrameLocks noChangeAspect="1"/>
            </wp:cNvGraphicFramePr>
            <a:graphic>
              <a:graphicData uri="http://schemas.openxmlformats.org/drawingml/2006/picture">
                <pic:pic>
                  <pic:nvPicPr>
                    <pic:cNvPr id="0" name="eq12_mde.png"/>
                    <pic:cNvPicPr/>
                  </pic:nvPicPr>
                  <pic:blipFill>
                    <a:blip r:embed="rId12"/>
                    <a:stretch>
                      <a:fillRect/>
                    </a:stretch>
                  </pic:blipFill>
                  <pic:spPr>
                    <a:xfrm>
                      <a:off x="0" y="0"/>
                      <a:ext cx="1924812" cy="230886"/>
                    </a:xfrm>
                    <a:prstGeom prst="rect"/>
                  </pic:spPr>
                </pic:pic>
              </a:graphicData>
            </a:graphic>
          </wp:inline>
        </w:drawing>
      </w:r>
    </w:p>
    <w:p>
      <w:pPr>
        <w:spacing w:after="120" w:before="0"/>
        <w:jc w:val="both"/>
      </w:pPr>
      <w:r>
        <w:rPr>
          <w:rFonts w:ascii="Times New Roman" w:hAnsi="Times New Roman" w:cs="Times New Roman" w:eastAsia="Times New Roman"/>
          <w:b w:val="0"/>
          <w:i w:val="0"/>
          <w:color w:val="000000"/>
          <w:sz w:val="24"/>
        </w:rPr>
        <w:t>Applying this to the fielded design gives the following:</w:t>
      </w:r>
    </w:p>
    <w:tbl>
      <w:tblPr>
        <w:tblStyle w:val="TableGrid"/>
        <w:tblW w:type="auto" w:w="0"/>
        <w:jc w:val="left"/>
        <w:tblLayout w:type="fixed"/>
        <w:tblLook w:firstColumn="1" w:firstRow="1" w:lastColumn="0" w:lastRow="0" w:noHBand="0" w:noVBand="1" w:val="04A0"/>
      </w:tblPr>
      <w:tblGrid>
        <w:gridCol w:w="2351"/>
        <w:gridCol w:w="2351"/>
        <w:gridCol w:w="2351"/>
        <w:gridCol w:w="2351"/>
      </w:tblGrid>
      <w:tr>
        <w:trPr>
          <w:tblHeader w:val="true"/>
        </w:trPr>
        <w:tc>
          <w:tcPr>
            <w:tcW w:type="dxa" w:w="1928"/>
            <w:vAlign w:val="center"/>
          </w:tcPr>
          <w:p>
            <w:pPr>
              <w:spacing w:before="40" w:after="40"/>
              <w:jc w:val="center"/>
            </w:pPr>
            <w:r/>
            <w:r>
              <w:rPr>
                <w:rFonts w:ascii="Times New Roman" w:hAnsi="Times New Roman" w:cs="Times New Roman" w:eastAsia="Times New Roman"/>
                <w:b/>
                <w:i w:val="0"/>
                <w:color w:val="000000"/>
                <w:sz w:val="22"/>
              </w:rPr>
              <w:t>Completed interviews</w:t>
            </w:r>
          </w:p>
        </w:tc>
        <w:tc>
          <w:tcPr>
            <w:tcW w:type="dxa" w:w="2608"/>
            <w:vAlign w:val="center"/>
          </w:tcPr>
          <w:p>
            <w:pPr>
              <w:spacing w:before="40" w:after="40"/>
              <w:jc w:val="center"/>
            </w:pPr>
            <w:r/>
            <w:r>
              <w:rPr>
                <w:rFonts w:ascii="Times New Roman" w:hAnsi="Times New Roman" w:cs="Times New Roman" w:eastAsia="Times New Roman"/>
                <w:b/>
                <w:i w:val="0"/>
                <w:color w:val="000000"/>
                <w:sz w:val="22"/>
              </w:rPr>
              <w:t>Standard error, attribute parameters</w:t>
            </w:r>
          </w:p>
        </w:tc>
        <w:tc>
          <w:tcPr>
            <w:tcW w:type="dxa" w:w="2494"/>
            <w:vAlign w:val="center"/>
          </w:tcPr>
          <w:p>
            <w:pPr>
              <w:spacing w:before="40" w:after="40"/>
              <w:jc w:val="center"/>
            </w:pPr>
            <w:r/>
            <w:r>
              <w:rPr>
                <w:rFonts w:ascii="Times New Roman" w:hAnsi="Times New Roman" w:cs="Times New Roman" w:eastAsia="Times New Roman"/>
                <w:b/>
                <w:i w:val="0"/>
                <w:color w:val="000000"/>
                <w:sz w:val="22"/>
              </w:rPr>
              <w:t>Minimum detectable effect at 80% power</w:t>
            </w:r>
          </w:p>
        </w:tc>
        <w:tc>
          <w:tcPr>
            <w:tcW w:type="dxa" w:w="2041"/>
            <w:vAlign w:val="center"/>
          </w:tcPr>
          <w:p>
            <w:pPr>
              <w:spacing w:before="40" w:after="40"/>
              <w:jc w:val="center"/>
            </w:pPr>
            <w:r/>
            <w:r>
              <w:rPr>
                <w:rFonts w:ascii="Times New Roman" w:hAnsi="Times New Roman" w:cs="Times New Roman" w:eastAsia="Times New Roman"/>
                <w:b/>
                <w:i w:val="0"/>
                <w:color w:val="000000"/>
                <w:sz w:val="22"/>
              </w:rPr>
              <w:t>95% CI half-width, proportions</w:t>
            </w:r>
          </w:p>
        </w:tc>
      </w:tr>
      <w:tr>
        <w:tc>
          <w:tcPr>
            <w:tcW w:type="dxa" w:w="1928"/>
            <w:vAlign w:val="center"/>
          </w:tcPr>
          <w:p>
            <w:pPr>
              <w:spacing w:before="40" w:after="40"/>
              <w:jc w:val="center"/>
            </w:pPr>
            <w:r/>
            <w:r>
              <w:rPr>
                <w:rFonts w:ascii="Times New Roman" w:hAnsi="Times New Roman" w:cs="Times New Roman" w:eastAsia="Times New Roman"/>
                <w:b/>
                <w:i w:val="0"/>
                <w:color w:val="000000"/>
                <w:sz w:val="22"/>
              </w:rPr>
              <w:t>150</w:t>
            </w:r>
          </w:p>
        </w:tc>
        <w:tc>
          <w:tcPr>
            <w:tcW w:type="dxa" w:w="2608"/>
            <w:vAlign w:val="center"/>
          </w:tcPr>
          <w:p>
            <w:pPr>
              <w:spacing w:before="40" w:after="40"/>
              <w:jc w:val="center"/>
            </w:pPr>
            <w:r/>
            <w:r>
              <w:rPr>
                <w:rFonts w:ascii="Times New Roman" w:hAnsi="Times New Roman" w:cs="Times New Roman" w:eastAsia="Times New Roman"/>
                <w:b w:val="0"/>
                <w:i w:val="0"/>
                <w:color w:val="000000"/>
                <w:sz w:val="22"/>
              </w:rPr>
              <w:t>0.085 – 0.209</w:t>
            </w:r>
          </w:p>
        </w:tc>
        <w:tc>
          <w:tcPr>
            <w:tcW w:type="dxa" w:w="2494"/>
            <w:vAlign w:val="center"/>
          </w:tcPr>
          <w:p>
            <w:pPr>
              <w:spacing w:before="40" w:after="40"/>
              <w:jc w:val="center"/>
            </w:pPr>
            <w:r/>
            <w:r>
              <w:rPr>
                <w:rFonts w:ascii="Times New Roman" w:hAnsi="Times New Roman" w:cs="Times New Roman" w:eastAsia="Times New Roman"/>
                <w:b w:val="0"/>
                <w:i w:val="0"/>
                <w:color w:val="000000"/>
                <w:sz w:val="22"/>
              </w:rPr>
              <w:t>0.24 – 0.58</w:t>
            </w:r>
          </w:p>
        </w:tc>
        <w:tc>
          <w:tcPr>
            <w:tcW w:type="dxa" w:w="2041"/>
            <w:vAlign w:val="center"/>
          </w:tcPr>
          <w:p>
            <w:pPr>
              <w:spacing w:before="40" w:after="40"/>
              <w:jc w:val="center"/>
            </w:pPr>
            <w:r/>
            <w:r>
              <w:rPr>
                <w:rFonts w:ascii="Times New Roman" w:hAnsi="Times New Roman" w:cs="Times New Roman" w:eastAsia="Times New Roman"/>
                <w:b w:val="0"/>
                <w:i w:val="0"/>
                <w:color w:val="000000"/>
                <w:sz w:val="22"/>
              </w:rPr>
              <w:t>±8.0 points</w:t>
            </w:r>
          </w:p>
        </w:tc>
      </w:tr>
      <w:tr>
        <w:tc>
          <w:tcPr>
            <w:tcW w:type="dxa" w:w="1928"/>
            <w:vAlign w:val="center"/>
          </w:tcPr>
          <w:p>
            <w:pPr>
              <w:spacing w:before="40" w:after="40"/>
              <w:jc w:val="center"/>
            </w:pPr>
            <w:r/>
            <w:r>
              <w:rPr>
                <w:rFonts w:ascii="Times New Roman" w:hAnsi="Times New Roman" w:cs="Times New Roman" w:eastAsia="Times New Roman"/>
                <w:b/>
                <w:i w:val="0"/>
                <w:color w:val="000000"/>
                <w:sz w:val="22"/>
              </w:rPr>
              <w:t>200</w:t>
            </w:r>
          </w:p>
        </w:tc>
        <w:tc>
          <w:tcPr>
            <w:tcW w:type="dxa" w:w="2608"/>
            <w:vAlign w:val="center"/>
          </w:tcPr>
          <w:p>
            <w:pPr>
              <w:spacing w:before="40" w:after="40"/>
              <w:jc w:val="center"/>
            </w:pPr>
            <w:r/>
            <w:r>
              <w:rPr>
                <w:rFonts w:ascii="Times New Roman" w:hAnsi="Times New Roman" w:cs="Times New Roman" w:eastAsia="Times New Roman"/>
                <w:b w:val="0"/>
                <w:i w:val="0"/>
                <w:color w:val="000000"/>
                <w:sz w:val="22"/>
              </w:rPr>
              <w:t>0.074 – 0.181</w:t>
            </w:r>
          </w:p>
        </w:tc>
        <w:tc>
          <w:tcPr>
            <w:tcW w:type="dxa" w:w="2494"/>
            <w:vAlign w:val="center"/>
          </w:tcPr>
          <w:p>
            <w:pPr>
              <w:spacing w:before="40" w:after="40"/>
              <w:jc w:val="center"/>
            </w:pPr>
            <w:r/>
            <w:r>
              <w:rPr>
                <w:rFonts w:ascii="Times New Roman" w:hAnsi="Times New Roman" w:cs="Times New Roman" w:eastAsia="Times New Roman"/>
                <w:b w:val="0"/>
                <w:i w:val="0"/>
                <w:color w:val="000000"/>
                <w:sz w:val="22"/>
              </w:rPr>
              <w:t>0.21 – 0.51</w:t>
            </w:r>
          </w:p>
        </w:tc>
        <w:tc>
          <w:tcPr>
            <w:tcW w:type="dxa" w:w="2041"/>
            <w:vAlign w:val="center"/>
          </w:tcPr>
          <w:p>
            <w:pPr>
              <w:spacing w:before="40" w:after="40"/>
              <w:jc w:val="center"/>
            </w:pPr>
            <w:r/>
            <w:r>
              <w:rPr>
                <w:rFonts w:ascii="Times New Roman" w:hAnsi="Times New Roman" w:cs="Times New Roman" w:eastAsia="Times New Roman"/>
                <w:b w:val="0"/>
                <w:i w:val="0"/>
                <w:color w:val="000000"/>
                <w:sz w:val="22"/>
              </w:rPr>
              <w:t>±6.9 points</w:t>
            </w:r>
          </w:p>
        </w:tc>
      </w:tr>
      <w:tr>
        <w:tc>
          <w:tcPr>
            <w:tcW w:type="dxa" w:w="1928"/>
            <w:vAlign w:val="center"/>
          </w:tcPr>
          <w:p>
            <w:pPr>
              <w:spacing w:before="40" w:after="40"/>
              <w:jc w:val="center"/>
            </w:pPr>
            <w:r/>
            <w:r>
              <w:rPr>
                <w:rFonts w:ascii="Times New Roman" w:hAnsi="Times New Roman" w:cs="Times New Roman" w:eastAsia="Times New Roman"/>
                <w:b/>
                <w:i w:val="0"/>
                <w:color w:val="000000"/>
                <w:sz w:val="22"/>
              </w:rPr>
              <w:t>300</w:t>
            </w:r>
          </w:p>
        </w:tc>
        <w:tc>
          <w:tcPr>
            <w:tcW w:type="dxa" w:w="2608"/>
            <w:vAlign w:val="center"/>
          </w:tcPr>
          <w:p>
            <w:pPr>
              <w:spacing w:before="40" w:after="40"/>
              <w:jc w:val="center"/>
            </w:pPr>
            <w:r/>
            <w:r>
              <w:rPr>
                <w:rFonts w:ascii="Times New Roman" w:hAnsi="Times New Roman" w:cs="Times New Roman" w:eastAsia="Times New Roman"/>
                <w:b w:val="0"/>
                <w:i w:val="0"/>
                <w:color w:val="000000"/>
                <w:sz w:val="22"/>
              </w:rPr>
              <w:t>0.060 – 0.148</w:t>
            </w:r>
          </w:p>
        </w:tc>
        <w:tc>
          <w:tcPr>
            <w:tcW w:type="dxa" w:w="2494"/>
            <w:vAlign w:val="center"/>
          </w:tcPr>
          <w:p>
            <w:pPr>
              <w:spacing w:before="40" w:after="40"/>
              <w:jc w:val="center"/>
            </w:pPr>
            <w:r/>
            <w:r>
              <w:rPr>
                <w:rFonts w:ascii="Times New Roman" w:hAnsi="Times New Roman" w:cs="Times New Roman" w:eastAsia="Times New Roman"/>
                <w:b w:val="0"/>
                <w:i w:val="0"/>
                <w:color w:val="000000"/>
                <w:sz w:val="22"/>
              </w:rPr>
              <w:t>0.17 – 0.41</w:t>
            </w:r>
          </w:p>
        </w:tc>
        <w:tc>
          <w:tcPr>
            <w:tcW w:type="dxa" w:w="2041"/>
            <w:vAlign w:val="center"/>
          </w:tcPr>
          <w:p>
            <w:pPr>
              <w:spacing w:before="40" w:after="40"/>
              <w:jc w:val="center"/>
            </w:pPr>
            <w:r/>
            <w:r>
              <w:rPr>
                <w:rFonts w:ascii="Times New Roman" w:hAnsi="Times New Roman" w:cs="Times New Roman" w:eastAsia="Times New Roman"/>
                <w:b w:val="0"/>
                <w:i w:val="0"/>
                <w:color w:val="000000"/>
                <w:sz w:val="22"/>
              </w:rPr>
              <w:t>±5.7 points</w:t>
            </w:r>
          </w:p>
        </w:tc>
      </w:tr>
      <w:tr>
        <w:tc>
          <w:tcPr>
            <w:tcW w:type="dxa" w:w="1928"/>
            <w:vAlign w:val="center"/>
          </w:tcPr>
          <w:p>
            <w:pPr>
              <w:spacing w:before="40" w:after="40"/>
              <w:jc w:val="center"/>
            </w:pPr>
            <w:r/>
            <w:r>
              <w:rPr>
                <w:rFonts w:ascii="Times New Roman" w:hAnsi="Times New Roman" w:cs="Times New Roman" w:eastAsia="Times New Roman"/>
                <w:b/>
                <w:i w:val="0"/>
                <w:color w:val="000000"/>
                <w:sz w:val="22"/>
              </w:rPr>
              <w:t>400</w:t>
            </w:r>
          </w:p>
        </w:tc>
        <w:tc>
          <w:tcPr>
            <w:tcW w:type="dxa" w:w="2608"/>
            <w:vAlign w:val="center"/>
          </w:tcPr>
          <w:p>
            <w:pPr>
              <w:spacing w:before="40" w:after="40"/>
              <w:jc w:val="center"/>
            </w:pPr>
            <w:r/>
            <w:r>
              <w:rPr>
                <w:rFonts w:ascii="Times New Roman" w:hAnsi="Times New Roman" w:cs="Times New Roman" w:eastAsia="Times New Roman"/>
                <w:b w:val="0"/>
                <w:i w:val="0"/>
                <w:color w:val="000000"/>
                <w:sz w:val="22"/>
              </w:rPr>
              <w:t>0.052 – 0.128</w:t>
            </w:r>
          </w:p>
        </w:tc>
        <w:tc>
          <w:tcPr>
            <w:tcW w:type="dxa" w:w="2494"/>
            <w:vAlign w:val="center"/>
          </w:tcPr>
          <w:p>
            <w:pPr>
              <w:spacing w:before="40" w:after="40"/>
              <w:jc w:val="center"/>
            </w:pPr>
            <w:r/>
            <w:r>
              <w:rPr>
                <w:rFonts w:ascii="Times New Roman" w:hAnsi="Times New Roman" w:cs="Times New Roman" w:eastAsia="Times New Roman"/>
                <w:b w:val="0"/>
                <w:i w:val="0"/>
                <w:color w:val="000000"/>
                <w:sz w:val="22"/>
              </w:rPr>
              <w:t>0.15 – 0.36</w:t>
            </w:r>
          </w:p>
        </w:tc>
        <w:tc>
          <w:tcPr>
            <w:tcW w:type="dxa" w:w="2041"/>
            <w:vAlign w:val="center"/>
          </w:tcPr>
          <w:p>
            <w:pPr>
              <w:spacing w:before="40" w:after="40"/>
              <w:jc w:val="center"/>
            </w:pPr>
            <w:r/>
            <w:r>
              <w:rPr>
                <w:rFonts w:ascii="Times New Roman" w:hAnsi="Times New Roman" w:cs="Times New Roman" w:eastAsia="Times New Roman"/>
                <w:b w:val="0"/>
                <w:i w:val="0"/>
                <w:color w:val="000000"/>
                <w:sz w:val="22"/>
              </w:rPr>
              <w:t>±4.9 points</w:t>
            </w:r>
          </w:p>
        </w:tc>
      </w:tr>
    </w:tbl>
    <w:p>
      <w:pPr>
        <w:spacing w:after="80"/>
      </w:pPr>
    </w:p>
    <w:p>
      <w:pPr>
        <w:spacing w:after="120" w:before="0"/>
        <w:jc w:val="both"/>
      </w:pPr>
      <w:r>
        <w:rPr>
          <w:rFonts w:ascii="Times New Roman" w:hAnsi="Times New Roman" w:cs="Times New Roman" w:eastAsia="Times New Roman"/>
          <w:b w:val="0"/>
          <w:i w:val="0"/>
          <w:color w:val="000000"/>
          <w:sz w:val="24"/>
        </w:rPr>
        <w:t xml:space="preserve">At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300 the median standard error across the attribute parameters is 0.083 and the opt-out constant is estimated at 0.148. Power is 0.86 for a coefficient of </w:t>
      </w:r>
      <w:r>
        <w:rPr>
          <w:rFonts w:ascii="Times New Roman" w:hAnsi="Times New Roman" w:cs="Times New Roman" w:eastAsia="Times New Roman"/>
          <w:b w:val="0"/>
          <w:i/>
          <w:color w:val="000000"/>
          <w:sz w:val="24"/>
        </w:rPr>
        <w:t>β</w:t>
      </w:r>
      <w:r>
        <w:rPr>
          <w:rFonts w:ascii="Times New Roman" w:hAnsi="Times New Roman" w:cs="Times New Roman" w:eastAsia="Times New Roman"/>
          <w:b w:val="0"/>
          <w:i w:val="0"/>
          <w:color w:val="000000"/>
          <w:sz w:val="24"/>
        </w:rPr>
        <w:t xml:space="preserve"> = 0.25, equivalent to an odds ratio of 1.28, and 0.95 for </w:t>
      </w:r>
      <w:r>
        <w:rPr>
          <w:rFonts w:ascii="Times New Roman" w:hAnsi="Times New Roman" w:cs="Times New Roman" w:eastAsia="Times New Roman"/>
          <w:b w:val="0"/>
          <w:i/>
          <w:color w:val="000000"/>
          <w:sz w:val="24"/>
        </w:rPr>
        <w:t>β</w:t>
      </w:r>
      <w:r>
        <w:rPr>
          <w:rFonts w:ascii="Times New Roman" w:hAnsi="Times New Roman" w:cs="Times New Roman" w:eastAsia="Times New Roman"/>
          <w:b w:val="0"/>
          <w:i w:val="0"/>
          <w:color w:val="000000"/>
          <w:sz w:val="24"/>
        </w:rPr>
        <w:t xml:space="preserve"> = 0.30. The minimum detectable effect is </w:t>
      </w:r>
      <w:r>
        <w:rPr>
          <w:rFonts w:ascii="Times New Roman" w:hAnsi="Times New Roman" w:cs="Times New Roman" w:eastAsia="Times New Roman"/>
          <w:b w:val="0"/>
          <w:i/>
          <w:color w:val="000000"/>
          <w:sz w:val="24"/>
        </w:rPr>
        <w:t>β</w:t>
      </w:r>
      <w:r>
        <w:rPr>
          <w:rFonts w:ascii="Times New Roman" w:hAnsi="Times New Roman" w:cs="Times New Roman" w:eastAsia="Times New Roman"/>
          <w:b w:val="0"/>
          <w:i w:val="0"/>
          <w:color w:val="000000"/>
          <w:sz w:val="24"/>
        </w:rPr>
        <w:t xml:space="preserve"> = 0.23 at 80% power and 0.27 at 90%.</w:t>
      </w:r>
    </w:p>
    <w:tbl>
      <w:tblPr>
        <w:tblStyle w:val="TableGrid"/>
        <w:tblW w:type="auto" w:w="0"/>
        <w:jc w:val="left"/>
        <w:tblLayout w:type="fixed"/>
        <w:tblLook w:firstColumn="1" w:firstRow="1" w:lastColumn="0" w:lastRow="0" w:noHBand="0" w:noVBand="1" w:val="04A0"/>
      </w:tblPr>
      <w:tblGrid>
        <w:gridCol w:w="2351"/>
        <w:gridCol w:w="2351"/>
        <w:gridCol w:w="2351"/>
        <w:gridCol w:w="2351"/>
      </w:tblGrid>
      <w:tr>
        <w:trPr>
          <w:tblHeader w:val="true"/>
        </w:trPr>
        <w:tc>
          <w:tcPr>
            <w:tcW w:type="dxa" w:w="2041"/>
            <w:vAlign w:val="center"/>
          </w:tcPr>
          <w:p>
            <w:pPr>
              <w:spacing w:before="40" w:after="40"/>
              <w:jc w:val="center"/>
            </w:pPr>
            <w:r/>
            <w:r>
              <w:rPr>
                <w:rFonts w:ascii="Times New Roman" w:hAnsi="Times New Roman" w:cs="Times New Roman" w:eastAsia="Times New Roman"/>
                <w:b/>
                <w:i w:val="0"/>
                <w:color w:val="000000"/>
                <w:sz w:val="22"/>
              </w:rPr>
              <w:t>Utility coefficient</w:t>
            </w:r>
          </w:p>
        </w:tc>
        <w:tc>
          <w:tcPr>
            <w:tcW w:type="dxa" w:w="1587"/>
            <w:vAlign w:val="center"/>
          </w:tcPr>
          <w:p>
            <w:pPr>
              <w:spacing w:before="40" w:after="40"/>
              <w:jc w:val="center"/>
            </w:pPr>
            <w:r/>
            <w:r>
              <w:rPr>
                <w:rFonts w:ascii="Times New Roman" w:hAnsi="Times New Roman" w:cs="Times New Roman" w:eastAsia="Times New Roman"/>
                <w:b/>
                <w:i w:val="0"/>
                <w:color w:val="000000"/>
                <w:sz w:val="22"/>
              </w:rPr>
              <w:t>Odds ratio</w:t>
            </w:r>
          </w:p>
        </w:tc>
        <w:tc>
          <w:tcPr>
            <w:tcW w:type="dxa" w:w="3515"/>
            <w:vAlign w:val="center"/>
          </w:tcPr>
          <w:p>
            <w:pPr>
              <w:spacing w:before="40" w:after="40"/>
              <w:jc w:val="center"/>
            </w:pPr>
            <w:r/>
            <w:r>
              <w:rPr>
                <w:rFonts w:ascii="Times New Roman" w:hAnsi="Times New Roman" w:cs="Times New Roman" w:eastAsia="Times New Roman"/>
                <w:b/>
                <w:i w:val="0"/>
                <w:color w:val="000000"/>
                <w:sz w:val="22"/>
              </w:rPr>
              <w:t>Choice share against an indifferent alternative</w:t>
            </w:r>
          </w:p>
        </w:tc>
        <w:tc>
          <w:tcPr>
            <w:tcW w:type="dxa" w:w="1928"/>
            <w:vAlign w:val="center"/>
          </w:tcPr>
          <w:p>
            <w:pPr>
              <w:spacing w:before="40" w:after="40"/>
              <w:jc w:val="center"/>
            </w:pPr>
            <w:r/>
            <w:r>
              <w:rPr>
                <w:rFonts w:ascii="Times New Roman" w:hAnsi="Times New Roman" w:cs="Times New Roman" w:eastAsia="Times New Roman"/>
                <w:b/>
                <w:i w:val="0"/>
                <w:color w:val="000000"/>
                <w:sz w:val="22"/>
              </w:rPr>
              <w:t>Power at N = 300</w:t>
            </w:r>
          </w:p>
        </w:tc>
      </w:tr>
      <w:tr>
        <w:tc>
          <w:tcPr>
            <w:tcW w:type="dxa" w:w="2041"/>
            <w:vAlign w:val="center"/>
          </w:tcPr>
          <w:p>
            <w:pPr>
              <w:spacing w:before="40" w:after="40"/>
              <w:jc w:val="center"/>
            </w:pPr>
            <w:r/>
            <w:r>
              <w:rPr>
                <w:rFonts w:ascii="Times New Roman" w:hAnsi="Times New Roman" w:cs="Times New Roman" w:eastAsia="Times New Roman"/>
                <w:b/>
                <w:i w:val="0"/>
                <w:color w:val="000000"/>
                <w:sz w:val="22"/>
              </w:rPr>
              <w:t>0.15</w:t>
            </w:r>
          </w:p>
        </w:tc>
        <w:tc>
          <w:tcPr>
            <w:tcW w:type="dxa" w:w="1587"/>
            <w:vAlign w:val="center"/>
          </w:tcPr>
          <w:p>
            <w:pPr>
              <w:spacing w:before="40" w:after="40"/>
              <w:jc w:val="center"/>
            </w:pPr>
            <w:r/>
            <w:r>
              <w:rPr>
                <w:rFonts w:ascii="Times New Roman" w:hAnsi="Times New Roman" w:cs="Times New Roman" w:eastAsia="Times New Roman"/>
                <w:b w:val="0"/>
                <w:i w:val="0"/>
                <w:color w:val="000000"/>
                <w:sz w:val="22"/>
              </w:rPr>
              <w:t>1.16</w:t>
            </w:r>
          </w:p>
        </w:tc>
        <w:tc>
          <w:tcPr>
            <w:tcW w:type="dxa" w:w="3515"/>
            <w:vAlign w:val="center"/>
          </w:tcPr>
          <w:p>
            <w:pPr>
              <w:spacing w:before="40" w:after="40"/>
              <w:jc w:val="center"/>
            </w:pPr>
            <w:r/>
            <w:r>
              <w:rPr>
                <w:rFonts w:ascii="Times New Roman" w:hAnsi="Times New Roman" w:cs="Times New Roman" w:eastAsia="Times New Roman"/>
                <w:b w:val="0"/>
                <w:i w:val="0"/>
                <w:color w:val="000000"/>
                <w:sz w:val="22"/>
              </w:rPr>
              <w:t>54 : 46</w:t>
            </w:r>
          </w:p>
        </w:tc>
        <w:tc>
          <w:tcPr>
            <w:tcW w:type="dxa" w:w="1928"/>
            <w:vAlign w:val="center"/>
          </w:tcPr>
          <w:p>
            <w:pPr>
              <w:spacing w:before="40" w:after="40"/>
              <w:jc w:val="center"/>
            </w:pPr>
            <w:r/>
            <w:r>
              <w:rPr>
                <w:rFonts w:ascii="Times New Roman" w:hAnsi="Times New Roman" w:cs="Times New Roman" w:eastAsia="Times New Roman"/>
                <w:b w:val="0"/>
                <w:i w:val="0"/>
                <w:color w:val="000000"/>
                <w:sz w:val="22"/>
              </w:rPr>
              <w:t>0.44</w:t>
            </w:r>
          </w:p>
        </w:tc>
      </w:tr>
      <w:tr>
        <w:tc>
          <w:tcPr>
            <w:tcW w:type="dxa" w:w="2041"/>
            <w:vAlign w:val="center"/>
          </w:tcPr>
          <w:p>
            <w:pPr>
              <w:spacing w:before="40" w:after="40"/>
              <w:jc w:val="center"/>
            </w:pPr>
            <w:r/>
            <w:r>
              <w:rPr>
                <w:rFonts w:ascii="Times New Roman" w:hAnsi="Times New Roman" w:cs="Times New Roman" w:eastAsia="Times New Roman"/>
                <w:b/>
                <w:i w:val="0"/>
                <w:color w:val="000000"/>
                <w:sz w:val="22"/>
              </w:rPr>
              <w:t>0.20</w:t>
            </w:r>
          </w:p>
        </w:tc>
        <w:tc>
          <w:tcPr>
            <w:tcW w:type="dxa" w:w="1587"/>
            <w:vAlign w:val="center"/>
          </w:tcPr>
          <w:p>
            <w:pPr>
              <w:spacing w:before="40" w:after="40"/>
              <w:jc w:val="center"/>
            </w:pPr>
            <w:r/>
            <w:r>
              <w:rPr>
                <w:rFonts w:ascii="Times New Roman" w:hAnsi="Times New Roman" w:cs="Times New Roman" w:eastAsia="Times New Roman"/>
                <w:b w:val="0"/>
                <w:i w:val="0"/>
                <w:color w:val="000000"/>
                <w:sz w:val="22"/>
              </w:rPr>
              <w:t>1.22</w:t>
            </w:r>
          </w:p>
        </w:tc>
        <w:tc>
          <w:tcPr>
            <w:tcW w:type="dxa" w:w="3515"/>
            <w:vAlign w:val="center"/>
          </w:tcPr>
          <w:p>
            <w:pPr>
              <w:spacing w:before="40" w:after="40"/>
              <w:jc w:val="center"/>
            </w:pPr>
            <w:r/>
            <w:r>
              <w:rPr>
                <w:rFonts w:ascii="Times New Roman" w:hAnsi="Times New Roman" w:cs="Times New Roman" w:eastAsia="Times New Roman"/>
                <w:b w:val="0"/>
                <w:i w:val="0"/>
                <w:color w:val="000000"/>
                <w:sz w:val="22"/>
              </w:rPr>
              <w:t>55 : 45</w:t>
            </w:r>
          </w:p>
        </w:tc>
        <w:tc>
          <w:tcPr>
            <w:tcW w:type="dxa" w:w="1928"/>
            <w:vAlign w:val="center"/>
          </w:tcPr>
          <w:p>
            <w:pPr>
              <w:spacing w:before="40" w:after="40"/>
              <w:jc w:val="center"/>
            </w:pPr>
            <w:r/>
            <w:r>
              <w:rPr>
                <w:rFonts w:ascii="Times New Roman" w:hAnsi="Times New Roman" w:cs="Times New Roman" w:eastAsia="Times New Roman"/>
                <w:b w:val="0"/>
                <w:i w:val="0"/>
                <w:color w:val="000000"/>
                <w:sz w:val="22"/>
              </w:rPr>
              <w:t>0.68</w:t>
            </w:r>
          </w:p>
        </w:tc>
      </w:tr>
      <w:tr>
        <w:tc>
          <w:tcPr>
            <w:tcW w:type="dxa" w:w="2041"/>
            <w:vAlign w:val="center"/>
          </w:tcPr>
          <w:p>
            <w:pPr>
              <w:spacing w:before="40" w:after="40"/>
              <w:jc w:val="center"/>
            </w:pPr>
            <w:r/>
            <w:r>
              <w:rPr>
                <w:rFonts w:ascii="Times New Roman" w:hAnsi="Times New Roman" w:cs="Times New Roman" w:eastAsia="Times New Roman"/>
                <w:b/>
                <w:i w:val="0"/>
                <w:color w:val="000000"/>
                <w:sz w:val="22"/>
              </w:rPr>
              <w:t>0.25</w:t>
            </w:r>
          </w:p>
        </w:tc>
        <w:tc>
          <w:tcPr>
            <w:tcW w:type="dxa" w:w="1587"/>
            <w:vAlign w:val="center"/>
          </w:tcPr>
          <w:p>
            <w:pPr>
              <w:spacing w:before="40" w:after="40"/>
              <w:jc w:val="center"/>
            </w:pPr>
            <w:r/>
            <w:r>
              <w:rPr>
                <w:rFonts w:ascii="Times New Roman" w:hAnsi="Times New Roman" w:cs="Times New Roman" w:eastAsia="Times New Roman"/>
                <w:b w:val="0"/>
                <w:i w:val="0"/>
                <w:color w:val="000000"/>
                <w:sz w:val="22"/>
              </w:rPr>
              <w:t>1.28</w:t>
            </w:r>
          </w:p>
        </w:tc>
        <w:tc>
          <w:tcPr>
            <w:tcW w:type="dxa" w:w="3515"/>
            <w:vAlign w:val="center"/>
          </w:tcPr>
          <w:p>
            <w:pPr>
              <w:spacing w:before="40" w:after="40"/>
              <w:jc w:val="center"/>
            </w:pPr>
            <w:r/>
            <w:r>
              <w:rPr>
                <w:rFonts w:ascii="Times New Roman" w:hAnsi="Times New Roman" w:cs="Times New Roman" w:eastAsia="Times New Roman"/>
                <w:b w:val="0"/>
                <w:i w:val="0"/>
                <w:color w:val="000000"/>
                <w:sz w:val="22"/>
              </w:rPr>
              <w:t>56 : 44</w:t>
            </w:r>
          </w:p>
        </w:tc>
        <w:tc>
          <w:tcPr>
            <w:tcW w:type="dxa" w:w="1928"/>
            <w:vAlign w:val="center"/>
          </w:tcPr>
          <w:p>
            <w:pPr>
              <w:spacing w:before="40" w:after="40"/>
              <w:jc w:val="center"/>
            </w:pPr>
            <w:r/>
            <w:r>
              <w:rPr>
                <w:rFonts w:ascii="Times New Roman" w:hAnsi="Times New Roman" w:cs="Times New Roman" w:eastAsia="Times New Roman"/>
                <w:b w:val="0"/>
                <w:i w:val="0"/>
                <w:color w:val="000000"/>
                <w:sz w:val="22"/>
              </w:rPr>
              <w:t>0.86</w:t>
            </w:r>
          </w:p>
        </w:tc>
      </w:tr>
      <w:tr>
        <w:tc>
          <w:tcPr>
            <w:tcW w:type="dxa" w:w="2041"/>
            <w:vAlign w:val="center"/>
          </w:tcPr>
          <w:p>
            <w:pPr>
              <w:spacing w:before="40" w:after="40"/>
              <w:jc w:val="center"/>
            </w:pPr>
            <w:r/>
            <w:r>
              <w:rPr>
                <w:rFonts w:ascii="Times New Roman" w:hAnsi="Times New Roman" w:cs="Times New Roman" w:eastAsia="Times New Roman"/>
                <w:b/>
                <w:i w:val="0"/>
                <w:color w:val="000000"/>
                <w:sz w:val="22"/>
              </w:rPr>
              <w:t>0.30</w:t>
            </w:r>
          </w:p>
        </w:tc>
        <w:tc>
          <w:tcPr>
            <w:tcW w:type="dxa" w:w="1587"/>
            <w:vAlign w:val="center"/>
          </w:tcPr>
          <w:p>
            <w:pPr>
              <w:spacing w:before="40" w:after="40"/>
              <w:jc w:val="center"/>
            </w:pPr>
            <w:r/>
            <w:r>
              <w:rPr>
                <w:rFonts w:ascii="Times New Roman" w:hAnsi="Times New Roman" w:cs="Times New Roman" w:eastAsia="Times New Roman"/>
                <w:b w:val="0"/>
                <w:i w:val="0"/>
                <w:color w:val="000000"/>
                <w:sz w:val="22"/>
              </w:rPr>
              <w:t>1.35</w:t>
            </w:r>
          </w:p>
        </w:tc>
        <w:tc>
          <w:tcPr>
            <w:tcW w:type="dxa" w:w="3515"/>
            <w:vAlign w:val="center"/>
          </w:tcPr>
          <w:p>
            <w:pPr>
              <w:spacing w:before="40" w:after="40"/>
              <w:jc w:val="center"/>
            </w:pPr>
            <w:r/>
            <w:r>
              <w:rPr>
                <w:rFonts w:ascii="Times New Roman" w:hAnsi="Times New Roman" w:cs="Times New Roman" w:eastAsia="Times New Roman"/>
                <w:b w:val="0"/>
                <w:i w:val="0"/>
                <w:color w:val="000000"/>
                <w:sz w:val="22"/>
              </w:rPr>
              <w:t>57 : 43</w:t>
            </w:r>
          </w:p>
        </w:tc>
        <w:tc>
          <w:tcPr>
            <w:tcW w:type="dxa" w:w="1928"/>
            <w:vAlign w:val="center"/>
          </w:tcPr>
          <w:p>
            <w:pPr>
              <w:spacing w:before="40" w:after="40"/>
              <w:jc w:val="center"/>
            </w:pPr>
            <w:r/>
            <w:r>
              <w:rPr>
                <w:rFonts w:ascii="Times New Roman" w:hAnsi="Times New Roman" w:cs="Times New Roman" w:eastAsia="Times New Roman"/>
                <w:b w:val="0"/>
                <w:i w:val="0"/>
                <w:color w:val="000000"/>
                <w:sz w:val="22"/>
              </w:rPr>
              <w:t>0.95</w:t>
            </w:r>
          </w:p>
        </w:tc>
      </w:tr>
      <w:tr>
        <w:tc>
          <w:tcPr>
            <w:tcW w:type="dxa" w:w="2041"/>
            <w:vAlign w:val="center"/>
          </w:tcPr>
          <w:p>
            <w:pPr>
              <w:spacing w:before="40" w:after="40"/>
              <w:jc w:val="center"/>
            </w:pPr>
            <w:r/>
            <w:r>
              <w:rPr>
                <w:rFonts w:ascii="Times New Roman" w:hAnsi="Times New Roman" w:cs="Times New Roman" w:eastAsia="Times New Roman"/>
                <w:b/>
                <w:i w:val="0"/>
                <w:color w:val="000000"/>
                <w:sz w:val="22"/>
              </w:rPr>
              <w:t>0.40</w:t>
            </w:r>
          </w:p>
        </w:tc>
        <w:tc>
          <w:tcPr>
            <w:tcW w:type="dxa" w:w="1587"/>
            <w:vAlign w:val="center"/>
          </w:tcPr>
          <w:p>
            <w:pPr>
              <w:spacing w:before="40" w:after="40"/>
              <w:jc w:val="center"/>
            </w:pPr>
            <w:r/>
            <w:r>
              <w:rPr>
                <w:rFonts w:ascii="Times New Roman" w:hAnsi="Times New Roman" w:cs="Times New Roman" w:eastAsia="Times New Roman"/>
                <w:b w:val="0"/>
                <w:i w:val="0"/>
                <w:color w:val="000000"/>
                <w:sz w:val="22"/>
              </w:rPr>
              <w:t>1.49</w:t>
            </w:r>
          </w:p>
        </w:tc>
        <w:tc>
          <w:tcPr>
            <w:tcW w:type="dxa" w:w="3515"/>
            <w:vAlign w:val="center"/>
          </w:tcPr>
          <w:p>
            <w:pPr>
              <w:spacing w:before="40" w:after="40"/>
              <w:jc w:val="center"/>
            </w:pPr>
            <w:r/>
            <w:r>
              <w:rPr>
                <w:rFonts w:ascii="Times New Roman" w:hAnsi="Times New Roman" w:cs="Times New Roman" w:eastAsia="Times New Roman"/>
                <w:b w:val="0"/>
                <w:i w:val="0"/>
                <w:color w:val="000000"/>
                <w:sz w:val="22"/>
              </w:rPr>
              <w:t>60 : 40</w:t>
            </w:r>
          </w:p>
        </w:tc>
        <w:tc>
          <w:tcPr>
            <w:tcW w:type="dxa" w:w="1928"/>
            <w:vAlign w:val="center"/>
          </w:tcPr>
          <w:p>
            <w:pPr>
              <w:spacing w:before="40" w:after="40"/>
              <w:jc w:val="center"/>
            </w:pPr>
            <w:r/>
            <w:r>
              <w:rPr>
                <w:rFonts w:ascii="Times New Roman" w:hAnsi="Times New Roman" w:cs="Times New Roman" w:eastAsia="Times New Roman"/>
                <w:b w:val="0"/>
                <w:i w:val="0"/>
                <w:color w:val="000000"/>
                <w:sz w:val="22"/>
              </w:rPr>
              <w:t>&gt; 0.99</w:t>
            </w:r>
          </w:p>
        </w:tc>
      </w:tr>
    </w:tbl>
    <w:p>
      <w:pPr>
        <w:spacing w:after="80"/>
      </w:pPr>
    </w:p>
    <w:p>
      <w:pPr>
        <w:pStyle w:val="Heading1"/>
      </w:pPr>
      <w:r>
        <w:t>4.  Rule-of-thumb check</w:t>
      </w:r>
    </w:p>
    <w:p>
      <w:pPr>
        <w:spacing w:after="120" w:before="0"/>
        <w:jc w:val="both"/>
      </w:pPr>
      <w:r>
        <w:rPr>
          <w:rFonts w:ascii="Times New Roman" w:hAnsi="Times New Roman" w:cs="Times New Roman" w:eastAsia="Times New Roman"/>
          <w:b w:val="0"/>
          <w:i w:val="0"/>
          <w:color w:val="000000"/>
          <w:sz w:val="24"/>
        </w:rPr>
        <w:t>The Johnson and Orme criterion for choice experiments (Orme, 1998; Johnson and Orme, 2003) requires:</w:t>
      </w:r>
    </w:p>
    <w:p>
      <w:pPr>
        <w:spacing w:before="160" w:after="200"/>
        <w:jc w:val="center"/>
      </w:pPr>
      <w:r>
        <w:drawing>
          <wp:inline xmlns:a="http://schemas.openxmlformats.org/drawingml/2006/main" xmlns:pic="http://schemas.openxmlformats.org/drawingml/2006/picture">
            <wp:extent cx="1451610" cy="219456"/>
            <wp:docPr id="5" name="Picture 5"/>
            <wp:cNvGraphicFramePr>
              <a:graphicFrameLocks noChangeAspect="1"/>
            </wp:cNvGraphicFramePr>
            <a:graphic>
              <a:graphicData uri="http://schemas.openxmlformats.org/drawingml/2006/picture">
                <pic:pic>
                  <pic:nvPicPr>
                    <pic:cNvPr id="0" name="eq12_jo.png"/>
                    <pic:cNvPicPr/>
                  </pic:nvPicPr>
                  <pic:blipFill>
                    <a:blip r:embed="rId13"/>
                    <a:stretch>
                      <a:fillRect/>
                    </a:stretch>
                  </pic:blipFill>
                  <pic:spPr>
                    <a:xfrm>
                      <a:off x="0" y="0"/>
                      <a:ext cx="1451610" cy="219456"/>
                    </a:xfrm>
                    <a:prstGeom prst="rect"/>
                  </pic:spPr>
                </pic:pic>
              </a:graphicData>
            </a:graphic>
          </wp:inline>
        </w:drawing>
      </w:r>
    </w:p>
    <w:p>
      <w:pPr>
        <w:spacing w:after="120" w:before="0"/>
        <w:jc w:val="both"/>
      </w:pPr>
      <w:r>
        <w:rPr>
          <w:rFonts w:ascii="Times New Roman" w:hAnsi="Times New Roman" w:cs="Times New Roman" w:eastAsia="Times New Roman"/>
          <w:b w:val="0"/>
          <w:i w:val="0"/>
          <w:color w:val="000000"/>
          <w:sz w:val="24"/>
        </w:rPr>
        <w:t xml:space="preserve">where </w:t>
      </w:r>
      <w:r>
        <w:rPr>
          <w:rFonts w:ascii="Times New Roman" w:hAnsi="Times New Roman" w:cs="Times New Roman" w:eastAsia="Times New Roman"/>
          <w:b w:val="0"/>
          <w:i/>
          <w:color w:val="000000"/>
          <w:sz w:val="24"/>
        </w:rPr>
        <w:t>c</w:t>
      </w:r>
      <w:r>
        <w:rPr>
          <w:rFonts w:ascii="Times New Roman" w:hAnsi="Times New Roman" w:cs="Times New Roman" w:eastAsia="Times New Roman"/>
          <w:b w:val="0"/>
          <w:i w:val="0"/>
          <w:color w:val="000000"/>
          <w:sz w:val="24"/>
        </w:rPr>
        <w:t xml:space="preserve"> = 4 is the largest number of levels on any attribute (cost and management model), </w:t>
      </w:r>
      <w:r>
        <w:rPr>
          <w:rFonts w:ascii="Times New Roman" w:hAnsi="Times New Roman" w:cs="Times New Roman" w:eastAsia="Times New Roman"/>
          <w:b w:val="0"/>
          <w:i/>
          <w:color w:val="000000"/>
          <w:sz w:val="24"/>
        </w:rPr>
        <w:t>t</w:t>
      </w:r>
      <w:r>
        <w:rPr>
          <w:rFonts w:ascii="Times New Roman" w:hAnsi="Times New Roman" w:cs="Times New Roman" w:eastAsia="Times New Roman"/>
          <w:b w:val="0"/>
          <w:i w:val="0"/>
          <w:color w:val="000000"/>
          <w:sz w:val="24"/>
        </w:rPr>
        <w:t xml:space="preserve"> = 6 the number of tasks and </w:t>
      </w:r>
      <w:r>
        <w:rPr>
          <w:rFonts w:ascii="Times New Roman" w:hAnsi="Times New Roman" w:cs="Times New Roman" w:eastAsia="Times New Roman"/>
          <w:b w:val="0"/>
          <w:i/>
          <w:color w:val="000000"/>
          <w:sz w:val="24"/>
        </w:rPr>
        <w:t>a</w:t>
      </w:r>
      <w:r>
        <w:rPr>
          <w:rFonts w:ascii="Times New Roman" w:hAnsi="Times New Roman" w:cs="Times New Roman" w:eastAsia="Times New Roman"/>
          <w:b w:val="0"/>
          <w:i w:val="0"/>
          <w:color w:val="000000"/>
          <w:sz w:val="24"/>
        </w:rPr>
        <w:t xml:space="preserve"> = 2 the number of service alternatives per task.</w:t>
      </w:r>
    </w:p>
    <w:p>
      <w:pPr>
        <w:pStyle w:val="Heading1"/>
      </w:pPr>
      <w:r>
        <w:t>5.  G*Power cross-check</w:t>
      </w:r>
    </w:p>
    <w:p>
      <w:pPr>
        <w:spacing w:after="120" w:before="0"/>
        <w:jc w:val="both"/>
      </w:pPr>
      <w:r>
        <w:rPr>
          <w:rFonts w:ascii="Times New Roman" w:hAnsi="Times New Roman" w:cs="Times New Roman" w:eastAsia="Times New Roman"/>
          <w:b w:val="0"/>
          <w:i w:val="0"/>
          <w:color w:val="000000"/>
          <w:sz w:val="24"/>
        </w:rPr>
        <w:t>G*Power implements no procedure for discrete choice experiments. There is no conditional-logit option in the program and the model in section 3 cannot be specified in it. The cross-check below therefore reframes the question at the level of the individual choice observation, as a one-sample test of a binomial proportion against 0.50 — the marginal form of a single attribute contrast. It corroborates section 3; it does not replace it.</w:t>
      </w:r>
    </w:p>
    <w:tbl>
      <w:tblPr>
        <w:tblStyle w:val="TableGrid"/>
        <w:tblW w:type="auto" w:w="0"/>
        <w:jc w:val="left"/>
        <w:tblLayout w:type="fixed"/>
        <w:tblLook w:firstColumn="1" w:firstRow="1" w:lastColumn="0" w:lastRow="0" w:noHBand="0" w:noVBand="1" w:val="04A0"/>
      </w:tblPr>
      <w:tblGrid>
        <w:gridCol w:w="4703"/>
        <w:gridCol w:w="4703"/>
      </w:tblGrid>
      <w:tr>
        <w:trPr>
          <w:tblHeader w:val="true"/>
        </w:trPr>
        <w:tc>
          <w:tcPr>
            <w:tcW w:type="dxa" w:w="2948"/>
            <w:vAlign w:val="center"/>
          </w:tcPr>
          <w:p>
            <w:pPr>
              <w:spacing w:before="40" w:after="40"/>
            </w:pPr>
            <w:r/>
            <w:r>
              <w:rPr>
                <w:rFonts w:ascii="Times New Roman" w:hAnsi="Times New Roman" w:cs="Times New Roman" w:eastAsia="Times New Roman"/>
                <w:b/>
                <w:i w:val="0"/>
                <w:color w:val="000000"/>
                <w:sz w:val="22"/>
              </w:rPr>
              <w:t>G*Power field</w:t>
            </w:r>
          </w:p>
        </w:tc>
        <w:tc>
          <w:tcPr>
            <w:tcW w:type="dxa" w:w="6123"/>
            <w:vAlign w:val="center"/>
          </w:tcPr>
          <w:p>
            <w:pPr>
              <w:spacing w:before="40" w:after="40"/>
            </w:pPr>
            <w:r/>
            <w:r>
              <w:rPr>
                <w:rFonts w:ascii="Times New Roman" w:hAnsi="Times New Roman" w:cs="Times New Roman" w:eastAsia="Times New Roman"/>
                <w:b/>
                <w:i w:val="0"/>
                <w:color w:val="000000"/>
                <w:sz w:val="22"/>
              </w:rPr>
              <w:t>Entry</w:t>
            </w:r>
          </w:p>
        </w:tc>
      </w:tr>
      <w:tr>
        <w:tc>
          <w:tcPr>
            <w:tcW w:type="dxa" w:w="2948"/>
            <w:vAlign w:val="center"/>
          </w:tcPr>
          <w:p>
            <w:pPr>
              <w:spacing w:before="40" w:after="40"/>
            </w:pPr>
            <w:r/>
            <w:r>
              <w:rPr>
                <w:rFonts w:ascii="Times New Roman" w:hAnsi="Times New Roman" w:cs="Times New Roman" w:eastAsia="Times New Roman"/>
                <w:b/>
                <w:i w:val="0"/>
                <w:color w:val="000000"/>
                <w:sz w:val="22"/>
              </w:rPr>
              <w:t>Test family</w:t>
            </w:r>
          </w:p>
        </w:tc>
        <w:tc>
          <w:tcPr>
            <w:tcW w:type="dxa" w:w="6123"/>
            <w:vAlign w:val="center"/>
          </w:tcPr>
          <w:p>
            <w:pPr>
              <w:spacing w:before="40" w:after="40"/>
            </w:pPr>
            <w:r/>
            <w:r>
              <w:rPr>
                <w:rFonts w:ascii="Times New Roman" w:hAnsi="Times New Roman" w:cs="Times New Roman" w:eastAsia="Times New Roman"/>
                <w:b w:val="0"/>
                <w:i w:val="0"/>
                <w:color w:val="000000"/>
                <w:sz w:val="22"/>
              </w:rPr>
              <w:t>Exact</w:t>
            </w:r>
          </w:p>
        </w:tc>
      </w:tr>
      <w:tr>
        <w:tc>
          <w:tcPr>
            <w:tcW w:type="dxa" w:w="2948"/>
            <w:vAlign w:val="center"/>
          </w:tcPr>
          <w:p>
            <w:pPr>
              <w:spacing w:before="40" w:after="40"/>
            </w:pPr>
            <w:r/>
            <w:r>
              <w:rPr>
                <w:rFonts w:ascii="Times New Roman" w:hAnsi="Times New Roman" w:cs="Times New Roman" w:eastAsia="Times New Roman"/>
                <w:b/>
                <w:i w:val="0"/>
                <w:color w:val="000000"/>
                <w:sz w:val="22"/>
              </w:rPr>
              <w:t>Statistical test</w:t>
            </w:r>
          </w:p>
        </w:tc>
        <w:tc>
          <w:tcPr>
            <w:tcW w:type="dxa" w:w="6123"/>
            <w:vAlign w:val="center"/>
          </w:tcPr>
          <w:p>
            <w:pPr>
              <w:spacing w:before="40" w:after="40"/>
            </w:pPr>
            <w:r/>
            <w:r>
              <w:rPr>
                <w:rFonts w:ascii="Times New Roman" w:hAnsi="Times New Roman" w:cs="Times New Roman" w:eastAsia="Times New Roman"/>
                <w:b w:val="0"/>
                <w:i w:val="0"/>
                <w:color w:val="000000"/>
                <w:sz w:val="22"/>
              </w:rPr>
              <w:t>Proportion: difference from constant (binomial test, one sample)</w:t>
            </w:r>
          </w:p>
        </w:tc>
      </w:tr>
      <w:tr>
        <w:tc>
          <w:tcPr>
            <w:tcW w:type="dxa" w:w="2948"/>
            <w:vAlign w:val="center"/>
          </w:tcPr>
          <w:p>
            <w:pPr>
              <w:spacing w:before="40" w:after="40"/>
            </w:pPr>
            <w:r/>
            <w:r>
              <w:rPr>
                <w:rFonts w:ascii="Times New Roman" w:hAnsi="Times New Roman" w:cs="Times New Roman" w:eastAsia="Times New Roman"/>
                <w:b/>
                <w:i w:val="0"/>
                <w:color w:val="000000"/>
                <w:sz w:val="22"/>
              </w:rPr>
              <w:t>Type of power analysis</w:t>
            </w:r>
          </w:p>
        </w:tc>
        <w:tc>
          <w:tcPr>
            <w:tcW w:type="dxa" w:w="6123"/>
            <w:vAlign w:val="center"/>
          </w:tcPr>
          <w:p>
            <w:pPr>
              <w:spacing w:before="40" w:after="40"/>
            </w:pPr>
            <w:r/>
            <w:r>
              <w:rPr>
                <w:rFonts w:ascii="Times New Roman" w:hAnsi="Times New Roman" w:cs="Times New Roman" w:eastAsia="Times New Roman"/>
                <w:b w:val="0"/>
                <w:i w:val="0"/>
                <w:color w:val="000000"/>
                <w:sz w:val="22"/>
              </w:rPr>
              <w:t>A priori — compute required sample size</w:t>
            </w:r>
          </w:p>
        </w:tc>
      </w:tr>
      <w:tr>
        <w:tc>
          <w:tcPr>
            <w:tcW w:type="dxa" w:w="2948"/>
            <w:vAlign w:val="center"/>
          </w:tcPr>
          <w:p>
            <w:pPr>
              <w:spacing w:before="40" w:after="40"/>
            </w:pPr>
            <w:r/>
            <w:r>
              <w:rPr>
                <w:rFonts w:ascii="Times New Roman" w:hAnsi="Times New Roman" w:cs="Times New Roman" w:eastAsia="Times New Roman"/>
                <w:b/>
                <w:i w:val="0"/>
                <w:color w:val="000000"/>
                <w:sz w:val="22"/>
              </w:rPr>
              <w:t>Tail(s)</w:t>
            </w:r>
          </w:p>
        </w:tc>
        <w:tc>
          <w:tcPr>
            <w:tcW w:type="dxa" w:w="6123"/>
            <w:vAlign w:val="center"/>
          </w:tcPr>
          <w:p>
            <w:pPr>
              <w:spacing w:before="40" w:after="40"/>
            </w:pPr>
            <w:r/>
            <w:r>
              <w:rPr>
                <w:rFonts w:ascii="Times New Roman" w:hAnsi="Times New Roman" w:cs="Times New Roman" w:eastAsia="Times New Roman"/>
                <w:b w:val="0"/>
                <w:i w:val="0"/>
                <w:color w:val="000000"/>
                <w:sz w:val="22"/>
              </w:rPr>
              <w:t>Two</w:t>
            </w:r>
          </w:p>
        </w:tc>
      </w:tr>
      <w:tr>
        <w:tc>
          <w:tcPr>
            <w:tcW w:type="dxa" w:w="2948"/>
            <w:vAlign w:val="center"/>
          </w:tcPr>
          <w:p>
            <w:pPr>
              <w:spacing w:before="40" w:after="40"/>
            </w:pPr>
            <w:r/>
            <w:r>
              <w:rPr>
                <w:rFonts w:ascii="Times New Roman" w:hAnsi="Times New Roman" w:cs="Times New Roman" w:eastAsia="Times New Roman"/>
                <w:b/>
                <w:i w:val="0"/>
                <w:color w:val="000000"/>
                <w:sz w:val="22"/>
              </w:rPr>
              <w:t>Effect size g</w:t>
            </w:r>
          </w:p>
        </w:tc>
        <w:tc>
          <w:tcPr>
            <w:tcW w:type="dxa" w:w="6123"/>
            <w:vAlign w:val="center"/>
          </w:tcPr>
          <w:p>
            <w:pPr>
              <w:spacing w:before="40" w:after="40"/>
            </w:pPr>
            <w:r/>
            <w:r>
              <w:rPr>
                <w:rFonts w:ascii="Times New Roman" w:hAnsi="Times New Roman" w:cs="Times New Roman" w:eastAsia="Times New Roman"/>
                <w:b w:val="0"/>
                <w:i w:val="0"/>
                <w:color w:val="000000"/>
                <w:sz w:val="22"/>
              </w:rPr>
              <w:t>0.06</w:t>
            </w:r>
          </w:p>
        </w:tc>
      </w:tr>
      <w:tr>
        <w:tc>
          <w:tcPr>
            <w:tcW w:type="dxa" w:w="2948"/>
            <w:vAlign w:val="center"/>
          </w:tcPr>
          <w:p>
            <w:pPr>
              <w:spacing w:before="40" w:after="40"/>
            </w:pPr>
            <w:r/>
            <w:r>
              <w:rPr>
                <w:rFonts w:ascii="Times New Roman" w:hAnsi="Times New Roman" w:cs="Times New Roman" w:eastAsia="Times New Roman"/>
                <w:b/>
                <w:i w:val="0"/>
                <w:color w:val="000000"/>
                <w:sz w:val="22"/>
              </w:rPr>
              <w:t>α err prob</w:t>
            </w:r>
          </w:p>
        </w:tc>
        <w:tc>
          <w:tcPr>
            <w:tcW w:type="dxa" w:w="6123"/>
            <w:vAlign w:val="center"/>
          </w:tcPr>
          <w:p>
            <w:pPr>
              <w:spacing w:before="40" w:after="40"/>
            </w:pPr>
            <w:r/>
            <w:r>
              <w:rPr>
                <w:rFonts w:ascii="Times New Roman" w:hAnsi="Times New Roman" w:cs="Times New Roman" w:eastAsia="Times New Roman"/>
                <w:b w:val="0"/>
                <w:i w:val="0"/>
                <w:color w:val="000000"/>
                <w:sz w:val="22"/>
              </w:rPr>
              <w:t>0.05</w:t>
            </w:r>
          </w:p>
        </w:tc>
      </w:tr>
      <w:tr>
        <w:tc>
          <w:tcPr>
            <w:tcW w:type="dxa" w:w="2948"/>
            <w:vAlign w:val="center"/>
          </w:tcPr>
          <w:p>
            <w:pPr>
              <w:spacing w:before="40" w:after="40"/>
            </w:pPr>
            <w:r/>
            <w:r>
              <w:rPr>
                <w:rFonts w:ascii="Times New Roman" w:hAnsi="Times New Roman" w:cs="Times New Roman" w:eastAsia="Times New Roman"/>
                <w:b/>
                <w:i w:val="0"/>
                <w:color w:val="000000"/>
                <w:sz w:val="22"/>
              </w:rPr>
              <w:t>Power (1 − β err prob)</w:t>
            </w:r>
          </w:p>
        </w:tc>
        <w:tc>
          <w:tcPr>
            <w:tcW w:type="dxa" w:w="6123"/>
            <w:vAlign w:val="center"/>
          </w:tcPr>
          <w:p>
            <w:pPr>
              <w:spacing w:before="40" w:after="40"/>
            </w:pPr>
            <w:r/>
            <w:r>
              <w:rPr>
                <w:rFonts w:ascii="Times New Roman" w:hAnsi="Times New Roman" w:cs="Times New Roman" w:eastAsia="Times New Roman"/>
                <w:b w:val="0"/>
                <w:i w:val="0"/>
                <w:color w:val="000000"/>
                <w:sz w:val="22"/>
              </w:rPr>
              <w:t>0.80</w:t>
            </w:r>
          </w:p>
        </w:tc>
      </w:tr>
      <w:tr>
        <w:tc>
          <w:tcPr>
            <w:tcW w:type="dxa" w:w="2948"/>
            <w:vAlign w:val="center"/>
          </w:tcPr>
          <w:p>
            <w:pPr>
              <w:spacing w:before="40" w:after="40"/>
            </w:pPr>
            <w:r/>
            <w:r>
              <w:rPr>
                <w:rFonts w:ascii="Times New Roman" w:hAnsi="Times New Roman" w:cs="Times New Roman" w:eastAsia="Times New Roman"/>
                <w:b/>
                <w:i w:val="0"/>
                <w:color w:val="000000"/>
                <w:sz w:val="22"/>
              </w:rPr>
              <w:t>Constant proportion</w:t>
            </w:r>
          </w:p>
        </w:tc>
        <w:tc>
          <w:tcPr>
            <w:tcW w:type="dxa" w:w="6123"/>
            <w:vAlign w:val="center"/>
          </w:tcPr>
          <w:p>
            <w:pPr>
              <w:spacing w:before="40" w:after="40"/>
            </w:pPr>
            <w:r/>
            <w:r>
              <w:rPr>
                <w:rFonts w:ascii="Times New Roman" w:hAnsi="Times New Roman" w:cs="Times New Roman" w:eastAsia="Times New Roman"/>
                <w:b w:val="0"/>
                <w:i w:val="0"/>
                <w:color w:val="000000"/>
                <w:sz w:val="22"/>
              </w:rPr>
              <w:t>0.50</w:t>
            </w:r>
          </w:p>
        </w:tc>
      </w:tr>
    </w:tbl>
    <w:p>
      <w:pPr>
        <w:spacing w:after="80"/>
      </w:pPr>
    </w:p>
    <w:p>
      <w:pPr>
        <w:spacing w:after="120" w:before="0"/>
        <w:jc w:val="both"/>
      </w:pPr>
      <w:r>
        <w:rPr>
          <w:rFonts w:ascii="Times New Roman" w:hAnsi="Times New Roman" w:cs="Times New Roman" w:eastAsia="Times New Roman"/>
          <w:b w:val="0"/>
          <w:i w:val="0"/>
          <w:color w:val="000000"/>
          <w:sz w:val="24"/>
        </w:rPr>
        <w:t>Under the normal approximation this test uses:</w:t>
      </w:r>
    </w:p>
    <w:p>
      <w:pPr>
        <w:spacing w:before="160" w:after="200"/>
        <w:jc w:val="center"/>
      </w:pPr>
      <w:r>
        <w:drawing>
          <wp:inline xmlns:a="http://schemas.openxmlformats.org/drawingml/2006/main" xmlns:pic="http://schemas.openxmlformats.org/drawingml/2006/picture">
            <wp:extent cx="2830068" cy="345186"/>
            <wp:docPr id="6" name="Picture 6"/>
            <wp:cNvGraphicFramePr>
              <a:graphicFrameLocks noChangeAspect="1"/>
            </wp:cNvGraphicFramePr>
            <a:graphic>
              <a:graphicData uri="http://schemas.openxmlformats.org/drawingml/2006/picture">
                <pic:pic>
                  <pic:nvPicPr>
                    <pic:cNvPr id="0" name="eq12_prop.png"/>
                    <pic:cNvPicPr/>
                  </pic:nvPicPr>
                  <pic:blipFill>
                    <a:blip r:embed="rId14"/>
                    <a:stretch>
                      <a:fillRect/>
                    </a:stretch>
                  </pic:blipFill>
                  <pic:spPr>
                    <a:xfrm>
                      <a:off x="0" y="0"/>
                      <a:ext cx="2830068" cy="345186"/>
                    </a:xfrm>
                    <a:prstGeom prst="rect"/>
                  </pic:spPr>
                </pic:pic>
              </a:graphicData>
            </a:graphic>
          </wp:inline>
        </w:drawing>
      </w:r>
    </w:p>
    <w:p>
      <w:pPr>
        <w:spacing w:after="120" w:before="0"/>
        <w:jc w:val="both"/>
      </w:pPr>
      <w:r>
        <w:rPr>
          <w:rFonts w:ascii="Times New Roman" w:hAnsi="Times New Roman" w:cs="Times New Roman" w:eastAsia="Times New Roman"/>
          <w:b w:val="0"/>
          <w:i w:val="0"/>
          <w:color w:val="000000"/>
          <w:sz w:val="24"/>
        </w:rPr>
        <w:t xml:space="preserve">The six observations from each respondent are not independent, so this figure is inflated by a design effect, where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6 is the number of tasks per respondent and </w:t>
      </w:r>
      <w:r>
        <w:rPr>
          <w:rFonts w:ascii="Times New Roman" w:hAnsi="Times New Roman" w:cs="Times New Roman" w:eastAsia="Times New Roman"/>
          <w:b w:val="0"/>
          <w:i/>
          <w:color w:val="000000"/>
          <w:sz w:val="24"/>
        </w:rPr>
        <w:t>ρ</w:t>
      </w:r>
      <w:r>
        <w:rPr>
          <w:rFonts w:ascii="Times New Roman" w:hAnsi="Times New Roman" w:cs="Times New Roman" w:eastAsia="Times New Roman"/>
          <w:b w:val="0"/>
          <w:i w:val="0"/>
          <w:color w:val="000000"/>
          <w:sz w:val="24"/>
        </w:rPr>
        <w:t xml:space="preserve"> the intra-respondent correlation:</w:t>
      </w:r>
    </w:p>
    <w:p>
      <w:pPr>
        <w:spacing w:before="160" w:after="200"/>
        <w:jc w:val="center"/>
      </w:pPr>
      <w:r>
        <w:drawing>
          <wp:inline xmlns:a="http://schemas.openxmlformats.org/drawingml/2006/main" xmlns:pic="http://schemas.openxmlformats.org/drawingml/2006/picture">
            <wp:extent cx="2052828" cy="217170"/>
            <wp:docPr id="7" name="Picture 7"/>
            <wp:cNvGraphicFramePr>
              <a:graphicFrameLocks noChangeAspect="1"/>
            </wp:cNvGraphicFramePr>
            <a:graphic>
              <a:graphicData uri="http://schemas.openxmlformats.org/drawingml/2006/picture">
                <pic:pic>
                  <pic:nvPicPr>
                    <pic:cNvPr id="0" name="eq12_deff.png"/>
                    <pic:cNvPicPr/>
                  </pic:nvPicPr>
                  <pic:blipFill>
                    <a:blip r:embed="rId15"/>
                    <a:stretch>
                      <a:fillRect/>
                    </a:stretch>
                  </pic:blipFill>
                  <pic:spPr>
                    <a:xfrm>
                      <a:off x="0" y="0"/>
                      <a:ext cx="2052828" cy="217170"/>
                    </a:xfrm>
                    <a:prstGeom prst="rect"/>
                  </pic:spPr>
                </pic:pic>
              </a:graphicData>
            </a:graphic>
          </wp:inline>
        </w:drawing>
      </w:r>
    </w:p>
    <w:tbl>
      <w:tblPr>
        <w:tblStyle w:val="TableGrid"/>
        <w:tblW w:type="auto" w:w="0"/>
        <w:jc w:val="left"/>
        <w:tblLayout w:type="fixed"/>
        <w:tblLook w:firstColumn="1" w:firstRow="1" w:lastColumn="0" w:lastRow="0" w:noHBand="0" w:noVBand="1" w:val="04A0"/>
      </w:tblPr>
      <w:tblGrid>
        <w:gridCol w:w="2351"/>
        <w:gridCol w:w="2351"/>
        <w:gridCol w:w="2351"/>
        <w:gridCol w:w="2351"/>
      </w:tblGrid>
      <w:tr>
        <w:trPr>
          <w:tblHeader w:val="true"/>
        </w:trPr>
        <w:tc>
          <w:tcPr>
            <w:tcW w:type="dxa" w:w="2494"/>
            <w:vAlign w:val="center"/>
          </w:tcPr>
          <w:p>
            <w:pPr>
              <w:spacing w:before="40" w:after="40"/>
              <w:jc w:val="center"/>
            </w:pPr>
            <w:r/>
            <w:r>
              <w:rPr>
                <w:rFonts w:ascii="Times New Roman" w:hAnsi="Times New Roman" w:cs="Times New Roman" w:eastAsia="Times New Roman"/>
                <w:b/>
                <w:i w:val="0"/>
                <w:color w:val="000000"/>
                <w:sz w:val="22"/>
              </w:rPr>
              <w:t>Intra-respondent correlation ρ</w:t>
            </w:r>
          </w:p>
        </w:tc>
        <w:tc>
          <w:tcPr>
            <w:tcW w:type="dxa" w:w="1928"/>
            <w:vAlign w:val="center"/>
          </w:tcPr>
          <w:p>
            <w:pPr>
              <w:spacing w:before="40" w:after="40"/>
              <w:jc w:val="center"/>
            </w:pPr>
            <w:r/>
            <w:r>
              <w:rPr>
                <w:rFonts w:ascii="Times New Roman" w:hAnsi="Times New Roman" w:cs="Times New Roman" w:eastAsia="Times New Roman"/>
                <w:b/>
                <w:i w:val="0"/>
                <w:color w:val="000000"/>
                <w:sz w:val="22"/>
              </w:rPr>
              <w:t>Design effect D</w:t>
            </w:r>
          </w:p>
        </w:tc>
        <w:tc>
          <w:tcPr>
            <w:tcW w:type="dxa" w:w="2608"/>
            <w:vAlign w:val="center"/>
          </w:tcPr>
          <w:p>
            <w:pPr>
              <w:spacing w:before="40" w:after="40"/>
              <w:jc w:val="center"/>
            </w:pPr>
            <w:r/>
            <w:r>
              <w:rPr>
                <w:rFonts w:ascii="Times New Roman" w:hAnsi="Times New Roman" w:cs="Times New Roman" w:eastAsia="Times New Roman"/>
                <w:b/>
                <w:i w:val="0"/>
                <w:color w:val="000000"/>
                <w:sz w:val="22"/>
              </w:rPr>
              <w:t>Effective choice observations</w:t>
            </w:r>
          </w:p>
        </w:tc>
        <w:tc>
          <w:tcPr>
            <w:tcW w:type="dxa" w:w="2041"/>
            <w:vAlign w:val="center"/>
          </w:tcPr>
          <w:p>
            <w:pPr>
              <w:spacing w:before="40" w:after="40"/>
              <w:jc w:val="center"/>
            </w:pPr>
            <w:r/>
            <w:r>
              <w:rPr>
                <w:rFonts w:ascii="Times New Roman" w:hAnsi="Times New Roman" w:cs="Times New Roman" w:eastAsia="Times New Roman"/>
                <w:b/>
                <w:i w:val="0"/>
                <w:color w:val="000000"/>
                <w:sz w:val="22"/>
              </w:rPr>
              <w:t>Respondents required</w:t>
            </w:r>
          </w:p>
        </w:tc>
      </w:tr>
      <w:tr>
        <w:tc>
          <w:tcPr>
            <w:tcW w:type="dxa" w:w="2494"/>
            <w:vAlign w:val="center"/>
          </w:tcPr>
          <w:p>
            <w:pPr>
              <w:spacing w:before="40" w:after="40"/>
              <w:jc w:val="center"/>
            </w:pPr>
            <w:r/>
            <w:r>
              <w:rPr>
                <w:rFonts w:ascii="Times New Roman" w:hAnsi="Times New Roman" w:cs="Times New Roman" w:eastAsia="Times New Roman"/>
                <w:b/>
                <w:i w:val="0"/>
                <w:color w:val="000000"/>
                <w:sz w:val="22"/>
              </w:rPr>
              <w:t>0.05</w:t>
            </w:r>
          </w:p>
        </w:tc>
        <w:tc>
          <w:tcPr>
            <w:tcW w:type="dxa" w:w="1928"/>
            <w:vAlign w:val="center"/>
          </w:tcPr>
          <w:p>
            <w:pPr>
              <w:spacing w:before="40" w:after="40"/>
              <w:jc w:val="center"/>
            </w:pPr>
            <w:r/>
            <w:r>
              <w:rPr>
                <w:rFonts w:ascii="Times New Roman" w:hAnsi="Times New Roman" w:cs="Times New Roman" w:eastAsia="Times New Roman"/>
                <w:b w:val="0"/>
                <w:i w:val="0"/>
                <w:color w:val="000000"/>
                <w:sz w:val="22"/>
              </w:rPr>
              <w:t>1.25</w:t>
            </w:r>
          </w:p>
        </w:tc>
        <w:tc>
          <w:tcPr>
            <w:tcW w:type="dxa" w:w="2608"/>
            <w:vAlign w:val="center"/>
          </w:tcPr>
          <w:p>
            <w:pPr>
              <w:spacing w:before="40" w:after="40"/>
              <w:jc w:val="center"/>
            </w:pPr>
            <w:r/>
            <w:r>
              <w:rPr>
                <w:rFonts w:ascii="Times New Roman" w:hAnsi="Times New Roman" w:cs="Times New Roman" w:eastAsia="Times New Roman"/>
                <w:b w:val="0"/>
                <w:i w:val="0"/>
                <w:color w:val="000000"/>
                <w:sz w:val="22"/>
              </w:rPr>
              <w:t>679</w:t>
            </w:r>
          </w:p>
        </w:tc>
        <w:tc>
          <w:tcPr>
            <w:tcW w:type="dxa" w:w="2041"/>
            <w:vAlign w:val="center"/>
          </w:tcPr>
          <w:p>
            <w:pPr>
              <w:spacing w:before="40" w:after="40"/>
              <w:jc w:val="center"/>
            </w:pPr>
            <w:r/>
            <w:r>
              <w:rPr>
                <w:rFonts w:ascii="Times New Roman" w:hAnsi="Times New Roman" w:cs="Times New Roman" w:eastAsia="Times New Roman"/>
                <w:b w:val="0"/>
                <w:i w:val="0"/>
                <w:color w:val="000000"/>
                <w:sz w:val="22"/>
              </w:rPr>
              <w:t>114</w:t>
            </w:r>
          </w:p>
        </w:tc>
      </w:tr>
      <w:tr>
        <w:tc>
          <w:tcPr>
            <w:tcW w:type="dxa" w:w="2494"/>
            <w:vAlign w:val="center"/>
          </w:tcPr>
          <w:p>
            <w:pPr>
              <w:spacing w:before="40" w:after="40"/>
              <w:jc w:val="center"/>
            </w:pPr>
            <w:r/>
            <w:r>
              <w:rPr>
                <w:rFonts w:ascii="Times New Roman" w:hAnsi="Times New Roman" w:cs="Times New Roman" w:eastAsia="Times New Roman"/>
                <w:b/>
                <w:i w:val="0"/>
                <w:color w:val="000000"/>
                <w:sz w:val="22"/>
              </w:rPr>
              <w:t>0.10</w:t>
            </w:r>
          </w:p>
        </w:tc>
        <w:tc>
          <w:tcPr>
            <w:tcW w:type="dxa" w:w="1928"/>
            <w:vAlign w:val="center"/>
          </w:tcPr>
          <w:p>
            <w:pPr>
              <w:spacing w:before="40" w:after="40"/>
              <w:jc w:val="center"/>
            </w:pPr>
            <w:r/>
            <w:r>
              <w:rPr>
                <w:rFonts w:ascii="Times New Roman" w:hAnsi="Times New Roman" w:cs="Times New Roman" w:eastAsia="Times New Roman"/>
                <w:b w:val="0"/>
                <w:i w:val="0"/>
                <w:color w:val="000000"/>
                <w:sz w:val="22"/>
              </w:rPr>
              <w:t>1.50</w:t>
            </w:r>
          </w:p>
        </w:tc>
        <w:tc>
          <w:tcPr>
            <w:tcW w:type="dxa" w:w="2608"/>
            <w:vAlign w:val="center"/>
          </w:tcPr>
          <w:p>
            <w:pPr>
              <w:spacing w:before="40" w:after="40"/>
              <w:jc w:val="center"/>
            </w:pPr>
            <w:r/>
            <w:r>
              <w:rPr>
                <w:rFonts w:ascii="Times New Roman" w:hAnsi="Times New Roman" w:cs="Times New Roman" w:eastAsia="Times New Roman"/>
                <w:b w:val="0"/>
                <w:i w:val="0"/>
                <w:color w:val="000000"/>
                <w:sz w:val="22"/>
              </w:rPr>
              <w:t>815</w:t>
            </w:r>
          </w:p>
        </w:tc>
        <w:tc>
          <w:tcPr>
            <w:tcW w:type="dxa" w:w="2041"/>
            <w:vAlign w:val="center"/>
          </w:tcPr>
          <w:p>
            <w:pPr>
              <w:spacing w:before="40" w:after="40"/>
              <w:jc w:val="center"/>
            </w:pPr>
            <w:r/>
            <w:r>
              <w:rPr>
                <w:rFonts w:ascii="Times New Roman" w:hAnsi="Times New Roman" w:cs="Times New Roman" w:eastAsia="Times New Roman"/>
                <w:b w:val="0"/>
                <w:i w:val="0"/>
                <w:color w:val="000000"/>
                <w:sz w:val="22"/>
              </w:rPr>
              <w:t>136</w:t>
            </w:r>
          </w:p>
        </w:tc>
      </w:tr>
      <w:tr>
        <w:tc>
          <w:tcPr>
            <w:tcW w:type="dxa" w:w="2494"/>
            <w:vAlign w:val="center"/>
          </w:tcPr>
          <w:p>
            <w:pPr>
              <w:spacing w:before="40" w:after="40"/>
              <w:jc w:val="center"/>
            </w:pPr>
            <w:r/>
            <w:r>
              <w:rPr>
                <w:rFonts w:ascii="Times New Roman" w:hAnsi="Times New Roman" w:cs="Times New Roman" w:eastAsia="Times New Roman"/>
                <w:b/>
                <w:i w:val="0"/>
                <w:color w:val="000000"/>
                <w:sz w:val="22"/>
              </w:rPr>
              <w:t>0.15</w:t>
            </w:r>
          </w:p>
        </w:tc>
        <w:tc>
          <w:tcPr>
            <w:tcW w:type="dxa" w:w="1928"/>
            <w:vAlign w:val="center"/>
          </w:tcPr>
          <w:p>
            <w:pPr>
              <w:spacing w:before="40" w:after="40"/>
              <w:jc w:val="center"/>
            </w:pPr>
            <w:r/>
            <w:r>
              <w:rPr>
                <w:rFonts w:ascii="Times New Roman" w:hAnsi="Times New Roman" w:cs="Times New Roman" w:eastAsia="Times New Roman"/>
                <w:b w:val="0"/>
                <w:i w:val="0"/>
                <w:color w:val="000000"/>
                <w:sz w:val="22"/>
              </w:rPr>
              <w:t>1.75</w:t>
            </w:r>
          </w:p>
        </w:tc>
        <w:tc>
          <w:tcPr>
            <w:tcW w:type="dxa" w:w="2608"/>
            <w:vAlign w:val="center"/>
          </w:tcPr>
          <w:p>
            <w:pPr>
              <w:spacing w:before="40" w:after="40"/>
              <w:jc w:val="center"/>
            </w:pPr>
            <w:r/>
            <w:r>
              <w:rPr>
                <w:rFonts w:ascii="Times New Roman" w:hAnsi="Times New Roman" w:cs="Times New Roman" w:eastAsia="Times New Roman"/>
                <w:b w:val="0"/>
                <w:i w:val="0"/>
                <w:color w:val="000000"/>
                <w:sz w:val="22"/>
              </w:rPr>
              <w:t>951</w:t>
            </w:r>
          </w:p>
        </w:tc>
        <w:tc>
          <w:tcPr>
            <w:tcW w:type="dxa" w:w="2041"/>
            <w:vAlign w:val="center"/>
          </w:tcPr>
          <w:p>
            <w:pPr>
              <w:spacing w:before="40" w:after="40"/>
              <w:jc w:val="center"/>
            </w:pPr>
            <w:r/>
            <w:r>
              <w:rPr>
                <w:rFonts w:ascii="Times New Roman" w:hAnsi="Times New Roman" w:cs="Times New Roman" w:eastAsia="Times New Roman"/>
                <w:b w:val="0"/>
                <w:i w:val="0"/>
                <w:color w:val="000000"/>
                <w:sz w:val="22"/>
              </w:rPr>
              <w:t>159</w:t>
            </w:r>
          </w:p>
        </w:tc>
      </w:tr>
      <w:tr>
        <w:tc>
          <w:tcPr>
            <w:tcW w:type="dxa" w:w="2494"/>
            <w:vAlign w:val="center"/>
          </w:tcPr>
          <w:p>
            <w:pPr>
              <w:spacing w:before="40" w:after="40"/>
              <w:jc w:val="center"/>
            </w:pPr>
            <w:r/>
            <w:r>
              <w:rPr>
                <w:rFonts w:ascii="Times New Roman" w:hAnsi="Times New Roman" w:cs="Times New Roman" w:eastAsia="Times New Roman"/>
                <w:b/>
                <w:i w:val="0"/>
                <w:color w:val="000000"/>
                <w:sz w:val="22"/>
              </w:rPr>
              <w:t>0.20</w:t>
            </w:r>
          </w:p>
        </w:tc>
        <w:tc>
          <w:tcPr>
            <w:tcW w:type="dxa" w:w="1928"/>
            <w:vAlign w:val="center"/>
          </w:tcPr>
          <w:p>
            <w:pPr>
              <w:spacing w:before="40" w:after="40"/>
              <w:jc w:val="center"/>
            </w:pPr>
            <w:r/>
            <w:r>
              <w:rPr>
                <w:rFonts w:ascii="Times New Roman" w:hAnsi="Times New Roman" w:cs="Times New Roman" w:eastAsia="Times New Roman"/>
                <w:b w:val="0"/>
                <w:i w:val="0"/>
                <w:color w:val="000000"/>
                <w:sz w:val="22"/>
              </w:rPr>
              <w:t>2.00</w:t>
            </w:r>
          </w:p>
        </w:tc>
        <w:tc>
          <w:tcPr>
            <w:tcW w:type="dxa" w:w="2608"/>
            <w:vAlign w:val="center"/>
          </w:tcPr>
          <w:p>
            <w:pPr>
              <w:spacing w:before="40" w:after="40"/>
              <w:jc w:val="center"/>
            </w:pPr>
            <w:r/>
            <w:r>
              <w:rPr>
                <w:rFonts w:ascii="Times New Roman" w:hAnsi="Times New Roman" w:cs="Times New Roman" w:eastAsia="Times New Roman"/>
                <w:b w:val="0"/>
                <w:i w:val="0"/>
                <w:color w:val="000000"/>
                <w:sz w:val="22"/>
              </w:rPr>
              <w:t>1,086</w:t>
            </w:r>
          </w:p>
        </w:tc>
        <w:tc>
          <w:tcPr>
            <w:tcW w:type="dxa" w:w="2041"/>
            <w:vAlign w:val="center"/>
          </w:tcPr>
          <w:p>
            <w:pPr>
              <w:spacing w:before="40" w:after="40"/>
              <w:jc w:val="center"/>
            </w:pPr>
            <w:r/>
            <w:r>
              <w:rPr>
                <w:rFonts w:ascii="Times New Roman" w:hAnsi="Times New Roman" w:cs="Times New Roman" w:eastAsia="Times New Roman"/>
                <w:b w:val="0"/>
                <w:i w:val="0"/>
                <w:color w:val="000000"/>
                <w:sz w:val="22"/>
              </w:rPr>
              <w:t>181</w:t>
            </w:r>
          </w:p>
        </w:tc>
      </w:tr>
    </w:tbl>
    <w:p>
      <w:pPr>
        <w:spacing w:after="80"/>
      </w:pPr>
    </w:p>
    <w:p>
      <w:pPr>
        <w:spacing w:after="120" w:before="0"/>
        <w:jc w:val="both"/>
      </w:pPr>
      <w:r>
        <w:rPr>
          <w:rFonts w:ascii="Times New Roman" w:hAnsi="Times New Roman" w:cs="Times New Roman" w:eastAsia="Times New Roman"/>
          <w:b w:val="0"/>
          <w:i w:val="0"/>
          <w:color w:val="000000"/>
          <w:sz w:val="24"/>
        </w:rPr>
        <w:t>An intra-respondent correlation of 0.15 is the working assumption, giving 159 respondents.</w:t>
      </w:r>
    </w:p>
    <w:p>
      <w:pPr>
        <w:pStyle w:val="Heading1"/>
      </w:pPr>
      <w:r>
        <w:t>6.  Convergence of the three methods</w:t>
      </w:r>
    </w:p>
    <w:tbl>
      <w:tblPr>
        <w:tblStyle w:val="TableGrid"/>
        <w:tblW w:type="auto" w:w="0"/>
        <w:jc w:val="left"/>
        <w:tblLayout w:type="fixed"/>
        <w:tblLook w:firstColumn="1" w:firstRow="1" w:lastColumn="0" w:lastRow="0" w:noHBand="0" w:noVBand="1" w:val="04A0"/>
      </w:tblPr>
      <w:tblGrid>
        <w:gridCol w:w="3135"/>
        <w:gridCol w:w="3135"/>
        <w:gridCol w:w="3135"/>
      </w:tblGrid>
      <w:tr>
        <w:trPr>
          <w:tblHeader w:val="true"/>
        </w:trPr>
        <w:tc>
          <w:tcPr>
            <w:tcW w:type="dxa" w:w="3628"/>
            <w:vAlign w:val="center"/>
          </w:tcPr>
          <w:p>
            <w:pPr>
              <w:spacing w:before="40" w:after="40"/>
            </w:pPr>
            <w:r/>
            <w:r>
              <w:rPr>
                <w:rFonts w:ascii="Times New Roman" w:hAnsi="Times New Roman" w:cs="Times New Roman" w:eastAsia="Times New Roman"/>
                <w:b/>
                <w:i w:val="0"/>
                <w:color w:val="000000"/>
                <w:sz w:val="22"/>
              </w:rPr>
              <w:t>Method</w:t>
            </w:r>
          </w:p>
        </w:tc>
        <w:tc>
          <w:tcPr>
            <w:tcW w:type="dxa" w:w="2494"/>
            <w:vAlign w:val="center"/>
          </w:tcPr>
          <w:p>
            <w:pPr>
              <w:spacing w:before="40" w:after="40"/>
              <w:jc w:val="center"/>
            </w:pPr>
            <w:r/>
            <w:r>
              <w:rPr>
                <w:rFonts w:ascii="Times New Roman" w:hAnsi="Times New Roman" w:cs="Times New Roman" w:eastAsia="Times New Roman"/>
                <w:b/>
                <w:i w:val="0"/>
                <w:color w:val="000000"/>
                <w:sz w:val="22"/>
              </w:rPr>
              <w:t>Minimum respondents</w:t>
            </w:r>
          </w:p>
        </w:tc>
        <w:tc>
          <w:tcPr>
            <w:tcW w:type="dxa" w:w="2948"/>
            <w:vAlign w:val="center"/>
          </w:tcPr>
          <w:p>
            <w:pPr>
              <w:spacing w:before="40" w:after="40"/>
              <w:jc w:val="center"/>
            </w:pPr>
            <w:r/>
            <w:r>
              <w:rPr>
                <w:rFonts w:ascii="Times New Roman" w:hAnsi="Times New Roman" w:cs="Times New Roman" w:eastAsia="Times New Roman"/>
                <w:b/>
                <w:i w:val="0"/>
                <w:color w:val="000000"/>
                <w:sz w:val="22"/>
              </w:rPr>
              <w:t>Power at N = 300</w:t>
            </w:r>
          </w:p>
        </w:tc>
      </w:tr>
      <w:tr>
        <w:tc>
          <w:tcPr>
            <w:tcW w:type="dxa" w:w="3628"/>
            <w:vAlign w:val="center"/>
          </w:tcPr>
          <w:p>
            <w:pPr>
              <w:spacing w:before="40" w:after="40"/>
            </w:pPr>
            <w:r/>
            <w:r>
              <w:rPr>
                <w:rFonts w:ascii="Times New Roman" w:hAnsi="Times New Roman" w:cs="Times New Roman" w:eastAsia="Times New Roman"/>
                <w:b/>
                <w:i w:val="0"/>
                <w:color w:val="000000"/>
                <w:sz w:val="22"/>
              </w:rPr>
              <w:t>Design-based (section 3)</w:t>
            </w:r>
          </w:p>
        </w:tc>
        <w:tc>
          <w:tcPr>
            <w:tcW w:type="dxa" w:w="2494"/>
            <w:vAlign w:val="center"/>
          </w:tcPr>
          <w:p>
            <w:pPr>
              <w:spacing w:before="40" w:after="40"/>
              <w:jc w:val="center"/>
            </w:pPr>
            <w:r/>
            <w:r>
              <w:rPr>
                <w:rFonts w:ascii="Times New Roman" w:hAnsi="Times New Roman" w:cs="Times New Roman" w:eastAsia="Times New Roman"/>
                <w:b w:val="0"/>
                <w:i w:val="0"/>
                <w:color w:val="000000"/>
                <w:sz w:val="22"/>
              </w:rPr>
              <w:t>≈ 170</w:t>
            </w:r>
          </w:p>
        </w:tc>
        <w:tc>
          <w:tcPr>
            <w:tcW w:type="dxa" w:w="2948"/>
            <w:vAlign w:val="center"/>
          </w:tcPr>
          <w:p>
            <w:pPr>
              <w:spacing w:before="40" w:after="40"/>
              <w:jc w:val="center"/>
            </w:pPr>
            <w:r/>
            <w:r>
              <w:rPr>
                <w:rFonts w:ascii="Times New Roman" w:hAnsi="Times New Roman" w:cs="Times New Roman" w:eastAsia="Times New Roman"/>
                <w:b w:val="0"/>
                <w:i w:val="0"/>
                <w:color w:val="000000"/>
                <w:sz w:val="22"/>
              </w:rPr>
              <w:t>0.86 at β = 0.25</w:t>
            </w:r>
          </w:p>
        </w:tc>
      </w:tr>
      <w:tr>
        <w:tc>
          <w:tcPr>
            <w:tcW w:type="dxa" w:w="3628"/>
            <w:vAlign w:val="center"/>
          </w:tcPr>
          <w:p>
            <w:pPr>
              <w:spacing w:before="40" w:after="40"/>
            </w:pPr>
            <w:r/>
            <w:r>
              <w:rPr>
                <w:rFonts w:ascii="Times New Roman" w:hAnsi="Times New Roman" w:cs="Times New Roman" w:eastAsia="Times New Roman"/>
                <w:b/>
                <w:i w:val="0"/>
                <w:color w:val="000000"/>
                <w:sz w:val="22"/>
              </w:rPr>
              <w:t>Johnson and Orme (section 4)</w:t>
            </w:r>
          </w:p>
        </w:tc>
        <w:tc>
          <w:tcPr>
            <w:tcW w:type="dxa" w:w="2494"/>
            <w:vAlign w:val="center"/>
          </w:tcPr>
          <w:p>
            <w:pPr>
              <w:spacing w:before="40" w:after="40"/>
              <w:jc w:val="center"/>
            </w:pPr>
            <w:r/>
            <w:r>
              <w:rPr>
                <w:rFonts w:ascii="Times New Roman" w:hAnsi="Times New Roman" w:cs="Times New Roman" w:eastAsia="Times New Roman"/>
                <w:b w:val="0"/>
                <w:i w:val="0"/>
                <w:color w:val="000000"/>
                <w:sz w:val="22"/>
              </w:rPr>
              <w:t>167</w:t>
            </w:r>
          </w:p>
        </w:tc>
        <w:tc>
          <w:tcPr>
            <w:tcW w:type="dxa" w:w="2948"/>
            <w:vAlign w:val="center"/>
          </w:tcPr>
          <w:p>
            <w:pPr>
              <w:spacing w:before="40" w:after="40"/>
              <w:jc w:val="center"/>
            </w:pPr>
            <w:r/>
            <w:r>
              <w:rPr>
                <w:rFonts w:ascii="Times New Roman" w:hAnsi="Times New Roman" w:cs="Times New Roman" w:eastAsia="Times New Roman"/>
                <w:b w:val="0"/>
                <w:i w:val="0"/>
                <w:color w:val="000000"/>
                <w:sz w:val="22"/>
              </w:rPr>
              <w:t>Not a power calculation</w:t>
            </w:r>
          </w:p>
        </w:tc>
      </w:tr>
      <w:tr>
        <w:tc>
          <w:tcPr>
            <w:tcW w:type="dxa" w:w="3628"/>
            <w:vAlign w:val="center"/>
          </w:tcPr>
          <w:p>
            <w:pPr>
              <w:spacing w:before="40" w:after="40"/>
            </w:pPr>
            <w:r/>
            <w:r>
              <w:rPr>
                <w:rFonts w:ascii="Times New Roman" w:hAnsi="Times New Roman" w:cs="Times New Roman" w:eastAsia="Times New Roman"/>
                <w:b/>
                <w:i w:val="0"/>
                <w:color w:val="000000"/>
                <w:sz w:val="22"/>
              </w:rPr>
              <w:t>G*Power cross-check (section 5)</w:t>
            </w:r>
          </w:p>
        </w:tc>
        <w:tc>
          <w:tcPr>
            <w:tcW w:type="dxa" w:w="2494"/>
            <w:vAlign w:val="center"/>
          </w:tcPr>
          <w:p>
            <w:pPr>
              <w:spacing w:before="40" w:after="40"/>
              <w:jc w:val="center"/>
            </w:pPr>
            <w:r/>
            <w:r>
              <w:rPr>
                <w:rFonts w:ascii="Times New Roman" w:hAnsi="Times New Roman" w:cs="Times New Roman" w:eastAsia="Times New Roman"/>
                <w:b w:val="0"/>
                <w:i w:val="0"/>
                <w:color w:val="000000"/>
                <w:sz w:val="22"/>
              </w:rPr>
              <w:t>159</w:t>
            </w:r>
          </w:p>
        </w:tc>
        <w:tc>
          <w:tcPr>
            <w:tcW w:type="dxa" w:w="2948"/>
            <w:vAlign w:val="center"/>
          </w:tcPr>
          <w:p>
            <w:pPr>
              <w:spacing w:before="40" w:after="40"/>
              <w:jc w:val="center"/>
            </w:pPr>
            <w:r/>
            <w:r>
              <w:rPr>
                <w:rFonts w:ascii="Times New Roman" w:hAnsi="Times New Roman" w:cs="Times New Roman" w:eastAsia="Times New Roman"/>
                <w:b w:val="0"/>
                <w:i w:val="0"/>
                <w:color w:val="000000"/>
                <w:sz w:val="22"/>
              </w:rPr>
              <w:t>0.97</w:t>
            </w:r>
          </w:p>
        </w:tc>
      </w:tr>
    </w:tbl>
    <w:p>
      <w:pPr>
        <w:spacing w:after="80"/>
      </w:pPr>
    </w:p>
    <w:p>
      <w:pPr>
        <w:spacing w:after="120" w:before="0"/>
        <w:jc w:val="both"/>
      </w:pPr>
      <w:r>
        <w:rPr>
          <w:rFonts w:ascii="Times New Roman" w:hAnsi="Times New Roman" w:cs="Times New Roman" w:eastAsia="Times New Roman"/>
          <w:b w:val="0"/>
          <w:i w:val="0"/>
          <w:color w:val="000000"/>
          <w:sz w:val="24"/>
        </w:rPr>
        <w:t xml:space="preserve">The three converge on 159 to 170. The G*Power route returns higher power at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300 than the design-based calculation because it evaluates a single marginal contrast, whereas section 3 accounts for estimating fifteen parameters simultaneously from a specific design. The design-based figure is the conservative one and is the figure reported.</w:t>
      </w:r>
    </w:p>
    <w:p>
      <w:pPr>
        <w:pStyle w:val="Heading1"/>
      </w:pPr>
      <w:r>
        <w:t>7.  Descriptive precision</w:t>
      </w:r>
    </w:p>
    <w:p>
      <w:pPr>
        <w:spacing w:after="120" w:before="0"/>
        <w:jc w:val="both"/>
      </w:pPr>
      <w:r>
        <w:rPr>
          <w:rFonts w:ascii="Times New Roman" w:hAnsi="Times New Roman" w:cs="Times New Roman" w:eastAsia="Times New Roman"/>
          <w:b w:val="0"/>
          <w:i w:val="0"/>
          <w:color w:val="000000"/>
          <w:sz w:val="24"/>
        </w:rPr>
        <w:t>For prevalence outcomes such as the share of traders who would use the service:</w:t>
      </w:r>
    </w:p>
    <w:p>
      <w:pPr>
        <w:spacing w:before="160" w:after="200"/>
        <w:jc w:val="center"/>
      </w:pPr>
      <w:r>
        <w:drawing>
          <wp:inline xmlns:a="http://schemas.openxmlformats.org/drawingml/2006/main" xmlns:pic="http://schemas.openxmlformats.org/drawingml/2006/picture">
            <wp:extent cx="928115" cy="292608"/>
            <wp:docPr id="8" name="Picture 8"/>
            <wp:cNvGraphicFramePr>
              <a:graphicFrameLocks noChangeAspect="1"/>
            </wp:cNvGraphicFramePr>
            <a:graphic>
              <a:graphicData uri="http://schemas.openxmlformats.org/drawingml/2006/picture">
                <pic:pic>
                  <pic:nvPicPr>
                    <pic:cNvPr id="0" name="eq12_prec.png"/>
                    <pic:cNvPicPr/>
                  </pic:nvPicPr>
                  <pic:blipFill>
                    <a:blip r:embed="rId16"/>
                    <a:stretch>
                      <a:fillRect/>
                    </a:stretch>
                  </pic:blipFill>
                  <pic:spPr>
                    <a:xfrm>
                      <a:off x="0" y="0"/>
                      <a:ext cx="928115" cy="292608"/>
                    </a:xfrm>
                    <a:prstGeom prst="rect"/>
                  </pic:spPr>
                </pic:pic>
              </a:graphicData>
            </a:graphic>
          </wp:inline>
        </w:drawing>
      </w:r>
    </w:p>
    <w:p>
      <w:pPr>
        <w:spacing w:after="120" w:before="0"/>
        <w:jc w:val="both"/>
      </w:pPr>
      <w:r>
        <w:rPr>
          <w:rFonts w:ascii="Times New Roman" w:hAnsi="Times New Roman" w:cs="Times New Roman" w:eastAsia="Times New Roman"/>
          <w:b w:val="0"/>
          <w:i w:val="0"/>
          <w:color w:val="000000"/>
          <w:sz w:val="24"/>
        </w:rPr>
        <w:t xml:space="preserve">At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300 with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 0.5 this gives </w:t>
      </w:r>
      <w:r>
        <w:rPr>
          <w:rFonts w:ascii="Times New Roman" w:hAnsi="Times New Roman" w:cs="Times New Roman" w:eastAsia="Times New Roman"/>
          <w:b w:val="0"/>
          <w:i/>
          <w:color w:val="000000"/>
          <w:sz w:val="24"/>
        </w:rPr>
        <w:t>d</w:t>
      </w:r>
      <w:r>
        <w:rPr>
          <w:rFonts w:ascii="Times New Roman" w:hAnsi="Times New Roman" w:cs="Times New Roman" w:eastAsia="Times New Roman"/>
          <w:b w:val="0"/>
          <w:i w:val="0"/>
          <w:color w:val="000000"/>
          <w:sz w:val="24"/>
        </w:rPr>
        <w:t xml:space="preserve"> = ±5.7 percentage points. Within a 167-respondent stratum it widens to ±7.6 points.</w:t>
      </w:r>
    </w:p>
    <w:p>
      <w:pPr>
        <w:pStyle w:val="Heading1"/>
      </w:pPr>
      <w:r>
        <w:t>8.  Sample allocation</w:t>
      </w:r>
    </w:p>
    <w:tbl>
      <w:tblPr>
        <w:tblStyle w:val="TableGrid"/>
        <w:tblW w:type="auto" w:w="0"/>
        <w:jc w:val="left"/>
        <w:tblLayout w:type="fixed"/>
        <w:tblLook w:firstColumn="1" w:firstRow="1" w:lastColumn="0" w:lastRow="0" w:noHBand="0" w:noVBand="1" w:val="04A0"/>
      </w:tblPr>
      <w:tblGrid>
        <w:gridCol w:w="3135"/>
        <w:gridCol w:w="3135"/>
        <w:gridCol w:w="3135"/>
      </w:tblGrid>
      <w:tr>
        <w:trPr>
          <w:tblHeader w:val="true"/>
        </w:trPr>
        <w:tc>
          <w:tcPr>
            <w:tcW w:type="dxa" w:w="2494"/>
            <w:vAlign w:val="center"/>
          </w:tcPr>
          <w:p>
            <w:pPr>
              <w:spacing w:before="40" w:after="40"/>
            </w:pPr>
            <w:r/>
            <w:r>
              <w:rPr>
                <w:rFonts w:ascii="Times New Roman" w:hAnsi="Times New Roman" w:cs="Times New Roman" w:eastAsia="Times New Roman"/>
                <w:b/>
                <w:i w:val="0"/>
                <w:color w:val="000000"/>
                <w:sz w:val="22"/>
              </w:rPr>
              <w:t>Parameter</w:t>
            </w:r>
          </w:p>
        </w:tc>
        <w:tc>
          <w:tcPr>
            <w:tcW w:type="dxa" w:w="1587"/>
            <w:vAlign w:val="center"/>
          </w:tcPr>
          <w:p>
            <w:pPr>
              <w:spacing w:before="40" w:after="40"/>
              <w:jc w:val="center"/>
            </w:pPr>
            <w:r/>
            <w:r>
              <w:rPr>
                <w:rFonts w:ascii="Times New Roman" w:hAnsi="Times New Roman" w:cs="Times New Roman" w:eastAsia="Times New Roman"/>
                <w:b/>
                <w:i w:val="0"/>
                <w:color w:val="000000"/>
                <w:sz w:val="22"/>
              </w:rPr>
              <w:t>Value</w:t>
            </w:r>
          </w:p>
        </w:tc>
        <w:tc>
          <w:tcPr>
            <w:tcW w:type="dxa" w:w="4989"/>
            <w:vAlign w:val="center"/>
          </w:tcPr>
          <w:p>
            <w:pPr>
              <w:spacing w:before="40" w:after="40"/>
            </w:pPr>
            <w:r/>
            <w:r>
              <w:rPr>
                <w:rFonts w:ascii="Times New Roman" w:hAnsi="Times New Roman" w:cs="Times New Roman" w:eastAsia="Times New Roman"/>
                <w:b/>
                <w:i w:val="0"/>
                <w:color w:val="000000"/>
                <w:sz w:val="22"/>
              </w:rPr>
              <w:t>Basis</w:t>
            </w:r>
          </w:p>
        </w:tc>
      </w:tr>
      <w:tr>
        <w:tc>
          <w:tcPr>
            <w:tcW w:type="dxa" w:w="2494"/>
            <w:vAlign w:val="center"/>
          </w:tcPr>
          <w:p>
            <w:pPr>
              <w:spacing w:before="40" w:after="40"/>
            </w:pPr>
            <w:r/>
            <w:r>
              <w:rPr>
                <w:rFonts w:ascii="Times New Roman" w:hAnsi="Times New Roman" w:cs="Times New Roman" w:eastAsia="Times New Roman"/>
                <w:b/>
                <w:i w:val="0"/>
                <w:color w:val="000000"/>
                <w:sz w:val="22"/>
              </w:rPr>
              <w:t>Completed interviews</w:t>
            </w:r>
          </w:p>
        </w:tc>
        <w:tc>
          <w:tcPr>
            <w:tcW w:type="dxa" w:w="1587"/>
            <w:vAlign w:val="center"/>
          </w:tcPr>
          <w:p>
            <w:pPr>
              <w:spacing w:before="40" w:after="40"/>
              <w:jc w:val="center"/>
            </w:pPr>
            <w:r/>
            <w:r>
              <w:rPr>
                <w:rFonts w:ascii="Times New Roman" w:hAnsi="Times New Roman" w:cs="Times New Roman" w:eastAsia="Times New Roman"/>
                <w:b w:val="0"/>
                <w:i w:val="0"/>
                <w:color w:val="000000"/>
                <w:sz w:val="22"/>
              </w:rPr>
              <w:t>300</w:t>
            </w:r>
          </w:p>
        </w:tc>
        <w:tc>
          <w:tcPr>
            <w:tcW w:type="dxa" w:w="4989"/>
            <w:vAlign w:val="center"/>
          </w:tcPr>
          <w:p>
            <w:pPr>
              <w:spacing w:before="40" w:after="40"/>
            </w:pPr>
            <w:r/>
            <w:r>
              <w:rPr>
                <w:rFonts w:ascii="Times New Roman" w:hAnsi="Times New Roman" w:cs="Times New Roman" w:eastAsia="Times New Roman"/>
                <w:b w:val="0"/>
                <w:i w:val="0"/>
                <w:color w:val="000000"/>
                <w:sz w:val="22"/>
              </w:rPr>
              <w:t>50 per market across six markets</w:t>
            </w:r>
          </w:p>
        </w:tc>
      </w:tr>
      <w:tr>
        <w:tc>
          <w:tcPr>
            <w:tcW w:type="dxa" w:w="2494"/>
            <w:vAlign w:val="center"/>
          </w:tcPr>
          <w:p>
            <w:pPr>
              <w:spacing w:before="40" w:after="40"/>
            </w:pPr>
            <w:r/>
            <w:r>
              <w:rPr>
                <w:rFonts w:ascii="Times New Roman" w:hAnsi="Times New Roman" w:cs="Times New Roman" w:eastAsia="Times New Roman"/>
                <w:b/>
                <w:i w:val="0"/>
                <w:color w:val="000000"/>
                <w:sz w:val="22"/>
              </w:rPr>
              <w:t>Traders approached</w:t>
            </w:r>
          </w:p>
        </w:tc>
        <w:tc>
          <w:tcPr>
            <w:tcW w:type="dxa" w:w="1587"/>
            <w:vAlign w:val="center"/>
          </w:tcPr>
          <w:p>
            <w:pPr>
              <w:spacing w:before="40" w:after="40"/>
              <w:jc w:val="center"/>
            </w:pPr>
            <w:r/>
            <w:r>
              <w:rPr>
                <w:rFonts w:ascii="Times New Roman" w:hAnsi="Times New Roman" w:cs="Times New Roman" w:eastAsia="Times New Roman"/>
                <w:b w:val="0"/>
                <w:i w:val="0"/>
                <w:color w:val="000000"/>
                <w:sz w:val="22"/>
              </w:rPr>
              <w:t>360</w:t>
            </w:r>
          </w:p>
        </w:tc>
        <w:tc>
          <w:tcPr>
            <w:tcW w:type="dxa" w:w="4989"/>
            <w:vAlign w:val="center"/>
          </w:tcPr>
          <w:p>
            <w:pPr>
              <w:spacing w:before="40" w:after="40"/>
            </w:pPr>
            <w:r/>
            <w:r>
              <w:rPr>
                <w:rFonts w:ascii="Times New Roman" w:hAnsi="Times New Roman" w:cs="Times New Roman" w:eastAsia="Times New Roman"/>
                <w:b w:val="0"/>
                <w:i w:val="0"/>
                <w:color w:val="000000"/>
                <w:sz w:val="22"/>
              </w:rPr>
              <w:t>Allows 15% for refusal and for screen-out at B12 and B13</w:t>
            </w:r>
          </w:p>
        </w:tc>
      </w:tr>
      <w:tr>
        <w:tc>
          <w:tcPr>
            <w:tcW w:type="dxa" w:w="2494"/>
            <w:vAlign w:val="center"/>
          </w:tcPr>
          <w:p>
            <w:pPr>
              <w:spacing w:before="40" w:after="40"/>
            </w:pPr>
            <w:r/>
            <w:r>
              <w:rPr>
                <w:rFonts w:ascii="Times New Roman" w:hAnsi="Times New Roman" w:cs="Times New Roman" w:eastAsia="Times New Roman"/>
                <w:b/>
                <w:i w:val="0"/>
                <w:color w:val="000000"/>
                <w:sz w:val="22"/>
              </w:rPr>
              <w:t>Women</w:t>
            </w:r>
          </w:p>
        </w:tc>
        <w:tc>
          <w:tcPr>
            <w:tcW w:type="dxa" w:w="1587"/>
            <w:vAlign w:val="center"/>
          </w:tcPr>
          <w:p>
            <w:pPr>
              <w:spacing w:before="40" w:after="40"/>
              <w:jc w:val="center"/>
            </w:pPr>
            <w:r/>
            <w:r>
              <w:rPr>
                <w:rFonts w:ascii="Times New Roman" w:hAnsi="Times New Roman" w:cs="Times New Roman" w:eastAsia="Times New Roman"/>
                <w:b w:val="0"/>
                <w:i w:val="0"/>
                <w:color w:val="000000"/>
                <w:sz w:val="22"/>
              </w:rPr>
              <w:t>200 minimum</w:t>
            </w:r>
          </w:p>
        </w:tc>
        <w:tc>
          <w:tcPr>
            <w:tcW w:type="dxa" w:w="4989"/>
            <w:vAlign w:val="center"/>
          </w:tcPr>
          <w:p>
            <w:pPr>
              <w:spacing w:before="40" w:after="40"/>
            </w:pPr>
            <w:r/>
            <w:r>
              <w:rPr>
                <w:rFonts w:ascii="Times New Roman" w:hAnsi="Times New Roman" w:cs="Times New Roman" w:eastAsia="Times New Roman"/>
                <w:b w:val="0"/>
                <w:i w:val="0"/>
                <w:color w:val="000000"/>
                <w:sz w:val="22"/>
              </w:rPr>
              <w:t>Keeps the primary population separately modellable</w:t>
            </w:r>
          </w:p>
        </w:tc>
      </w:tr>
      <w:tr>
        <w:tc>
          <w:tcPr>
            <w:tcW w:type="dxa" w:w="2494"/>
            <w:vAlign w:val="center"/>
          </w:tcPr>
          <w:p>
            <w:pPr>
              <w:spacing w:before="40" w:after="40"/>
            </w:pPr>
            <w:r/>
            <w:r>
              <w:rPr>
                <w:rFonts w:ascii="Times New Roman" w:hAnsi="Times New Roman" w:cs="Times New Roman" w:eastAsia="Times New Roman"/>
                <w:b/>
                <w:i w:val="0"/>
                <w:color w:val="000000"/>
                <w:sz w:val="22"/>
              </w:rPr>
              <w:t>Men</w:t>
            </w:r>
          </w:p>
        </w:tc>
        <w:tc>
          <w:tcPr>
            <w:tcW w:type="dxa" w:w="1587"/>
            <w:vAlign w:val="center"/>
          </w:tcPr>
          <w:p>
            <w:pPr>
              <w:spacing w:before="40" w:after="40"/>
              <w:jc w:val="center"/>
            </w:pPr>
            <w:r/>
            <w:r>
              <w:rPr>
                <w:rFonts w:ascii="Times New Roman" w:hAnsi="Times New Roman" w:cs="Times New Roman" w:eastAsia="Times New Roman"/>
                <w:b w:val="0"/>
                <w:i w:val="0"/>
                <w:color w:val="000000"/>
                <w:sz w:val="22"/>
              </w:rPr>
              <w:t>100</w:t>
            </w:r>
          </w:p>
        </w:tc>
        <w:tc>
          <w:tcPr>
            <w:tcW w:type="dxa" w:w="4989"/>
            <w:vAlign w:val="center"/>
          </w:tcPr>
          <w:p>
            <w:pPr>
              <w:spacing w:before="40" w:after="40"/>
            </w:pPr>
            <w:r/>
            <w:r>
              <w:rPr>
                <w:rFonts w:ascii="Times New Roman" w:hAnsi="Times New Roman" w:cs="Times New Roman" w:eastAsia="Times New Roman"/>
                <w:b w:val="0"/>
                <w:i w:val="0"/>
                <w:color w:val="000000"/>
                <w:sz w:val="22"/>
              </w:rPr>
              <w:t>Described and compared descriptively, not modelled separately</w:t>
            </w:r>
          </w:p>
        </w:tc>
      </w:tr>
      <w:tr>
        <w:tc>
          <w:tcPr>
            <w:tcW w:type="dxa" w:w="2494"/>
            <w:vAlign w:val="center"/>
          </w:tcPr>
          <w:p>
            <w:pPr>
              <w:spacing w:before="40" w:after="40"/>
            </w:pPr>
            <w:r/>
            <w:r>
              <w:rPr>
                <w:rFonts w:ascii="Times New Roman" w:hAnsi="Times New Roman" w:cs="Times New Roman" w:eastAsia="Times New Roman"/>
                <w:b/>
                <w:i w:val="0"/>
                <w:color w:val="000000"/>
                <w:sz w:val="22"/>
              </w:rPr>
              <w:t>Purposive disability sample</w:t>
            </w:r>
          </w:p>
        </w:tc>
        <w:tc>
          <w:tcPr>
            <w:tcW w:type="dxa" w:w="1587"/>
            <w:vAlign w:val="center"/>
          </w:tcPr>
          <w:p>
            <w:pPr>
              <w:spacing w:before="40" w:after="40"/>
              <w:jc w:val="center"/>
            </w:pPr>
            <w:r/>
            <w:r>
              <w:rPr>
                <w:rFonts w:ascii="Times New Roman" w:hAnsi="Times New Roman" w:cs="Times New Roman" w:eastAsia="Times New Roman"/>
                <w:b w:val="0"/>
                <w:i w:val="0"/>
                <w:color w:val="000000"/>
                <w:sz w:val="22"/>
              </w:rPr>
              <w:t>40 – 60</w:t>
            </w:r>
          </w:p>
        </w:tc>
        <w:tc>
          <w:tcPr>
            <w:tcW w:type="dxa" w:w="4989"/>
            <w:vAlign w:val="center"/>
          </w:tcPr>
          <w:p>
            <w:pPr>
              <w:spacing w:before="40" w:after="40"/>
            </w:pPr>
            <w:r/>
            <w:r>
              <w:rPr>
                <w:rFonts w:ascii="Times New Roman" w:hAnsi="Times New Roman" w:cs="Times New Roman" w:eastAsia="Times New Roman"/>
                <w:b w:val="0"/>
                <w:i w:val="0"/>
                <w:color w:val="000000"/>
                <w:sz w:val="22"/>
              </w:rPr>
              <w:t>Recruited through organisations of persons with disabilities, additional to the 300</w:t>
            </w:r>
          </w:p>
        </w:tc>
      </w:tr>
      <w:tr>
        <w:tc>
          <w:tcPr>
            <w:tcW w:type="dxa" w:w="2494"/>
            <w:vAlign w:val="center"/>
          </w:tcPr>
          <w:p>
            <w:pPr>
              <w:spacing w:before="40" w:after="40"/>
            </w:pPr>
            <w:r/>
            <w:r>
              <w:rPr>
                <w:rFonts w:ascii="Times New Roman" w:hAnsi="Times New Roman" w:cs="Times New Roman" w:eastAsia="Times New Roman"/>
                <w:b/>
                <w:i w:val="0"/>
                <w:color w:val="000000"/>
                <w:sz w:val="22"/>
              </w:rPr>
              <w:t>Choice observations</w:t>
            </w:r>
          </w:p>
        </w:tc>
        <w:tc>
          <w:tcPr>
            <w:tcW w:type="dxa" w:w="1587"/>
            <w:vAlign w:val="center"/>
          </w:tcPr>
          <w:p>
            <w:pPr>
              <w:spacing w:before="40" w:after="40"/>
              <w:jc w:val="center"/>
            </w:pPr>
            <w:r/>
            <w:r>
              <w:rPr>
                <w:rFonts w:ascii="Times New Roman" w:hAnsi="Times New Roman" w:cs="Times New Roman" w:eastAsia="Times New Roman"/>
                <w:b w:val="0"/>
                <w:i w:val="0"/>
                <w:color w:val="000000"/>
                <w:sz w:val="22"/>
              </w:rPr>
              <w:t>1,800</w:t>
            </w:r>
          </w:p>
        </w:tc>
        <w:tc>
          <w:tcPr>
            <w:tcW w:type="dxa" w:w="4989"/>
            <w:vAlign w:val="center"/>
          </w:tcPr>
          <w:p>
            <w:pPr>
              <w:spacing w:before="40" w:after="40"/>
            </w:pPr>
            <w:r/>
            <w:r>
              <w:rPr>
                <w:rFonts w:ascii="Times New Roman" w:hAnsi="Times New Roman" w:cs="Times New Roman" w:eastAsia="Times New Roman"/>
                <w:b w:val="0"/>
                <w:i w:val="0"/>
                <w:color w:val="000000"/>
                <w:sz w:val="22"/>
              </w:rPr>
              <w:t>300 respondents × 6 tasks</w:t>
            </w:r>
          </w:p>
        </w:tc>
      </w:tr>
    </w:tbl>
    <w:p>
      <w:pPr>
        <w:spacing w:after="80"/>
      </w:pPr>
    </w:p>
    <w:p>
      <w:pPr>
        <w:pStyle w:val="Heading1"/>
      </w:pPr>
      <w:r>
        <w:t>9.  Assumptions and limitations</w:t>
      </w:r>
    </w:p>
    <w:p>
      <w:pPr>
        <w:spacing w:after="120" w:before="0"/>
        <w:jc w:val="both"/>
      </w:pPr>
      <w:r>
        <w:rPr>
          <w:rFonts w:ascii="Times New Roman" w:hAnsi="Times New Roman" w:cs="Times New Roman" w:eastAsia="Times New Roman"/>
          <w:b w:val="0"/>
          <w:i w:val="0"/>
          <w:color w:val="000000"/>
          <w:sz w:val="24"/>
        </w:rPr>
        <w:t>Null priors. The calculation assumes no prior knowledge of the coefficients, which is conservative. Priors estimated from the pilot would reduce the variance estimates, so the figures above understate the precision the full survey will achieve.</w:t>
      </w:r>
    </w:p>
    <w:p>
      <w:pPr>
        <w:spacing w:after="120" w:before="0"/>
        <w:jc w:val="both"/>
      </w:pPr>
      <w:r>
        <w:rPr>
          <w:rFonts w:ascii="Times New Roman" w:hAnsi="Times New Roman" w:cs="Times New Roman" w:eastAsia="Times New Roman"/>
          <w:b w:val="0"/>
          <w:i w:val="0"/>
          <w:color w:val="000000"/>
          <w:sz w:val="24"/>
        </w:rPr>
        <w:t>Corrected design. The figures apply to the eighteen-card design with randomised presentation order. They do not apply to the design used in the pilot, in which the cheaper alternative appeared in the first position on nine of twelve cards; price and position were confounded there to the point that the cost coefficient reversed sign when a position term was added, and no willingness-to-pay estimate could be reported.</w:t>
      </w:r>
    </w:p>
    <w:p>
      <w:pPr>
        <w:spacing w:after="120" w:before="0"/>
        <w:jc w:val="both"/>
      </w:pPr>
      <w:r>
        <w:rPr>
          <w:rFonts w:ascii="Times New Roman" w:hAnsi="Times New Roman" w:cs="Times New Roman" w:eastAsia="Times New Roman"/>
          <w:b w:val="0"/>
          <w:i w:val="0"/>
          <w:color w:val="000000"/>
          <w:sz w:val="24"/>
        </w:rPr>
        <w:t>One stratum, not two. A sample of 300 supports separate estimation for women traders but not simultaneously for men. A properly powered comparison of men and women requires approximately 167 in each group, implying a total of about 400 under a sex quota.</w:t>
      </w:r>
    </w:p>
    <w:p>
      <w:pPr>
        <w:spacing w:after="120" w:before="0"/>
        <w:jc w:val="both"/>
      </w:pPr>
      <w:r>
        <w:rPr>
          <w:rFonts w:ascii="Times New Roman" w:hAnsi="Times New Roman" w:cs="Times New Roman" w:eastAsia="Times New Roman"/>
          <w:b w:val="0"/>
          <w:i w:val="0"/>
          <w:color w:val="000000"/>
          <w:sz w:val="24"/>
        </w:rPr>
        <w:t>Purposive recruitment for disability. Traders with disabilities, and traders caring for children with disabilities, will not reach an analysable number through incidental capture at this sample size. If the inclusion objective is to be modelled rather than described, the purposive sample in section 8 is required.</w:t>
      </w:r>
    </w:p>
    <w:p>
      <w:pPr>
        <w:pStyle w:val="Heading1"/>
      </w:pPr>
      <w:r>
        <w:t>References</w:t>
      </w:r>
    </w:p>
    <w:p>
      <w:pPr>
        <w:spacing w:after="100" w:before="0"/>
        <w:ind w:left="425" w:hanging="425"/>
        <w:jc w:val="both"/>
      </w:pPr>
      <w:r>
        <w:rPr>
          <w:rFonts w:ascii="Times New Roman" w:hAnsi="Times New Roman" w:cs="Times New Roman" w:eastAsia="Times New Roman"/>
          <w:b w:val="0"/>
          <w:i w:val="0"/>
          <w:color w:val="000000"/>
          <w:sz w:val="22"/>
        </w:rPr>
        <w:t>de Bekker-Grob, E. W., Donkers, B., Jonker, M. F. and Stolk, E. A. (2015). Sample size requirements for discrete-choice experiments in healthcare: a practical guide. The Patient, 8(5), 373–384.</w:t>
      </w:r>
    </w:p>
    <w:p>
      <w:pPr>
        <w:spacing w:after="100" w:before="0"/>
        <w:ind w:left="425" w:hanging="425"/>
        <w:jc w:val="both"/>
      </w:pPr>
      <w:r>
        <w:rPr>
          <w:rFonts w:ascii="Times New Roman" w:hAnsi="Times New Roman" w:cs="Times New Roman" w:eastAsia="Times New Roman"/>
          <w:b w:val="0"/>
          <w:i w:val="0"/>
          <w:color w:val="000000"/>
          <w:sz w:val="22"/>
        </w:rPr>
        <w:t>Faul, F., Erdfelder, E., Lang, A.-G. and Buchner, A. (2007). G*Power 3: a flexible statistical power analysis program for the social, behavioral, and biomedical sciences. Behavior Research Methods, 39(2), 175–191.</w:t>
      </w:r>
    </w:p>
    <w:p>
      <w:pPr>
        <w:spacing w:after="100" w:before="0"/>
        <w:ind w:left="425" w:hanging="425"/>
        <w:jc w:val="both"/>
      </w:pPr>
      <w:r>
        <w:rPr>
          <w:rFonts w:ascii="Times New Roman" w:hAnsi="Times New Roman" w:cs="Times New Roman" w:eastAsia="Times New Roman"/>
          <w:b w:val="0"/>
          <w:i w:val="0"/>
          <w:color w:val="000000"/>
          <w:sz w:val="22"/>
        </w:rPr>
        <w:t>Johnson, R. and Orme, B. (2003). Getting the most from CBC. Sawtooth Software Research Paper Series.</w:t>
      </w:r>
    </w:p>
    <w:p>
      <w:pPr>
        <w:spacing w:after="100" w:before="0"/>
        <w:ind w:left="425" w:hanging="425"/>
        <w:jc w:val="both"/>
      </w:pPr>
      <w:r>
        <w:rPr>
          <w:rFonts w:ascii="Times New Roman" w:hAnsi="Times New Roman" w:cs="Times New Roman" w:eastAsia="Times New Roman"/>
          <w:b w:val="0"/>
          <w:i w:val="0"/>
          <w:color w:val="000000"/>
          <w:sz w:val="22"/>
        </w:rPr>
        <w:t>Orme, B. (1998). Sample size issues for conjoint analysis studies. Sawtooth Software Research Paper Series.</w:t>
      </w:r>
    </w:p>
    <w:p>
      <w:pPr>
        <w:spacing w:after="100" w:before="0"/>
        <w:ind w:left="425" w:hanging="425"/>
        <w:jc w:val="both"/>
      </w:pPr>
      <w:r>
        <w:rPr>
          <w:rFonts w:ascii="Times New Roman" w:hAnsi="Times New Roman" w:cs="Times New Roman" w:eastAsia="Times New Roman"/>
          <w:b w:val="0"/>
          <w:i w:val="0"/>
          <w:color w:val="000000"/>
          <w:sz w:val="22"/>
        </w:rPr>
        <w:t>Rose, J. M. and Bliemer, M. C. J. (2013). Sample size requirements for stated choice experiments. Transportation, 40(5), 1021–1041.</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pPr>
    <w:rPr>
      <w:rFonts w:ascii="Times New Roman" w:hAnsi="Times New Roman" w:cs="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imes New Roman" w:hAnsi="Times New Roman" w:cs="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80" w:line="240" w:lineRule="auto" w:before="0"/>
      <w:contextualSpacing/>
    </w:pPr>
    <w:rPr>
      <w:rFonts w:ascii="Times New Roman" w:hAnsi="Times New Roman" w:cs="Times New Roman" w:eastAsia="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