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89AB"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3B5C5357"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5FF611DC"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7E181C4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E01DD8E" w14:textId="77777777" w:rsidR="00221112" w:rsidRPr="00DE5E47" w:rsidRDefault="00221112">
      <w:pPr>
        <w:spacing w:after="200" w:line="480" w:lineRule="auto"/>
        <w:jc w:val="both"/>
        <w:rPr>
          <w:rFonts w:eastAsia="Times New Roman" w:cs="Times New Roman"/>
          <w:b/>
          <w:kern w:val="0"/>
          <w:sz w:val="24"/>
          <w:szCs w:val="24"/>
          <w14:ligatures w14:val="none"/>
        </w:rPr>
      </w:pPr>
    </w:p>
    <w:p w14:paraId="289D83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3DD9FD6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6EDA1826" w14:textId="77777777" w:rsidR="00221112" w:rsidRPr="00DE5E47" w:rsidRDefault="00221112">
      <w:pPr>
        <w:spacing w:after="200" w:line="480" w:lineRule="auto"/>
        <w:jc w:val="both"/>
        <w:rPr>
          <w:rFonts w:eastAsia="Times New Roman" w:cs="Times New Roman"/>
          <w:b/>
          <w:kern w:val="0"/>
          <w:sz w:val="24"/>
          <w:szCs w:val="24"/>
          <w14:ligatures w14:val="none"/>
        </w:rPr>
      </w:pP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2BB4666D"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42CA1B58"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5E87DE33"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1D644590"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2ACD6288"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2449BE3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3C142B43"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6CCC81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CA06F94"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31E579ED" w14:textId="77777777" w:rsidR="00221112" w:rsidRPr="00DE5E47" w:rsidRDefault="00221112">
      <w:pPr>
        <w:spacing w:after="200" w:line="480" w:lineRule="auto"/>
        <w:jc w:val="both"/>
        <w:rPr>
          <w:rFonts w:eastAsia="Times New Roman" w:cs="Times New Roman"/>
          <w:b/>
          <w:kern w:val="0"/>
          <w:sz w:val="24"/>
          <w:szCs w:val="24"/>
          <w14:ligatures w14:val="none"/>
        </w:rPr>
      </w:pPr>
    </w:p>
    <w:p w14:paraId="4B8347F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066DE5BF"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1137746"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22D39CB0"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B2EC0C3"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3BA5D4DA"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63E38B21" w14:textId="77777777" w:rsidR="00221112" w:rsidRPr="00DE5E47" w:rsidRDefault="00221112">
      <w:pPr>
        <w:spacing w:after="200" w:line="480" w:lineRule="auto"/>
        <w:jc w:val="both"/>
        <w:rPr>
          <w:rFonts w:eastAsia="Times New Roman" w:cs="Times New Roman"/>
          <w:kern w:val="0"/>
          <w:sz w:val="24"/>
          <w:szCs w:val="24"/>
          <w14:ligatures w14:val="none"/>
        </w:rPr>
      </w:pPr>
    </w:p>
    <w:p w14:paraId="2B5D6C52"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3A115EE1"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771B674" w14:textId="77777777" w:rsidR="00A32D91" w:rsidRPr="00DE5E47" w:rsidRDefault="00A32D91">
      <w:pPr>
        <w:jc w:val="center"/>
        <w:rPr>
          <w:rFonts w:eastAsia="Times New Roman" w:cs="Times New Roman"/>
          <w:b/>
          <w:sz w:val="24"/>
          <w:szCs w:val="24"/>
        </w:rPr>
      </w:pPr>
    </w:p>
    <w:p w14:paraId="70715C60" w14:textId="77777777" w:rsidR="00A32D91" w:rsidRPr="00DE5E47" w:rsidRDefault="00A32D91">
      <w:pPr>
        <w:jc w:val="center"/>
        <w:rPr>
          <w:rFonts w:eastAsia="Times New Roman" w:cs="Times New Roman"/>
          <w:b/>
          <w:sz w:val="24"/>
          <w:szCs w:val="24"/>
        </w:rPr>
      </w:pPr>
    </w:p>
    <w:p w14:paraId="47F1BFB8" w14:textId="77777777" w:rsidR="00A32D91" w:rsidRPr="00DE5E47" w:rsidRDefault="00A32D91">
      <w:pPr>
        <w:jc w:val="center"/>
        <w:rPr>
          <w:rFonts w:eastAsia="Times New Roman" w:cs="Times New Roman"/>
          <w:b/>
          <w:sz w:val="24"/>
          <w:szCs w:val="24"/>
        </w:rPr>
      </w:pPr>
    </w:p>
    <w:p w14:paraId="2054BE9A" w14:textId="77777777" w:rsidR="00A32D91" w:rsidRPr="00DE5E47" w:rsidRDefault="00A32D91">
      <w:pPr>
        <w:jc w:val="center"/>
        <w:rPr>
          <w:rFonts w:eastAsia="Times New Roman" w:cs="Times New Roman"/>
          <w:b/>
          <w:sz w:val="24"/>
          <w:szCs w:val="24"/>
        </w:rPr>
      </w:pPr>
    </w:p>
    <w:p w14:paraId="6E20DBBB" w14:textId="77777777" w:rsidR="00A32D91" w:rsidRPr="00DE5E47" w:rsidRDefault="00A32D91">
      <w:pPr>
        <w:jc w:val="center"/>
        <w:rPr>
          <w:rFonts w:eastAsia="Times New Roman" w:cs="Times New Roman"/>
          <w:b/>
          <w:sz w:val="24"/>
          <w:szCs w:val="24"/>
        </w:rPr>
      </w:pPr>
    </w:p>
    <w:p w14:paraId="7D9A8134" w14:textId="77777777" w:rsidR="00A32D91" w:rsidRPr="00DE5E47" w:rsidRDefault="00A32D91">
      <w:pPr>
        <w:jc w:val="center"/>
        <w:rPr>
          <w:rFonts w:eastAsia="Times New Roman" w:cs="Times New Roman"/>
          <w:b/>
          <w:sz w:val="24"/>
          <w:szCs w:val="24"/>
        </w:rPr>
      </w:pPr>
    </w:p>
    <w:p w14:paraId="2B5B93DD" w14:textId="77777777" w:rsidR="00A32D91" w:rsidRPr="00DE5E47" w:rsidRDefault="00A32D91">
      <w:pPr>
        <w:jc w:val="center"/>
        <w:rPr>
          <w:rFonts w:eastAsia="Times New Roman" w:cs="Times New Roman"/>
          <w:b/>
          <w:sz w:val="24"/>
          <w:szCs w:val="24"/>
        </w:rPr>
      </w:pPr>
    </w:p>
    <w:p w14:paraId="73445561" w14:textId="77777777" w:rsidR="00A32D91" w:rsidRPr="00DE5E47" w:rsidRDefault="00A32D91">
      <w:pPr>
        <w:jc w:val="center"/>
        <w:rPr>
          <w:rFonts w:eastAsia="Times New Roman" w:cs="Times New Roman"/>
          <w:b/>
          <w:sz w:val="24"/>
          <w:szCs w:val="24"/>
        </w:rPr>
      </w:pPr>
    </w:p>
    <w:p w14:paraId="1F8C711D" w14:textId="77777777" w:rsidR="00A32D91" w:rsidRPr="00DE5E47" w:rsidRDefault="00A32D91">
      <w:pPr>
        <w:jc w:val="center"/>
        <w:rPr>
          <w:rFonts w:eastAsia="Times New Roman" w:cs="Times New Roman"/>
          <w:b/>
          <w:sz w:val="24"/>
          <w:szCs w:val="24"/>
        </w:rPr>
      </w:pPr>
    </w:p>
    <w:p w14:paraId="69DC1736" w14:textId="77777777" w:rsidR="00A32D91" w:rsidRPr="00DE5E47" w:rsidRDefault="00A32D91">
      <w:pPr>
        <w:jc w:val="center"/>
        <w:rPr>
          <w:rFonts w:eastAsia="Times New Roman" w:cs="Times New Roman"/>
          <w:b/>
          <w:sz w:val="24"/>
          <w:szCs w:val="24"/>
        </w:rPr>
      </w:pPr>
    </w:p>
    <w:p w14:paraId="3B735CDE" w14:textId="77777777" w:rsidR="00A32D91" w:rsidRPr="00DE5E47" w:rsidRDefault="00A32D91">
      <w:pPr>
        <w:jc w:val="center"/>
        <w:rPr>
          <w:rFonts w:eastAsia="Times New Roman" w:cs="Times New Roman"/>
          <w:b/>
          <w:sz w:val="24"/>
          <w:szCs w:val="24"/>
        </w:rPr>
      </w:pPr>
    </w:p>
    <w:p w14:paraId="53BE79DA" w14:textId="77777777" w:rsidR="00A32D91" w:rsidRPr="00DE5E47" w:rsidRDefault="00A32D91">
      <w:pPr>
        <w:jc w:val="center"/>
        <w:rPr>
          <w:rFonts w:eastAsia="Times New Roman" w:cs="Times New Roman"/>
          <w:b/>
          <w:sz w:val="24"/>
          <w:szCs w:val="24"/>
        </w:rPr>
      </w:pPr>
    </w:p>
    <w:p w14:paraId="4D558BCB" w14:textId="77777777" w:rsidR="00A32D91" w:rsidRPr="00DE5E47" w:rsidRDefault="00A32D91">
      <w:pPr>
        <w:jc w:val="center"/>
        <w:rPr>
          <w:rFonts w:eastAsia="Times New Roman" w:cs="Times New Roman"/>
          <w:b/>
          <w:sz w:val="24"/>
          <w:szCs w:val="24"/>
        </w:rPr>
      </w:pPr>
    </w:p>
    <w:p w14:paraId="65E0BE4A"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t>ABSTRACT</w:t>
      </w:r>
    </w:p>
    <w:p w14:paraId="79F10B0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yet how the market is organised, and how the value of a crab is shared between the people who catch, trade and sell it, has not been documented in detail. This study profiled mud crab actors in Kwale County, examined the functions they perform at each market node, and assessed the constraints and opportunities each actor category reported. A cross-sectional survey of 96 respondents — 65 fishers, 22 middlemen, five hoteliers and four exporters — was carried out between May 2022 and December 2023 using structured questionnaires, field observations and key-informant interviews. Analysis in IBM SPSS Statistics used valid percentages within actor category and Beach Management Unit, descriptive statistics for income and prices, Monte Carlo chi-square tests based on 10,000 resamples for associations with BMU among fishers and middlemen, and Kruskal–Wallis tests for reported prices, at the 5% significance level. Every table reports all four actor categories.</w:t>
      </w:r>
      <w:r/>
    </w:p>
    <w:p w14:paraId="79F10B06" w14:textId="77777777" w:rsidR="00221112" w:rsidRPr="00DE5E47" w:rsidRDefault="00C14051">
      <w:pPr>
        <w:spacing w:after="0" w:line="276" w:lineRule="auto"/>
        <w:jc w:val="both"/>
        <w:rPr>
          <w:rFonts w:eastAsia="Calibri" w:cs="Times New Roman"/>
          <w:sz w:val="24"/>
          <w:szCs w:val="24"/>
        </w:rPr>
      </w:pPr>
      <w:r>
        <w:t xml:space="preserve">The four actor categories differed systematically. Ninety-five of the 96 respondents were men. No fisher or middleman had schooling beyond secondary level while every hotelier and exporter held a certificate, diploma or degree, and no respondent in any category belonged to a cooperative, an association or a self-help group. Operating licences were held by 12.5% of fishers against every hotelier and exporter, 93.8% of fishers named a middleman as their main source of credit, and mean monthly mud crab income rose from KSh 8,969 among fishers to KSh 90,000 among exporters. Of 68 tests against BMU, nine reached the .05 level; fisher age group was the clearest, χ²(12, N = 63) = 30.91, p = .004.</w:t>
      </w:r>
      <w:r/>
    </w:p>
    <w:p w14:paraId="79F10B06" w14:textId="77777777" w:rsidR="00221112" w:rsidRPr="00DE5E47" w:rsidRDefault="00C14051">
      <w:pPr>
        <w:spacing w:after="0" w:line="276" w:lineRule="auto"/>
        <w:jc w:val="both"/>
        <w:rPr>
          <w:rFonts w:eastAsia="Calibri" w:cs="Times New Roman"/>
          <w:sz w:val="24"/>
          <w:szCs w:val="24"/>
        </w:rPr>
      </w:pPr>
      <w:r>
        <w:t xml:space="preserve">Functions divided cleanly by node and so did the information attached to them. All 65 fishers graded on weight alone while 95.5% of middlemen and every hotelier and exporter used size, weight, shell condition and claw size; formal quality control and contact with the final buyer sat entirely downstream. Mean large-crab prices were KSh 604.6/kg for fishers, KSh 945.5/kg for middlemen, KSh 1,700.0/kg for exporters and KSh 2,200.0/kg for hoteliers, H(3) = 55.84, p &lt; .001. Expressed as shares of the end-of-chain price, the fisher retained 27.5% to 39.6%, the middleman added 15.5% to 20.0%, and 44.4% to 57.0% was added at the final buyer. Fisher prices differed across sites, H(3) = 20.32, p &lt; .001, while middleman prices did not, H(2) = 5.33, p = .070, so the first-sale gap was set locally: Majoreni fishers held 91.7% of the local middleman price against close to 54% at Shimoni and Vanga. Since no cost data were collected these are gross price spreads, not net margins.</w:t>
      </w:r>
      <w:r/>
    </w:p>
    <w:p w14:paraId="79F10B06" w14:textId="77777777" w:rsidR="00221112" w:rsidRPr="00DE5E47" w:rsidRDefault="00C14051">
      <w:pPr>
        <w:spacing w:after="0" w:line="276" w:lineRule="auto"/>
        <w:jc w:val="both"/>
        <w:rPr>
          <w:rFonts w:eastAsia="Calibri" w:cs="Times New Roman"/>
          <w:sz w:val="24"/>
          <w:szCs w:val="24"/>
        </w:rPr>
      </w:pPr>
      <w:r>
        <w:t xml:space="preserve">Constraints followed function: price fluctuation and poor roads for fishers, mortality and missing aggregation facilities for middlemen, seasonality for hoteliers, freight cost and flight risk for exporters. Barriers to market access were reported by 95.8% of respondents, no actor had adopted new equipment or conducted market research, and management-plan awareness reached 95.5% of middlemen but only 15.4% of fishers. The market is commercially active but institutionally uneven, with grading knowledge, logistics and access to high-value buyers concentrated downstream. A shared grading standard, a public BMU price register, better live-crab handling and aggregation facilities, transparent credit terms and practical licensing support are recommended.</w:t>
      </w:r>
      <w:r/>
    </w:p>
    <w:p w14:paraId="2F40E5D5"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pPr>
        <w:tabs>
          <w:tab w:val="right" w:leader="dot" w:pos="8827"/>
        </w:tabs>
        <w:spacing w:line="276" w:lineRule="auto" w:after="40"/>
      </w:pPr>
      <w:r>
        <w:rPr>
          <w:rFonts w:ascii="Times New Roman" w:hAnsi="Times New Roman" w:cs="Times New Roman"/>
          <w:b/>
          <w:sz w:val="24"/>
          <w:szCs w:val="24"/>
          <w:color w:val="000000"/>
        </w:rPr>
        <w:t xml:space="preserve">LIST OF TABLES</w:t>
      </w:r>
      <w:r>
        <w:tab/>
      </w:r>
      <w:r>
        <w:fldChar w:fldCharType="begin"/>
      </w:r>
      <w:r>
        <w:instrText xml:space="preserve"> PAGEREF _Toc_1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FIGURES</w:t>
      </w:r>
      <w:r>
        <w:tab/>
      </w:r>
      <w:r>
        <w:fldChar w:fldCharType="begin"/>
      </w:r>
      <w:r>
        <w:instrText xml:space="preserve"> PAGEREF _Toc_2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ABBREVIATIONS</w:t>
      </w:r>
      <w:r>
        <w:tab/>
      </w:r>
      <w:r>
        <w:fldChar w:fldCharType="begin"/>
      </w:r>
      <w:r>
        <w:instrText xml:space="preserve"> PAGEREF _Toc_3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ONE: INTRODUCTION</w:t>
      </w:r>
      <w:r>
        <w:tab/>
      </w:r>
      <w:r>
        <w:fldChar w:fldCharType="begin"/>
      </w:r>
      <w:r>
        <w:instrText xml:space="preserve"> PAGEREF _Toc_4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1.1 Background information</w:t>
      </w:r>
      <w:r>
        <w:tab/>
      </w:r>
      <w:r>
        <w:fldChar w:fldCharType="begin"/>
      </w:r>
      <w:r>
        <w:instrText xml:space="preserve"> PAGEREF _Toc_5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1.2 Statement of the problem</w:t>
      </w:r>
      <w:r>
        <w:tab/>
      </w:r>
      <w:r>
        <w:fldChar w:fldCharType="begin"/>
      </w:r>
      <w:r>
        <w:instrText xml:space="preserve"> PAGEREF _Toc_6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1.3 Objectives of the Study</w:t>
      </w:r>
      <w:r>
        <w:tab/>
      </w:r>
      <w:r>
        <w:fldChar w:fldCharType="begin"/>
      </w:r>
      <w:r>
        <w:instrText xml:space="preserve"> PAGEREF _Toc_7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1.3.1 General Objective</w:t>
      </w:r>
      <w:r>
        <w:tab/>
      </w:r>
      <w:r>
        <w:fldChar w:fldCharType="begin"/>
      </w:r>
      <w:r>
        <w:instrText xml:space="preserve"> PAGEREF _Toc_8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1.3.2 Specific objectives</w:t>
      </w:r>
      <w:r>
        <w:tab/>
      </w:r>
      <w:r>
        <w:fldChar w:fldCharType="begin"/>
      </w:r>
      <w:r>
        <w:instrText xml:space="preserve"> PAGEREF _Toc_9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1.4 Research Questions</w:t>
      </w:r>
      <w:r>
        <w:tab/>
      </w:r>
      <w:r>
        <w:fldChar w:fldCharType="begin"/>
      </w:r>
      <w:r>
        <w:instrText xml:space="preserve"> PAGEREF _Toc_10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1.5 Significance of the study</w:t>
      </w:r>
      <w:r>
        <w:tab/>
      </w:r>
      <w:r>
        <w:fldChar w:fldCharType="begin"/>
      </w:r>
      <w:r>
        <w:instrText xml:space="preserve"> PAGEREF _Toc_11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TWO: LITERATURE REVIEW</w:t>
      </w:r>
      <w:r>
        <w:tab/>
      </w:r>
      <w:r>
        <w:fldChar w:fldCharType="begin"/>
      </w:r>
      <w:r>
        <w:instrText xml:space="preserve"> PAGEREF _Toc_12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 Species biology and Ecological importance</w:t>
      </w:r>
      <w:r>
        <w:tab/>
      </w:r>
      <w:r>
        <w:fldChar w:fldCharType="begin"/>
      </w:r>
      <w:r>
        <w:instrText xml:space="preserve"> PAGEREF _Toc_13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2.2 Mud crab harvesting strategies</w:t>
      </w:r>
      <w:r>
        <w:tab/>
      </w:r>
      <w:r>
        <w:fldChar w:fldCharType="begin"/>
      </w:r>
      <w:r>
        <w:instrText xml:space="preserve"> PAGEREF _Toc_14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2.3 Overview of mud crab fisheries and market structure</w:t>
      </w:r>
      <w:r>
        <w:tab/>
      </w:r>
      <w:r>
        <w:fldChar w:fldCharType="begin"/>
      </w:r>
      <w:r>
        <w:instrText xml:space="preserve"> PAGEREF _Toc_15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2.4 Mud crab fishery actors and their characteristics</w:t>
      </w:r>
      <w:r>
        <w:tab/>
      </w:r>
      <w:r>
        <w:fldChar w:fldCharType="begin"/>
      </w:r>
      <w:r>
        <w:instrText xml:space="preserve"> PAGEREF _Toc_16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2.5 Functions of actors at different market levels</w:t>
      </w:r>
      <w:r>
        <w:tab/>
      </w:r>
      <w:r>
        <w:fldChar w:fldCharType="begin"/>
      </w:r>
      <w:r>
        <w:instrText xml:space="preserve"> PAGEREF _Toc_17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2.6 Business dynamics of the mud crab fishery</w:t>
      </w:r>
      <w:r>
        <w:tab/>
      </w:r>
      <w:r>
        <w:fldChar w:fldCharType="begin"/>
      </w:r>
      <w:r>
        <w:instrText xml:space="preserve"> PAGEREF _Toc_18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2.6.1 Overview of mud crab business dynamics</w:t>
      </w:r>
      <w:r>
        <w:tab/>
      </w:r>
      <w:r>
        <w:fldChar w:fldCharType="begin"/>
      </w:r>
      <w:r>
        <w:instrText xml:space="preserve"> PAGEREF _Toc_19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2.6.2 Grading of mud crabs</w:t>
      </w:r>
      <w:r>
        <w:tab/>
      </w:r>
      <w:r>
        <w:fldChar w:fldCharType="begin"/>
      </w:r>
      <w:r>
        <w:instrText xml:space="preserve"> PAGEREF _Toc_20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2.6.3 Pricing of mud crabs</w:t>
      </w:r>
      <w:r>
        <w:tab/>
      </w:r>
      <w:r>
        <w:fldChar w:fldCharType="begin"/>
      </w:r>
      <w:r>
        <w:instrText xml:space="preserve"> PAGEREF _Toc_21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2.6.4 Transport of mud crabs</w:t>
      </w:r>
      <w:r>
        <w:tab/>
      </w:r>
      <w:r>
        <w:fldChar w:fldCharType="begin"/>
      </w:r>
      <w:r>
        <w:instrText xml:space="preserve"> PAGEREF _Toc_22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2.6.5 Packaging of mud crabs</w:t>
      </w:r>
      <w:r>
        <w:tab/>
      </w:r>
      <w:r>
        <w:fldChar w:fldCharType="begin"/>
      </w:r>
      <w:r>
        <w:instrText xml:space="preserve"> PAGEREF _Toc_23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2.6.6 Modes of payment in the mud crab trade</w:t>
      </w:r>
      <w:r>
        <w:tab/>
      </w:r>
      <w:r>
        <w:fldChar w:fldCharType="begin"/>
      </w:r>
      <w:r>
        <w:instrText xml:space="preserve"> PAGEREF _Toc_24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2.7 Constraints faced by mud crab fishery actors</w:t>
      </w:r>
      <w:r>
        <w:tab/>
      </w:r>
      <w:r>
        <w:fldChar w:fldCharType="begin"/>
      </w:r>
      <w:r>
        <w:instrText xml:space="preserve"> PAGEREF _Toc_25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2.8 Opportunities in the mud crab fishery</w:t>
      </w:r>
      <w:r>
        <w:tab/>
      </w:r>
      <w:r>
        <w:fldChar w:fldCharType="begin"/>
      </w:r>
      <w:r>
        <w:instrText xml:space="preserve"> PAGEREF _Toc_26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2.9 Legal and policy frameworks governing mud crab fishery in Kenya</w:t>
      </w:r>
      <w:r>
        <w:tab/>
      </w:r>
      <w:r>
        <w:fldChar w:fldCharType="begin"/>
      </w:r>
      <w:r>
        <w:instrText xml:space="preserve"> PAGEREF _Toc_27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2.10 Critical Assessment of the Literature</w:t>
      </w:r>
      <w:r>
        <w:tab/>
      </w:r>
      <w:r>
        <w:fldChar w:fldCharType="begin"/>
      </w:r>
      <w:r>
        <w:instrText xml:space="preserve"> PAGEREF _Toc_28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2.10.1 Where the literature agrees</w:t>
      </w:r>
      <w:r>
        <w:tab/>
      </w:r>
      <w:r>
        <w:fldChar w:fldCharType="begin"/>
      </w:r>
      <w:r>
        <w:instrText xml:space="preserve"> PAGEREF _Toc_29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2.10.2 Where the literature conflicts: the role of the middleman</w:t>
      </w:r>
      <w:r>
        <w:tab/>
      </w:r>
      <w:r>
        <w:fldChar w:fldCharType="begin"/>
      </w:r>
      <w:r>
        <w:instrText xml:space="preserve"> PAGEREF _Toc_30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2.10.3 Where the literature conflicts: what grading does</w:t>
      </w:r>
      <w:r>
        <w:tab/>
      </w:r>
      <w:r>
        <w:fldChar w:fldCharType="begin"/>
      </w:r>
      <w:r>
        <w:instrText xml:space="preserve"> PAGEREF _Toc_31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2.10.4 Methodological limitations of previous studies</w:t>
      </w:r>
      <w:r>
        <w:tab/>
      </w:r>
      <w:r>
        <w:fldChar w:fldCharType="begin"/>
      </w:r>
      <w:r>
        <w:instrText xml:space="preserve"> PAGEREF _Toc_32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2.10.5 The South Coast and Kwale County: what is and is not known</w:t>
      </w:r>
      <w:r>
        <w:tab/>
      </w:r>
      <w:r>
        <w:fldChar w:fldCharType="begin"/>
      </w:r>
      <w:r>
        <w:instrText xml:space="preserve"> PAGEREF _Toc_33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2.10.6 The research gap</w:t>
      </w:r>
      <w:r>
        <w:tab/>
      </w:r>
      <w:r>
        <w:fldChar w:fldCharType="begin"/>
      </w:r>
      <w:r>
        <w:instrText xml:space="preserve"> PAGEREF _Toc_34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2.11 Theoretical Framework</w:t>
      </w:r>
      <w:r>
        <w:tab/>
      </w:r>
      <w:r>
        <w:fldChar w:fldCharType="begin"/>
      </w:r>
      <w:r>
        <w:instrText xml:space="preserve"> PAGEREF _Toc_35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2.12 Conceptual Framework</w:t>
      </w:r>
      <w:r>
        <w:tab/>
      </w:r>
      <w:r>
        <w:fldChar w:fldCharType="begin"/>
      </w:r>
      <w:r>
        <w:instrText xml:space="preserve"> PAGEREF _Toc_36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THREE: MATERIALS AND METHODS</w:t>
      </w:r>
      <w:r>
        <w:tab/>
      </w:r>
      <w:r>
        <w:fldChar w:fldCharType="begin"/>
      </w:r>
      <w:r>
        <w:instrText xml:space="preserve"> PAGEREF _Toc_37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 Introduction</w:t>
      </w:r>
      <w:r>
        <w:tab/>
      </w:r>
      <w:r>
        <w:fldChar w:fldCharType="begin"/>
      </w:r>
      <w:r>
        <w:instrText xml:space="preserve"> PAGEREF _Toc_38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3.2 Study site</w:t>
      </w:r>
      <w:r>
        <w:tab/>
      </w:r>
      <w:r>
        <w:fldChar w:fldCharType="begin"/>
      </w:r>
      <w:r>
        <w:instrText xml:space="preserve"> PAGEREF _Toc_39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3.3 Research design</w:t>
      </w:r>
      <w:r>
        <w:tab/>
      </w:r>
      <w:r>
        <w:fldChar w:fldCharType="begin"/>
      </w:r>
      <w:r>
        <w:instrText xml:space="preserve"> PAGEREF _Toc_40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3.4 Target population</w:t>
      </w:r>
      <w:r>
        <w:tab/>
      </w:r>
      <w:r>
        <w:fldChar w:fldCharType="begin"/>
      </w:r>
      <w:r>
        <w:instrText xml:space="preserve"> PAGEREF _Toc_41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3.5 Sample size and sampling procedures</w:t>
      </w:r>
      <w:r>
        <w:tab/>
      </w:r>
      <w:r>
        <w:fldChar w:fldCharType="begin"/>
      </w:r>
      <w:r>
        <w:instrText xml:space="preserve"> PAGEREF _Toc_42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3.6 Non-Response and Sampling Limitations</w:t>
      </w:r>
      <w:r>
        <w:tab/>
      </w:r>
      <w:r>
        <w:fldChar w:fldCharType="begin"/>
      </w:r>
      <w:r>
        <w:instrText xml:space="preserve"> PAGEREF _Toc_43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3.7 Pilot study</w:t>
      </w:r>
      <w:r>
        <w:tab/>
      </w:r>
      <w:r>
        <w:fldChar w:fldCharType="begin"/>
      </w:r>
      <w:r>
        <w:instrText xml:space="preserve"> PAGEREF _Toc_44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3.8 Data collection</w:t>
      </w:r>
      <w:r>
        <w:tab/>
      </w:r>
      <w:r>
        <w:fldChar w:fldCharType="begin"/>
      </w:r>
      <w:r>
        <w:instrText xml:space="preserve"> PAGEREF _Toc_45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3.9 Alignment of objectives and analysis</w:t>
      </w:r>
      <w:r>
        <w:tab/>
      </w:r>
      <w:r>
        <w:fldChar w:fldCharType="begin"/>
      </w:r>
      <w:r>
        <w:instrText xml:space="preserve"> PAGEREF _Toc_46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3.10 Data analysis</w:t>
      </w:r>
      <w:r>
        <w:tab/>
      </w:r>
      <w:r>
        <w:fldChar w:fldCharType="begin"/>
      </w:r>
      <w:r>
        <w:instrText xml:space="preserve"> PAGEREF _Toc_47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3.10.1 Data entry and processing</w:t>
      </w:r>
      <w:r>
        <w:tab/>
      </w:r>
      <w:r>
        <w:fldChar w:fldCharType="begin"/>
      </w:r>
      <w:r>
        <w:instrText xml:space="preserve"> PAGEREF _Toc_48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3.10.2 Chi-square tests of association</w:t>
      </w:r>
      <w:r>
        <w:tab/>
      </w:r>
      <w:r>
        <w:fldChar w:fldCharType="begin"/>
      </w:r>
      <w:r>
        <w:instrText xml:space="preserve"> PAGEREF _Toc_49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3.10.3 Kruskal–Wallis tests of reported prices</w:t>
      </w:r>
      <w:r>
        <w:tab/>
      </w:r>
      <w:r>
        <w:fldChar w:fldCharType="begin"/>
      </w:r>
      <w:r>
        <w:instrText xml:space="preserve"> PAGEREF _Toc_50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3.11 Ethical considerations</w:t>
      </w:r>
      <w:r>
        <w:tab/>
      </w:r>
      <w:r>
        <w:fldChar w:fldCharType="begin"/>
      </w:r>
      <w:r>
        <w:instrText xml:space="preserve"> PAGEREF _Toc_51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w:t>
      </w:r>
      <w:r>
        <w:tab/>
      </w:r>
      <w:r>
        <w:fldChar w:fldCharType="begin"/>
      </w:r>
      <w:r>
        <w:instrText xml:space="preserve"> PAGEREF _Toc_52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4.1 Introduction</w:t>
      </w:r>
      <w:r>
        <w:tab/>
      </w:r>
      <w:r>
        <w:fldChar w:fldCharType="begin"/>
      </w:r>
      <w:r>
        <w:instrText xml:space="preserve"> PAGEREF _Toc_53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4.2 Distribution of Respondents</w:t>
      </w:r>
      <w:r>
        <w:tab/>
      </w:r>
      <w:r>
        <w:fldChar w:fldCharType="begin"/>
      </w:r>
      <w:r>
        <w:instrText xml:space="preserve"> PAGEREF _Toc_54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4.3 Objective One: Profile of Mud Crab Actors and Their Characteristics</w:t>
      </w:r>
      <w:r>
        <w:tab/>
      </w:r>
      <w:r>
        <w:fldChar w:fldCharType="begin"/>
      </w:r>
      <w:r>
        <w:instrText xml:space="preserve"> PAGEREF _Toc_55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4.3.1 Demographic and Personal Characteristics</w:t>
      </w:r>
      <w:r>
        <w:tab/>
      </w:r>
      <w:r>
        <w:fldChar w:fldCharType="begin"/>
      </w:r>
      <w:r>
        <w:instrText xml:space="preserve"> PAGEREF _Toc_56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4.3.2 Business and Operational Characteristics</w:t>
      </w:r>
      <w:r>
        <w:tab/>
      </w:r>
      <w:r>
        <w:fldChar w:fldCharType="begin"/>
      </w:r>
      <w:r>
        <w:instrText xml:space="preserve"> PAGEREF _Toc_57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4.3.3 Knowledge, Training and Group Membership</w:t>
      </w:r>
      <w:r>
        <w:tab/>
      </w:r>
      <w:r>
        <w:fldChar w:fldCharType="begin"/>
      </w:r>
      <w:r>
        <w:instrText xml:space="preserve"> PAGEREF _Toc_58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4.3.4 Summary of Objective One</w:t>
      </w:r>
      <w:r>
        <w:tab/>
      </w:r>
      <w:r>
        <w:fldChar w:fldCharType="begin"/>
      </w:r>
      <w:r>
        <w:instrText xml:space="preserve"> PAGEREF _Toc_59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4.3.5 Discussion of Findings in Relation to Previous Studies</w:t>
      </w:r>
      <w:r>
        <w:tab/>
      </w:r>
      <w:r>
        <w:fldChar w:fldCharType="begin"/>
      </w:r>
      <w:r>
        <w:instrText xml:space="preserve"> PAGEREF _Toc_60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4.4 Objective Two: Functions Performed by Actors at Each Market Node</w:t>
      </w:r>
      <w:r>
        <w:tab/>
      </w:r>
      <w:r>
        <w:fldChar w:fldCharType="begin"/>
      </w:r>
      <w:r>
        <w:instrText xml:space="preserve"> PAGEREF _Toc_61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 Acquisition of Crabs and Disposal of the Catch</w:t>
      </w:r>
      <w:r>
        <w:tab/>
      </w:r>
      <w:r>
        <w:fldChar w:fldCharType="begin"/>
      </w:r>
      <w:r>
        <w:instrText xml:space="preserve"> PAGEREF _Toc_62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4.4.2 Buyers and Market Channels</w:t>
      </w:r>
      <w:r>
        <w:tab/>
      </w:r>
      <w:r>
        <w:fldChar w:fldCharType="begin"/>
      </w:r>
      <w:r>
        <w:instrText xml:space="preserve"> PAGEREF _Toc_63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4.4.3 Preparation, Packaging and Transport</w:t>
      </w:r>
      <w:r>
        <w:tab/>
      </w:r>
      <w:r>
        <w:fldChar w:fldCharType="begin"/>
      </w:r>
      <w:r>
        <w:instrText xml:space="preserve"> PAGEREF _Toc_64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4.4.4 Grading and Quality Control</w:t>
      </w:r>
      <w:r>
        <w:tab/>
      </w:r>
      <w:r>
        <w:fldChar w:fldCharType="begin"/>
      </w:r>
      <w:r>
        <w:instrText xml:space="preserve"> PAGEREF _Toc_65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4.4.5 Reported Losses</w:t>
      </w:r>
      <w:r>
        <w:tab/>
      </w:r>
      <w:r>
        <w:fldChar w:fldCharType="begin"/>
      </w:r>
      <w:r>
        <w:instrText xml:space="preserve"> PAGEREF _Toc_66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4.4.6 Payment, Price Setting and Sale Location</w:t>
      </w:r>
      <w:r>
        <w:tab/>
      </w:r>
      <w:r>
        <w:fldChar w:fldCharType="begin"/>
      </w:r>
      <w:r>
        <w:instrText xml:space="preserve"> PAGEREF _Toc_67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4.4.7 Trading Relationships and Market Information</w:t>
      </w:r>
      <w:r>
        <w:tab/>
      </w:r>
      <w:r>
        <w:fldChar w:fldCharType="begin"/>
      </w:r>
      <w:r>
        <w:instrText xml:space="preserve"> PAGEREF _Toc_68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4.4.8 Reported Mud Crab Prices</w:t>
      </w:r>
      <w:r>
        <w:tab/>
      </w:r>
      <w:r>
        <w:fldChar w:fldCharType="begin"/>
      </w:r>
      <w:r>
        <w:instrText xml:space="preserve"> PAGEREF _Toc_69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4.4.9 Marketing Margins and the Distribution of Value</w:t>
      </w:r>
      <w:r>
        <w:tab/>
      </w:r>
      <w:r>
        <w:fldChar w:fldCharType="begin"/>
      </w:r>
      <w:r>
        <w:instrText xml:space="preserve"> PAGEREF _Toc_70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4.4.10 Prices by Study Site</w:t>
      </w:r>
      <w:r>
        <w:tab/>
      </w:r>
      <w:r>
        <w:fldChar w:fldCharType="begin"/>
      </w:r>
      <w:r>
        <w:instrText xml:space="preserve"> PAGEREF _Toc_71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4.4.11 Summary of Objective Two</w:t>
      </w:r>
      <w:r>
        <w:tab/>
      </w:r>
      <w:r>
        <w:fldChar w:fldCharType="begin"/>
      </w:r>
      <w:r>
        <w:instrText xml:space="preserve"> PAGEREF _Toc_72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4.4.12 Discussion of Findings in Relation to Previous Studies</w:t>
      </w:r>
      <w:r>
        <w:tab/>
      </w:r>
      <w:r>
        <w:fldChar w:fldCharType="begin"/>
      </w:r>
      <w:r>
        <w:instrText xml:space="preserve"> PAGEREF _Toc_73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4.5 Objective Three: Constraints and Opportunities Facing Each Actor Category</w:t>
      </w:r>
      <w:r>
        <w:tab/>
      </w:r>
      <w:r>
        <w:fldChar w:fldCharType="begin"/>
      </w:r>
      <w:r>
        <w:instrText xml:space="preserve"> PAGEREF _Toc_74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4.5.1 Operational and Infrastructure Constraints</w:t>
      </w:r>
      <w:r>
        <w:tab/>
      </w:r>
      <w:r>
        <w:fldChar w:fldCharType="begin"/>
      </w:r>
      <w:r>
        <w:instrText xml:space="preserve"> PAGEREF _Toc_75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4.5.2 Market Access, Operational Challenges and Risk</w:t>
      </w:r>
      <w:r>
        <w:tab/>
      </w:r>
      <w:r>
        <w:fldChar w:fldCharType="begin"/>
      </w:r>
      <w:r>
        <w:instrText xml:space="preserve"> PAGEREF _Toc_76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4.5.3 Regulation and Access to Information</w:t>
      </w:r>
      <w:r>
        <w:tab/>
      </w:r>
      <w:r>
        <w:fldChar w:fldCharType="begin"/>
      </w:r>
      <w:r>
        <w:instrText xml:space="preserve"> PAGEREF _Toc_77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4.5.4 Perceptions of Market Organisation and Policy</w:t>
      </w:r>
      <w:r>
        <w:tab/>
      </w:r>
      <w:r>
        <w:fldChar w:fldCharType="begin"/>
      </w:r>
      <w:r>
        <w:instrText xml:space="preserve"> PAGEREF _Toc_78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4.5.5 Opportunities, Youth Participation and Diversification</w:t>
      </w:r>
      <w:r>
        <w:tab/>
      </w:r>
      <w:r>
        <w:fldChar w:fldCharType="begin"/>
      </w:r>
      <w:r>
        <w:instrText xml:space="preserve"> PAGEREF _Toc_79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4.5.6 Summary of Objective Three</w:t>
      </w:r>
      <w:r>
        <w:tab/>
      </w:r>
      <w:r>
        <w:fldChar w:fldCharType="begin"/>
      </w:r>
      <w:r>
        <w:instrText xml:space="preserve"> PAGEREF _Toc_80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4.5.7 Discussion of Findings in Relation to Previous Studies</w:t>
      </w:r>
      <w:r>
        <w:tab/>
      </w:r>
      <w:r>
        <w:fldChar w:fldCharType="begin"/>
      </w:r>
      <w:r>
        <w:instrText xml:space="preserve"> PAGEREF _Toc_81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4.6 Actor-Specific Associations With BMU</w:t>
      </w:r>
      <w:r>
        <w:tab/>
      </w:r>
      <w:r>
        <w:fldChar w:fldCharType="begin"/>
      </w:r>
      <w:r>
        <w:instrText xml:space="preserve"> PAGEREF _Toc_82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4.7 Chapter Summary</w:t>
      </w:r>
      <w:r>
        <w:tab/>
      </w:r>
      <w:r>
        <w:fldChar w:fldCharType="begin"/>
      </w:r>
      <w:r>
        <w:instrText xml:space="preserve"> PAGEREF _Toc_83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w:t>
      </w:r>
      <w:r>
        <w:tab/>
      </w:r>
      <w:r>
        <w:fldChar w:fldCharType="begin"/>
      </w:r>
      <w:r>
        <w:instrText xml:space="preserve"> PAGEREF _Toc_84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5.1 Introduction</w:t>
      </w:r>
      <w:r>
        <w:tab/>
      </w:r>
      <w:r>
        <w:fldChar w:fldCharType="begin"/>
      </w:r>
      <w:r>
        <w:instrText xml:space="preserve"> PAGEREF _Toc_85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5.2 Objective One: Profile of Mud Crab Actors</w:t>
      </w:r>
      <w:r>
        <w:tab/>
      </w:r>
      <w:r>
        <w:fldChar w:fldCharType="begin"/>
      </w:r>
      <w:r>
        <w:instrText xml:space="preserve"> PAGEREF _Toc_86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5.2.1 Key Findings</w:t>
      </w:r>
      <w:r>
        <w:tab/>
      </w:r>
      <w:r>
        <w:fldChar w:fldCharType="begin"/>
      </w:r>
      <w:r>
        <w:instrText xml:space="preserve"> PAGEREF _Toc_87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5.2.2 Gender and the Limits of the Sampling Frame</w:t>
      </w:r>
      <w:r>
        <w:tab/>
      </w:r>
      <w:r>
        <w:fldChar w:fldCharType="begin"/>
      </w:r>
      <w:r>
        <w:instrText xml:space="preserve"> PAGEREF _Toc_88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5.2.3 Experience, Licensing and the Absence of Collective Organisation</w:t>
      </w:r>
      <w:r>
        <w:tab/>
      </w:r>
      <w:r>
        <w:fldChar w:fldCharType="begin"/>
      </w:r>
      <w:r>
        <w:instrText xml:space="preserve"> PAGEREF _Toc_89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5.2.4 Credit and Dependence Within the Chain</w:t>
      </w:r>
      <w:r>
        <w:tab/>
      </w:r>
      <w:r>
        <w:fldChar w:fldCharType="begin"/>
      </w:r>
      <w:r>
        <w:instrText xml:space="preserve"> PAGEREF _Toc_90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5.2.5 Implications</w:t>
      </w:r>
      <w:r>
        <w:tab/>
      </w:r>
      <w:r>
        <w:fldChar w:fldCharType="begin"/>
      </w:r>
      <w:r>
        <w:instrText xml:space="preserve"> PAGEREF _Toc_91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5.3 Objective Two: Functions at Each Market Node and the Distribution of Value</w:t>
      </w:r>
      <w:r>
        <w:tab/>
      </w:r>
      <w:r>
        <w:fldChar w:fldCharType="begin"/>
      </w:r>
      <w:r>
        <w:instrText xml:space="preserve"> PAGEREF _Toc_92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5.3.1 Key Findings</w:t>
      </w:r>
      <w:r>
        <w:tab/>
      </w:r>
      <w:r>
        <w:fldChar w:fldCharType="begin"/>
      </w:r>
      <w:r>
        <w:instrText xml:space="preserve"> PAGEREF _Toc_93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5.3.2 Grading as a Mechanism of Value Capture</w:t>
      </w:r>
      <w:r>
        <w:tab/>
      </w:r>
      <w:r>
        <w:fldChar w:fldCharType="begin"/>
      </w:r>
      <w:r>
        <w:instrText xml:space="preserve"> PAGEREF _Toc_94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5.3.3 Handling, Packaging and Loss</w:t>
      </w:r>
      <w:r>
        <w:tab/>
      </w:r>
      <w:r>
        <w:fldChar w:fldCharType="begin"/>
      </w:r>
      <w:r>
        <w:instrText xml:space="preserve"> PAGEREF _Toc_95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5.3.4 Price Formation and the Distribution of Value</w:t>
      </w:r>
      <w:r>
        <w:tab/>
      </w:r>
      <w:r>
        <w:fldChar w:fldCharType="begin"/>
      </w:r>
      <w:r>
        <w:instrText xml:space="preserve"> PAGEREF _Toc_96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5.3.5 Site Differences and What Drives Them</w:t>
      </w:r>
      <w:r>
        <w:tab/>
      </w:r>
      <w:r>
        <w:fldChar w:fldCharType="begin"/>
      </w:r>
      <w:r>
        <w:instrText xml:space="preserve"> PAGEREF _Toc_97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5.3.6 The Hotelier Medium-Grade Anomaly</w:t>
      </w:r>
      <w:r>
        <w:tab/>
      </w:r>
      <w:r>
        <w:fldChar w:fldCharType="begin"/>
      </w:r>
      <w:r>
        <w:instrText xml:space="preserve"> PAGEREF _Toc_98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5.3.7 Implications</w:t>
      </w:r>
      <w:r>
        <w:tab/>
      </w:r>
      <w:r>
        <w:fldChar w:fldCharType="begin"/>
      </w:r>
      <w:r>
        <w:instrText xml:space="preserve"> PAGEREF _Toc_99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5.4 Objective Three: Constraints and Opportunities</w:t>
      </w:r>
      <w:r>
        <w:tab/>
      </w:r>
      <w:r>
        <w:fldChar w:fldCharType="begin"/>
      </w:r>
      <w:r>
        <w:instrText xml:space="preserve"> PAGEREF _Toc_100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5.4.1 Key Findings</w:t>
      </w:r>
      <w:r>
        <w:tab/>
      </w:r>
      <w:r>
        <w:fldChar w:fldCharType="begin"/>
      </w:r>
      <w:r>
        <w:instrText xml:space="preserve"> PAGEREF _Toc_101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5.4.2 Constraints Follow Function</w:t>
      </w:r>
      <w:r>
        <w:tab/>
      </w:r>
      <w:r>
        <w:fldChar w:fldCharType="begin"/>
      </w:r>
      <w:r>
        <w:instrText xml:space="preserve"> PAGEREF _Toc_102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5.4.3 Governance and the Direction Information Travels</w:t>
      </w:r>
      <w:r>
        <w:tab/>
      </w:r>
      <w:r>
        <w:fldChar w:fldCharType="begin"/>
      </w:r>
      <w:r>
        <w:instrText xml:space="preserve"> PAGEREF _Toc_103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5.4.4 Opposing Priorities Within One Transaction</w:t>
      </w:r>
      <w:r>
        <w:tab/>
      </w:r>
      <w:r>
        <w:fldChar w:fldCharType="begin"/>
      </w:r>
      <w:r>
        <w:instrText xml:space="preserve"> PAGEREF _Toc_104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5.4.5 Implications</w:t>
      </w:r>
      <w:r>
        <w:tab/>
      </w:r>
      <w:r>
        <w:fldChar w:fldCharType="begin"/>
      </w:r>
      <w:r>
        <w:instrText xml:space="preserve"> PAGEREF _Toc_105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5.5 Synthesis Using the Structure-Conduct-Performance Framework</w:t>
      </w:r>
      <w:r>
        <w:tab/>
      </w:r>
      <w:r>
        <w:fldChar w:fldCharType="begin"/>
      </w:r>
      <w:r>
        <w:instrText xml:space="preserve"> PAGEREF _Toc_106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5.6 What This Study Could Not Measure</w:t>
      </w:r>
      <w:r>
        <w:tab/>
      </w:r>
      <w:r>
        <w:fldChar w:fldCharType="begin"/>
      </w:r>
      <w:r>
        <w:instrText xml:space="preserve"> PAGEREF _Toc_107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5.7 Study Limitations</w:t>
      </w:r>
      <w:r>
        <w:tab/>
      </w:r>
      <w:r>
        <w:fldChar w:fldCharType="begin"/>
      </w:r>
      <w:r>
        <w:instrText xml:space="preserve"> PAGEREF _Toc_108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w:t>
      </w:r>
      <w:r>
        <w:tab/>
      </w:r>
      <w:r>
        <w:fldChar w:fldCharType="begin"/>
      </w:r>
      <w:r>
        <w:instrText xml:space="preserve"> PAGEREF _Toc_109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6.1 Introduction</w:t>
      </w:r>
      <w:r>
        <w:tab/>
      </w:r>
      <w:r>
        <w:fldChar w:fldCharType="begin"/>
      </w:r>
      <w:r>
        <w:instrText xml:space="preserve"> PAGEREF _Toc_110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6.2 Conclusions</w:t>
      </w:r>
      <w:r>
        <w:tab/>
      </w:r>
      <w:r>
        <w:fldChar w:fldCharType="begin"/>
      </w:r>
      <w:r>
        <w:instrText xml:space="preserve"> PAGEREF _Toc_111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6.2.1 Conclusion for Objective One</w:t>
      </w:r>
      <w:r>
        <w:tab/>
      </w:r>
      <w:r>
        <w:fldChar w:fldCharType="begin"/>
      </w:r>
      <w:r>
        <w:instrText xml:space="preserve"> PAGEREF _Toc_112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6.2.2 Conclusion for Objective Two</w:t>
      </w:r>
      <w:r>
        <w:tab/>
      </w:r>
      <w:r>
        <w:fldChar w:fldCharType="begin"/>
      </w:r>
      <w:r>
        <w:instrText xml:space="preserve"> PAGEREF _Toc_113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6.2.3 Conclusion for Objective Three</w:t>
      </w:r>
      <w:r>
        <w:tab/>
      </w:r>
      <w:r>
        <w:fldChar w:fldCharType="begin"/>
      </w:r>
      <w:r>
        <w:instrText xml:space="preserve"> PAGEREF _Toc_114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6.3 Overall Conclusion</w:t>
      </w:r>
      <w:r>
        <w:tab/>
      </w:r>
      <w:r>
        <w:fldChar w:fldCharType="begin"/>
      </w:r>
      <w:r>
        <w:instrText xml:space="preserve"> PAGEREF _Toc_115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6.4 Recommendations</w:t>
      </w:r>
      <w:r>
        <w:tab/>
      </w:r>
      <w:r>
        <w:fldChar w:fldCharType="begin"/>
      </w:r>
      <w:r>
        <w:instrText xml:space="preserve"> PAGEREF _Toc_116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6.4.1 Recommendations From Objective One</w:t>
      </w:r>
      <w:r>
        <w:tab/>
      </w:r>
      <w:r>
        <w:fldChar w:fldCharType="begin"/>
      </w:r>
      <w:r>
        <w:instrText xml:space="preserve"> PAGEREF _Toc_117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6.4.2 Recommendations From Objective Two</w:t>
      </w:r>
      <w:r>
        <w:tab/>
      </w:r>
      <w:r>
        <w:fldChar w:fldCharType="begin"/>
      </w:r>
      <w:r>
        <w:instrText xml:space="preserve"> PAGEREF _Toc_118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6.4.3 Recommendations From Objective Three</w:t>
      </w:r>
      <w:r>
        <w:tab/>
      </w:r>
      <w:r>
        <w:fldChar w:fldCharType="begin"/>
      </w:r>
      <w:r>
        <w:instrText xml:space="preserve"> PAGEREF _Toc_119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6.5 Recommendations for Further Research</w:t>
      </w:r>
      <w:r>
        <w:tab/>
      </w:r>
      <w:r>
        <w:fldChar w:fldCharType="begin"/>
      </w:r>
      <w:r>
        <w:instrText xml:space="preserve"> PAGEREF _Toc_120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REFERENCES</w:t>
      </w:r>
      <w:r>
        <w:tab/>
      </w:r>
      <w:r>
        <w:fldChar w:fldCharType="begin"/>
      </w:r>
      <w:r>
        <w:instrText xml:space="preserve"> PAGEREF _Toc_121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APPENDICES</w:t>
      </w:r>
      <w:r>
        <w:tab/>
      </w:r>
      <w:r>
        <w:fldChar w:fldCharType="begin"/>
      </w:r>
      <w:r>
        <w:instrText xml:space="preserve"> PAGEREF _Toc_122 \h </w:instrText>
      </w:r>
      <w:r>
        <w:fldChar w:fldCharType="separate"/>
      </w:r>
      <w:r>
        <w:rPr>
          <w:rFonts w:ascii="Times New Roman" w:hAnsi="Times New Roman" w:cs="Times New Roman"/>
          <w:sz w:val="24"/>
          <w:szCs w:val="24"/>
          <w:color w:val="000000"/>
        </w:rPr>
        <w:t xml:space="preserve">  </w:t>
      </w:r>
      <w:r>
        <w:fldChar w:fldCharType="end"/>
      </w:r>
    </w:p>
    <w:p w14:paraId="609C3C8A"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52001" w:name="_Toc_1"/>
      <w:r w:rsidRPr="00DE5E47">
        <w:rPr>
          <w:rFonts w:eastAsia="Times New Roman" w:cs="Times New Roman"/>
          <w:b/>
          <w:bCs/>
          <w:kern w:val="0"/>
          <w:sz w:val="24"/>
          <w:szCs w:val="24"/>
          <w14:ligatures w14:val="none"/>
        </w:rPr>
        <w:lastRenderedPageBreak/>
        <w:t>LIST OF TABLES</w:t>
      </w:r>
      <w:bookmarkEnd w:id="52001"/>
    </w:p>
    <w:p>
      <w:pPr>
        <w:tabs>
          <w:tab w:val="right" w:leader="dot" w:pos="8827"/>
        </w:tabs>
        <w:spacing w:line="276" w:lineRule="auto" w:after="60"/>
      </w:pPr>
      <w:r>
        <w:rPr>
          <w:rFonts w:ascii="Times New Roman" w:hAnsi="Times New Roman" w:cs="Times New Roman"/>
          <w:sz w:val="24"/>
          <w:szCs w:val="24"/>
          <w:color w:val="000000"/>
        </w:rPr>
        <w:t xml:space="preserve">Table 1: Alignment of Study Objectives, Variables Measured and Analysis Applied</w:t>
      </w:r>
      <w:r>
        <w:tab/>
      </w:r>
      <w:r>
        <w:fldChar w:fldCharType="begin"/>
      </w:r>
      <w:r>
        <w:instrText xml:space="preserve"> PAGEREF _Tbl1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 Distribution of Respondents by Actor Category and BMU</w:t>
      </w:r>
      <w:r>
        <w:tab/>
      </w:r>
      <w:r>
        <w:fldChar w:fldCharType="begin"/>
      </w:r>
      <w:r>
        <w:instrText xml:space="preserve"> PAGEREF _Tbl2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 Age Group of Fishers, Middlemen, Hoteliers and Exporters by BMU</w:t>
      </w:r>
      <w:r>
        <w:tab/>
      </w:r>
      <w:r>
        <w:fldChar w:fldCharType="begin"/>
      </w:r>
      <w:r>
        <w:instrText xml:space="preserve"> PAGEREF _Tbl3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 Gender of Fishers, Middlemen, Hoteliers and Exporters by BMU</w:t>
      </w:r>
      <w:r>
        <w:tab/>
      </w:r>
      <w:r>
        <w:fldChar w:fldCharType="begin"/>
      </w:r>
      <w:r>
        <w:instrText xml:space="preserve"> PAGEREF _Tbl4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 Ethnic Group of Fishers, Middlemen, Hoteliers and Exporters by BMU</w:t>
      </w:r>
      <w:r>
        <w:tab/>
      </w:r>
      <w:r>
        <w:fldChar w:fldCharType="begin"/>
      </w:r>
      <w:r>
        <w:instrText xml:space="preserve"> PAGEREF _Tbl5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 Marital Status of Fishers, Middlemen, Hoteliers and Exporters by BMU</w:t>
      </w:r>
      <w:r>
        <w:tab/>
      </w:r>
      <w:r>
        <w:fldChar w:fldCharType="begin"/>
      </w:r>
      <w:r>
        <w:instrText xml:space="preserve"> PAGEREF _Tbl6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7: Years of Experience of Fishers, Middlemen, Hoteliers and Exporters by BMU</w:t>
      </w:r>
      <w:r>
        <w:tab/>
      </w:r>
      <w:r>
        <w:fldChar w:fldCharType="begin"/>
      </w:r>
      <w:r>
        <w:instrText xml:space="preserve"> PAGEREF _Tbl7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8: Primary Role and Business Ownership of Fishers, Middlemen, Hoteliers and Exporters by BMU</w:t>
      </w:r>
      <w:r>
        <w:tab/>
      </w:r>
      <w:r>
        <w:fldChar w:fldCharType="begin"/>
      </w:r>
      <w:r>
        <w:instrText xml:space="preserve"> PAGEREF _Tbl8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9: Scale of Operation of Fishers, Middlemen, Hoteliers and Exporters by BMU</w:t>
      </w:r>
      <w:r>
        <w:tab/>
      </w:r>
      <w:r>
        <w:fldChar w:fldCharType="begin"/>
      </w:r>
      <w:r>
        <w:instrText xml:space="preserve"> PAGEREF _Tbl9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10: Reported Monthly Income and Age of Respondents by Actor Category</w:t>
      </w:r>
      <w:r>
        <w:tab/>
      </w:r>
      <w:r>
        <w:fldChar w:fldCharType="begin"/>
      </w:r>
      <w:r>
        <w:instrText xml:space="preserve"> PAGEREF _Tbl10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11: Other Income Activities, Operating Licence and Loan Use by Actor and BMU</w:t>
      </w:r>
      <w:r>
        <w:tab/>
      </w:r>
      <w:r>
        <w:fldChar w:fldCharType="begin"/>
      </w:r>
      <w:r>
        <w:instrText xml:space="preserve"> PAGEREF _Tbl11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12: Main Source of Business Credit by Actor and BMU</w:t>
      </w:r>
      <w:r>
        <w:tab/>
      </w:r>
      <w:r>
        <w:fldChar w:fldCharType="begin"/>
      </w:r>
      <w:r>
        <w:instrText xml:space="preserve"> PAGEREF _Tbl12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13: Knowledge Acquisition and Formal Training by Actor and BMU</w:t>
      </w:r>
      <w:r>
        <w:tab/>
      </w:r>
      <w:r>
        <w:fldChar w:fldCharType="begin"/>
      </w:r>
      <w:r>
        <w:instrText xml:space="preserve"> PAGEREF _Tbl13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14: Cooperative Membership, Self-Help Group Participation and Primary Market Supplied by Actor and BMU</w:t>
      </w:r>
      <w:r>
        <w:tab/>
      </w:r>
      <w:r>
        <w:fldChar w:fldCharType="begin"/>
      </w:r>
      <w:r>
        <w:instrText xml:space="preserve"> PAGEREF _Tbl14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15: How Mud Crabs Are Acquired and Source of Crabs for Sale by Actor and BMU</w:t>
      </w:r>
      <w:r>
        <w:tab/>
      </w:r>
      <w:r>
        <w:fldChar w:fldCharType="begin"/>
      </w:r>
      <w:r>
        <w:instrText xml:space="preserve"> PAGEREF _Tbl15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16: Proportion of Catch Sold and Travel Time from Fishing Grounds to Market by Actor and BMU</w:t>
      </w:r>
      <w:r>
        <w:tab/>
      </w:r>
      <w:r>
        <w:fldChar w:fldCharType="begin"/>
      </w:r>
      <w:r>
        <w:instrText xml:space="preserve"> PAGEREF _Tbl16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17: Primary Market Channel and Contact With Final Consumers by Actor and BMU</w:t>
      </w:r>
      <w:r>
        <w:tab/>
      </w:r>
      <w:r>
        <w:fldChar w:fldCharType="begin"/>
      </w:r>
      <w:r>
        <w:instrText xml:space="preserve"> PAGEREF _Tbl17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18: Number of Buyers, State of Crabs Sold and Regularity of the Main Buyer by Actor and BMU</w:t>
      </w:r>
      <w:r>
        <w:tab/>
      </w:r>
      <w:r>
        <w:fldChar w:fldCharType="begin"/>
      </w:r>
      <w:r>
        <w:instrText xml:space="preserve"> PAGEREF _Tbl18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19: Location of Sale and Knowledge of the Onward Sale by Actor and BMU</w:t>
      </w:r>
      <w:r>
        <w:tab/>
      </w:r>
      <w:r>
        <w:fldChar w:fldCharType="begin"/>
      </w:r>
      <w:r>
        <w:instrText xml:space="preserve"> PAGEREF _Tbl19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20: First Buyer Location Reported by Fishers by BMU</w:t>
      </w:r>
      <w:r>
        <w:tab/>
      </w:r>
      <w:r>
        <w:fldChar w:fldCharType="begin"/>
      </w:r>
      <w:r>
        <w:instrText xml:space="preserve"> PAGEREF _Tbl20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21: Second Buyer Location Reported by Fishers by BMU</w:t>
      </w:r>
      <w:r>
        <w:tab/>
      </w:r>
      <w:r>
        <w:fldChar w:fldCharType="begin"/>
      </w:r>
      <w:r>
        <w:instrText xml:space="preserve"> PAGEREF _Tbl21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22: Preparation of Mud Crabs for Market and Preservation by Actor and BMU</w:t>
      </w:r>
      <w:r>
        <w:tab/>
      </w:r>
      <w:r>
        <w:fldChar w:fldCharType="begin"/>
      </w:r>
      <w:r>
        <w:instrText xml:space="preserve"> PAGEREF _Tbl22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23: Grading Practice and Criteria Used to Determine Grade by Actor and BMU</w:t>
      </w:r>
      <w:r>
        <w:tab/>
      </w:r>
      <w:r>
        <w:fldChar w:fldCharType="begin"/>
      </w:r>
      <w:r>
        <w:instrText xml:space="preserve"> PAGEREF _Tbl23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24: Quality Measures Before Market and Use of Formal Quality Control by Actor and BMU</w:t>
      </w:r>
      <w:r>
        <w:tab/>
      </w:r>
      <w:r>
        <w:fldChar w:fldCharType="begin"/>
      </w:r>
      <w:r>
        <w:instrText xml:space="preserve"> PAGEREF _Tbl24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25: Size Label and Grade Assignment for Large Crabs by Actor and BMU</w:t>
      </w:r>
      <w:r>
        <w:tab/>
      </w:r>
      <w:r>
        <w:fldChar w:fldCharType="begin"/>
      </w:r>
      <w:r>
        <w:instrText xml:space="preserve"> PAGEREF _Tbl25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26: Size Label and Grade Assignment for Medium Crabs by Actor and BMU</w:t>
      </w:r>
      <w:r>
        <w:tab/>
      </w:r>
      <w:r>
        <w:fldChar w:fldCharType="begin"/>
      </w:r>
      <w:r>
        <w:instrText xml:space="preserve"> PAGEREF _Tbl26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27: Size Label and Grade Assignment for Small Crabs by Actor and BMU</w:t>
      </w:r>
      <w:r>
        <w:tab/>
      </w:r>
      <w:r>
        <w:fldChar w:fldCharType="begin"/>
      </w:r>
      <w:r>
        <w:instrText xml:space="preserve"> PAGEREF _Tbl27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28: Reported Loss Through Spoilage by Actor and BMU</w:t>
      </w:r>
      <w:r>
        <w:tab/>
      </w:r>
      <w:r>
        <w:fldChar w:fldCharType="begin"/>
      </w:r>
      <w:r>
        <w:instrText xml:space="preserve"> PAGEREF _Tbl28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29: Pricing Mechanism and How Prices Are Set by Actor and BMU</w:t>
      </w:r>
      <w:r>
        <w:tab/>
      </w:r>
      <w:r>
        <w:fldChar w:fldCharType="begin"/>
      </w:r>
      <w:r>
        <w:instrText xml:space="preserve"> PAGEREF _Tbl29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30: Factors Influencing Price Fluctuations by Actor and BMU</w:t>
      </w:r>
      <w:r>
        <w:tab/>
      </w:r>
      <w:r>
        <w:fldChar w:fldCharType="begin"/>
      </w:r>
      <w:r>
        <w:instrText xml:space="preserve"> PAGEREF _Tbl30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31: Tied Depot Owners and Arrangements With Tied Fishers and Traders by Actor and BMU</w:t>
      </w:r>
      <w:r>
        <w:tab/>
      </w:r>
      <w:r>
        <w:fldChar w:fldCharType="begin"/>
      </w:r>
      <w:r>
        <w:instrText xml:space="preserve"> PAGEREF _Tbl31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32: Arrangements Used With Tied Depot Owners by Actor and BMU</w:t>
      </w:r>
      <w:r>
        <w:tab/>
      </w:r>
      <w:r>
        <w:fldChar w:fldCharType="begin"/>
      </w:r>
      <w:r>
        <w:instrText xml:space="preserve"> PAGEREF _Tbl32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33: Tied Fishers, Tied Traders and Trading Agreements by Actor and BMU</w:t>
      </w:r>
      <w:r>
        <w:tab/>
      </w:r>
      <w:r>
        <w:fldChar w:fldCharType="begin"/>
      </w:r>
      <w:r>
        <w:instrText xml:space="preserve"> PAGEREF _Tbl33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34: Role of Intermediaries and Negotiation Terms by Actor and BMU</w:t>
      </w:r>
      <w:r>
        <w:tab/>
      </w:r>
      <w:r>
        <w:fldChar w:fldCharType="begin"/>
      </w:r>
      <w:r>
        <w:instrText xml:space="preserve"> PAGEREF _Tbl34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35: Technology Adoption and Market Research by Actor and BMU</w:t>
      </w:r>
      <w:r>
        <w:tab/>
      </w:r>
      <w:r>
        <w:fldChar w:fldCharType="begin"/>
      </w:r>
      <w:r>
        <w:instrText xml:space="preserve"> PAGEREF _Tbl35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36: Reported Mud Crab Prices by Actor Category and Size Grade</w:t>
      </w:r>
      <w:r>
        <w:tab/>
      </w:r>
      <w:r>
        <w:fldChar w:fldCharType="begin"/>
      </w:r>
      <w:r>
        <w:instrText xml:space="preserve"> PAGEREF _Tbl36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37: Kruskal–Wallis Comparisons of Reported Mud Crab Prices</w:t>
      </w:r>
      <w:r>
        <w:tab/>
      </w:r>
      <w:r>
        <w:fldChar w:fldCharType="begin"/>
      </w:r>
      <w:r>
        <w:instrText xml:space="preserve"> PAGEREF _Tbl37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38: Marketing Margins and the Distribution of the Final Chain Price Across Actor Nodes</w:t>
      </w:r>
      <w:r>
        <w:tab/>
      </w:r>
      <w:r>
        <w:fldChar w:fldCharType="begin"/>
      </w:r>
      <w:r>
        <w:instrText xml:space="preserve"> PAGEREF _Tbl38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39: Mean Reported Mud Crab Price by Actor Category, BMU and Size Grade</w:t>
      </w:r>
      <w:r>
        <w:tab/>
      </w:r>
      <w:r>
        <w:fldChar w:fldCharType="begin"/>
      </w:r>
      <w:r>
        <w:instrText xml:space="preserve"> PAGEREF _Tbl39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40: First-Sale Price Spread Between Fishers and Middlemen Within Each BMU</w:t>
      </w:r>
      <w:r>
        <w:tab/>
      </w:r>
      <w:r>
        <w:fldChar w:fldCharType="begin"/>
      </w:r>
      <w:r>
        <w:instrText xml:space="preserve"> PAGEREF _Tbl40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41: Main Operational or Marketing Constraint by Actor and BMU</w:t>
      </w:r>
      <w:r>
        <w:tab/>
      </w:r>
      <w:r>
        <w:fldChar w:fldCharType="begin"/>
      </w:r>
      <w:r>
        <w:instrText xml:space="preserve"> PAGEREF _Tbl41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42: Main Infrastructure or Logistics Constraint and Need for Improvement by Actor and BMU</w:t>
      </w:r>
      <w:r>
        <w:tab/>
      </w:r>
      <w:r>
        <w:fldChar w:fldCharType="begin"/>
      </w:r>
      <w:r>
        <w:instrText xml:space="preserve"> PAGEREF _Tbl42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43: Barriers to Market Access and Operational Challenges by Actor and BMU</w:t>
      </w:r>
      <w:r>
        <w:tab/>
      </w:r>
      <w:r>
        <w:fldChar w:fldCharType="begin"/>
      </w:r>
      <w:r>
        <w:instrText xml:space="preserve"> PAGEREF _Tbl43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44: Risk Management Method by Actor and BMU</w:t>
      </w:r>
      <w:r>
        <w:tab/>
      </w:r>
      <w:r>
        <w:fldChar w:fldCharType="begin"/>
      </w:r>
      <w:r>
        <w:instrText xml:space="preserve"> PAGEREF _Tbl44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45: Innovation, Changes in Marketing Strategy and Adaptation by Actor and BMU</w:t>
      </w:r>
      <w:r>
        <w:tab/>
      </w:r>
      <w:r>
        <w:fldChar w:fldCharType="begin"/>
      </w:r>
      <w:r>
        <w:instrText xml:space="preserve"> PAGEREF _Tbl45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46: Regulation, Management-Plan Awareness and Sources of Industry Information by Actor and BMU</w:t>
      </w:r>
      <w:r>
        <w:tab/>
      </w:r>
      <w:r>
        <w:fldChar w:fldCharType="begin"/>
      </w:r>
      <w:r>
        <w:instrText xml:space="preserve"> PAGEREF _Tbl46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47: Perception That Mud Crab Marketing Is Integrated With Other Fisheries by Actor and BMU</w:t>
      </w:r>
      <w:r>
        <w:tab/>
      </w:r>
      <w:r>
        <w:fldChar w:fldCharType="begin"/>
      </w:r>
      <w:r>
        <w:instrText xml:space="preserve"> PAGEREF _Tbl47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48: Awareness of a Policy Framework for Crab Markets by Actor and BMU</w:t>
      </w:r>
      <w:r>
        <w:tab/>
      </w:r>
      <w:r>
        <w:fldChar w:fldCharType="begin"/>
      </w:r>
      <w:r>
        <w:instrText xml:space="preserve"> PAGEREF _Tbl48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49: Statistically Significant Actor-Specific Associations With BMU</w:t>
      </w:r>
      <w:r>
        <w:tab/>
      </w:r>
      <w:r>
        <w:fldChar w:fldCharType="begin"/>
      </w:r>
      <w:r>
        <w:instrText xml:space="preserve"> PAGEREF _Tbl49 \h </w:instrText>
      </w:r>
      <w:r>
        <w:fldChar w:fldCharType="separate"/>
      </w:r>
      <w:r>
        <w:rPr>
          <w:rFonts w:ascii="Times New Roman" w:hAnsi="Times New Roman" w:cs="Times New Roman"/>
          <w:sz w:val="24"/>
          <w:szCs w:val="24"/>
          <w:color w:val="000000"/>
        </w:rPr>
        <w:t xml:space="preserve">  </w:t>
      </w:r>
      <w:r>
        <w:fldChar w:fldCharType="end"/>
      </w:r>
    </w:p>
    <w:p w14:paraId="6853EE1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4" w:name="_Toc240214079"/>
    </w:p>
    <w:p w14:paraId="76E149D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BDB598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06A3B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EC3F0E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DFEDCE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56DB98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D74271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C0BB70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878768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06913A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A23E75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1E6F40F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D1AF77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E94D75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1509A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20339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F68259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76BD63"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52002" w:name="_Toc_2"/>
      <w:bookmarkStart w:id="15" w:name="_Toc241432216"/>
      <w:r w:rsidRPr="00DE5E47">
        <w:rPr>
          <w:rFonts w:eastAsia="Times New Roman" w:cs="Times New Roman"/>
          <w:b/>
          <w:bCs/>
          <w:kern w:val="0"/>
          <w:sz w:val="24"/>
          <w:szCs w:val="24"/>
          <w14:ligatures w14:val="none"/>
        </w:rPr>
        <w:lastRenderedPageBreak/>
        <w:t>LIST OF FIGURES</w:t>
      </w:r>
      <w:bookmarkEnd w:id="14"/>
      <w:bookmarkEnd w:id="15"/>
      <w:bookmarkEnd w:id="52002"/>
    </w:p>
    <w:p>
      <w:pPr>
        <w:tabs>
          <w:tab w:val="right" w:leader="dot" w:pos="8827"/>
        </w:tabs>
        <w:spacing w:line="276" w:lineRule="auto" w:after="60"/>
      </w:pPr>
      <w:r>
        <w:rPr>
          <w:rFonts w:ascii="Times New Roman" w:hAnsi="Times New Roman" w:cs="Times New Roman"/>
          <w:sz w:val="24"/>
          <w:szCs w:val="24"/>
          <w:color w:val="000000"/>
        </w:rPr>
        <w:t xml:space="preserve">Figure 1: Mangrove mud crab (Scylla serrata)</w:t>
      </w:r>
      <w:r>
        <w:tab/>
      </w:r>
      <w:r>
        <w:fldChar w:fldCharType="begin"/>
      </w:r>
      <w:r>
        <w:instrText xml:space="preserve"> PAGEREF _Fig1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 Structure-Conduct-Performance (SCP) linkages guiding the study</w:t>
      </w:r>
      <w:r>
        <w:tab/>
      </w:r>
      <w:r>
        <w:fldChar w:fldCharType="begin"/>
      </w:r>
      <w:r>
        <w:instrText xml:space="preserve"> PAGEREF _Fig2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 Descriptive framework linking the study objectives to the analysis</w:t>
      </w:r>
      <w:r>
        <w:tab/>
      </w:r>
      <w:r>
        <w:fldChar w:fldCharType="begin"/>
      </w:r>
      <w:r>
        <w:instrText xml:space="preserve"> PAGEREF _Fig3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4: Study site (Author, 2026)</w:t>
      </w:r>
      <w:r>
        <w:tab/>
      </w:r>
      <w:r>
        <w:fldChar w:fldCharType="begin"/>
      </w:r>
      <w:r>
        <w:instrText xml:space="preserve"> PAGEREF _Fig4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5: Highest Education Attained Within Each Actor Category</w:t>
      </w:r>
      <w:r>
        <w:tab/>
      </w:r>
      <w:r>
        <w:fldChar w:fldCharType="begin"/>
      </w:r>
      <w:r>
        <w:instrText xml:space="preserve"> PAGEREF _Fig5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6: Monthly Mud Crab Income Band Within Each Actor Category</w:t>
      </w:r>
      <w:r>
        <w:tab/>
      </w:r>
      <w:r>
        <w:fldChar w:fldCharType="begin"/>
      </w:r>
      <w:r>
        <w:instrText xml:space="preserve"> PAGEREF _Fig6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7: Licensing, Credit, Training and Collective Membership by Actor Category</w:t>
      </w:r>
      <w:r>
        <w:tab/>
      </w:r>
      <w:r>
        <w:fldChar w:fldCharType="begin"/>
      </w:r>
      <w:r>
        <w:instrText xml:space="preserve"> PAGEREF _Fig7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8: Source of Crabs for Sale Within Each Actor Category</w:t>
      </w:r>
      <w:r>
        <w:tab/>
      </w:r>
      <w:r>
        <w:fldChar w:fldCharType="begin"/>
      </w:r>
      <w:r>
        <w:instrText xml:space="preserve"> PAGEREF _Fig8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9: Fishing or Collection Gear Used by Fishers Within Each BMU</w:t>
      </w:r>
      <w:r>
        <w:tab/>
      </w:r>
      <w:r>
        <w:fldChar w:fldCharType="begin"/>
      </w:r>
      <w:r>
        <w:instrText xml:space="preserve"> PAGEREF _Fig9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10: Daily Mud Crab Catch Reported by Fishers Within Each BMU</w:t>
      </w:r>
      <w:r>
        <w:tab/>
      </w:r>
      <w:r>
        <w:fldChar w:fldCharType="begin"/>
      </w:r>
      <w:r>
        <w:instrText xml:space="preserve"> PAGEREF _Fig10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11: Main Buyer Category Within Each Actor Category</w:t>
      </w:r>
      <w:r>
        <w:tab/>
      </w:r>
      <w:r>
        <w:fldChar w:fldCharType="begin"/>
      </w:r>
      <w:r>
        <w:instrText xml:space="preserve"> PAGEREF _Fig11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12: Preparation of Mud Crabs for Market by Actor Category</w:t>
      </w:r>
      <w:r>
        <w:tab/>
      </w:r>
      <w:r>
        <w:fldChar w:fldCharType="begin"/>
      </w:r>
      <w:r>
        <w:instrText xml:space="preserve"> PAGEREF _Fig12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13: Packaging Used for Transporting Mud Crabs by Actor Category</w:t>
      </w:r>
      <w:r>
        <w:tab/>
      </w:r>
      <w:r>
        <w:fldChar w:fldCharType="begin"/>
      </w:r>
      <w:r>
        <w:instrText xml:space="preserve"> PAGEREF _Fig13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14: Mode of Transporting Mud Crabs to Market by Actor Category</w:t>
      </w:r>
      <w:r>
        <w:tab/>
      </w:r>
      <w:r>
        <w:fldChar w:fldCharType="begin"/>
      </w:r>
      <w:r>
        <w:instrText xml:space="preserve"> PAGEREF _Fig14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15: Criteria Used to Determine Crab Grade by Actor Category</w:t>
      </w:r>
      <w:r>
        <w:tab/>
      </w:r>
      <w:r>
        <w:fldChar w:fldCharType="begin"/>
      </w:r>
      <w:r>
        <w:instrText xml:space="preserve"> PAGEREF _Fig15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16: Reported Daily Mortality by Actor Category</w:t>
      </w:r>
      <w:r>
        <w:tab/>
      </w:r>
      <w:r>
        <w:fldChar w:fldCharType="begin"/>
      </w:r>
      <w:r>
        <w:instrText xml:space="preserve"> PAGEREF _Fig16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17: Mode of Payment by Actor Category</w:t>
      </w:r>
      <w:r>
        <w:tab/>
      </w:r>
      <w:r>
        <w:fldChar w:fldCharType="begin"/>
      </w:r>
      <w:r>
        <w:instrText xml:space="preserve"> PAGEREF _Fig17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18: How Mud Crab Prices Are Set, by Actor Category</w:t>
      </w:r>
      <w:r>
        <w:tab/>
      </w:r>
      <w:r>
        <w:fldChar w:fldCharType="begin"/>
      </w:r>
      <w:r>
        <w:instrText xml:space="preserve"> PAGEREF _Fig18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19: Main Infrastructure or Logistics Constraint by Actor Category</w:t>
      </w:r>
      <w:r>
        <w:tab/>
      </w:r>
      <w:r>
        <w:fldChar w:fldCharType="begin"/>
      </w:r>
      <w:r>
        <w:instrText xml:space="preserve"> PAGEREF _Fig19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20: Awareness of the Crab Fishery Management Plan Among Fishers, by BMU</w:t>
      </w:r>
      <w:r>
        <w:tab/>
      </w:r>
      <w:r>
        <w:fldChar w:fldCharType="begin"/>
      </w:r>
      <w:r>
        <w:instrText xml:space="preserve"> PAGEREF _Fig20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21: Perception That the Mud Crab Market Is Well Structured, by Actor Category</w:t>
      </w:r>
      <w:r>
        <w:tab/>
      </w:r>
      <w:r>
        <w:fldChar w:fldCharType="begin"/>
      </w:r>
      <w:r>
        <w:instrText xml:space="preserve"> PAGEREF _Fig21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22: Priority Opportunity for Improving Mud Crab Marketing by Actor Category</w:t>
      </w:r>
      <w:r>
        <w:tab/>
      </w:r>
      <w:r>
        <w:fldChar w:fldCharType="begin"/>
      </w:r>
      <w:r>
        <w:instrText xml:space="preserve"> PAGEREF _Fig22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23: Recommended Market-System Enhancement by Actor Category</w:t>
      </w:r>
      <w:r>
        <w:tab/>
      </w:r>
      <w:r>
        <w:fldChar w:fldCharType="begin"/>
      </w:r>
      <w:r>
        <w:instrText xml:space="preserve"> PAGEREF _Fig23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24: Reported Involvement of Youth by Actor Category</w:t>
      </w:r>
      <w:r>
        <w:tab/>
      </w:r>
      <w:r>
        <w:fldChar w:fldCharType="begin"/>
      </w:r>
      <w:r>
        <w:instrText xml:space="preserve"> PAGEREF _Fig24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25: Perceived Potential for Product or Market Diversification by Actor Category</w:t>
      </w:r>
      <w:r>
        <w:tab/>
      </w:r>
      <w:r>
        <w:fldChar w:fldCharType="begin"/>
      </w:r>
      <w:r>
        <w:instrText xml:space="preserve"> PAGEREF _Fig25 \h </w:instrText>
      </w:r>
      <w:r>
        <w:fldChar w:fldCharType="separate"/>
      </w:r>
      <w:r>
        <w:rPr>
          <w:rFonts w:ascii="Times New Roman" w:hAnsi="Times New Roman" w:cs="Times New Roman"/>
          <w:sz w:val="24"/>
          <w:szCs w:val="24"/>
          <w:color w:val="000000"/>
        </w:rPr>
        <w:t xml:space="preserve">  </w:t>
      </w:r>
      <w:r>
        <w:fldChar w:fldCharType="end"/>
      </w:r>
    </w:p>
    <w:p w14:paraId="575C1069" w14:textId="77777777" w:rsidR="00A32D91" w:rsidRPr="00DE5E47" w:rsidRDefault="00A32D91" w:rsidP="00A32D91">
      <w:pPr>
        <w:rPr>
          <w:rFonts w:cs="Times New Roman"/>
        </w:rPr>
      </w:pPr>
    </w:p>
    <w:p w14:paraId="01EE81C9" w14:textId="77777777" w:rsidR="00A32D91" w:rsidRPr="00DE5E47" w:rsidRDefault="00A32D91" w:rsidP="00A32D91">
      <w:pPr>
        <w:rPr>
          <w:rFonts w:cs="Times New Roman"/>
        </w:rPr>
      </w:pPr>
    </w:p>
    <w:p w14:paraId="35F5B63D" w14:textId="77777777" w:rsidR="00A32D91" w:rsidRPr="00DE5E47" w:rsidRDefault="00A32D91" w:rsidP="00A32D91">
      <w:pPr>
        <w:rPr>
          <w:rFonts w:cs="Times New Roman"/>
        </w:rPr>
      </w:pPr>
    </w:p>
    <w:p w14:paraId="2E5D212C" w14:textId="77777777" w:rsidR="00A32D91" w:rsidRPr="00DE5E47" w:rsidRDefault="00A32D91" w:rsidP="00A32D91">
      <w:pPr>
        <w:rPr>
          <w:rFonts w:cs="Times New Roman"/>
        </w:rPr>
      </w:pPr>
    </w:p>
    <w:p w14:paraId="45CE6BC0" w14:textId="77777777" w:rsidR="00A32D91" w:rsidRPr="00DE5E47" w:rsidRDefault="00A32D91" w:rsidP="00A32D91">
      <w:pPr>
        <w:rPr>
          <w:rFonts w:cs="Times New Roman"/>
        </w:rPr>
      </w:pPr>
    </w:p>
    <w:p w14:paraId="1B088BA1" w14:textId="77777777" w:rsidR="00A32D91" w:rsidRPr="00DE5E47" w:rsidRDefault="00A32D91" w:rsidP="00A32D91">
      <w:pPr>
        <w:rPr>
          <w:rFonts w:cs="Times New Roman"/>
        </w:rPr>
      </w:pPr>
    </w:p>
    <w:p>
      <w:pPr>
        <w:spacing w:before="240" w:after="180" w:line="276" w:lineRule="auto"/>
        <w:outlineLvl w:val="0"/>
      </w:pPr>
      <w:bookmarkStart w:id="52003" w:name="_Toc_3"/>
      <w:r>
        <w:rPr>
          <w:rFonts w:ascii="Times New Roman" w:hAnsi="Times New Roman" w:cs="Times New Roman"/>
          <w:b/>
          <w:sz w:val="24"/>
          <w:color w:val="000000"/>
        </w:rPr>
        <w:t xml:space="preserve">LIST OF ABBREVIATIONS</w:t>
      </w:r>
      <w:bookmarkEnd w:id="52003"/>
    </w:p>
    <w:tbl>
      <w:tblPr>
        <w:tblStyle w:val="TableNormal"/>
        <w:tblW w:w="9026" w:type="dxa"/>
        <w:tblLayout w:type="fixed"/>
        <w:tblCellMar>
          <w:top w:w="30" w:type="dxa"/>
          <w:left w:w="80" w:type="dxa"/>
          <w:bottom w:w="30" w:type="dxa"/>
          <w:right w:w="80" w:type="dxa"/>
        </w:tblCellMar>
      </w:tblPr>
      <w:tblGrid>
        <w:gridCol w:w="2100"/>
        <w:gridCol w:w="6926"/>
      </w:tblGrid>
      <w:tr>
        <w:tc>
          <w:tcPr>
            <w:tcW w:w="2100"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Meaning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BMU</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Beach Management Unit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df</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Degrees of freedom</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FAO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Food and Agriculture Organization of the United Nations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Kruskal–Wallis test statistic</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SPSS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Statistical Package for the Social Sciences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IQR</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Interquartile range (reported as the first to third quartile)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IUCN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International Union for Conservation of Nature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KeFS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Fisheries Service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KMFRI</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Marine and Fisheries Research Institute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KSh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Shilling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Mdn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Median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MSc</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Master of Science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N / 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Sample size / subgroup count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Probability value (significance level)</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SCP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Structure–Conduct–Performance (framework)</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SD</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Standard deviation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WIO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Western Indian Ocean</w:t>
            </w:r>
          </w:p>
        </w:tc>
      </w:tr>
      <w:tr>
        <w:tc>
          <w:tcPr>
            <w:tcW w:w="2100"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χ²</w:t>
            </w:r>
          </w:p>
        </w:tc>
        <w:tc>
          <w:tcPr>
            <w:tcW w:w="6926"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Chi-square test statistic</w:t>
            </w:r>
          </w:p>
        </w:tc>
      </w:tr>
    </w:tbl>
    <w:p>
      <w:pPr>
        <w:spacing w:before="0" w:after="120" w:line="276" w:lineRule="auto"/>
      </w:pPr>
    </w:p>
    <w:p w14:paraId="31E16207" w14:textId="77777777" w:rsidR="00221112" w:rsidRPr="00DE5E47" w:rsidRDefault="00C14051">
      <w:pPr>
        <w:pStyle w:val="Heading1"/>
        <w:ind w:left="2977"/>
        <w:jc w:val="both"/>
        <w:outlineLvl w:val="0"/>
        <w:rPr>
          <w:rFonts w:cs="Times New Roman"/>
          <w:szCs w:val="24"/>
        </w:rPr>
      </w:pPr>
      <w:bookmarkStart w:id="52004" w:name="_Toc_4"/>
      <w:bookmarkStart w:id="16" w:name="_Toc236308214"/>
      <w:bookmarkStart w:id="17" w:name="_Toc236311273"/>
      <w:bookmarkStart w:id="18" w:name="_Toc236308046"/>
      <w:bookmarkStart w:id="19" w:name="_Toc236308460"/>
      <w:bookmarkStart w:id="20" w:name="_Toc236307926"/>
      <w:bookmarkStart w:id="21" w:name="_Toc76558178"/>
      <w:bookmarkStart w:id="22" w:name="_Toc69041134"/>
      <w:bookmarkStart w:id="23" w:name="_Toc240214080"/>
      <w:bookmarkStart w:id="24" w:name="_Toc241432217"/>
      <w:bookmarkEnd w:id="1"/>
      <w:bookmarkEnd w:id="2"/>
      <w:bookmarkEnd w:id="16"/>
      <w:bookmarkEnd w:id="17"/>
      <w:bookmarkEnd w:id="18"/>
      <w:bookmarkEnd w:id="19"/>
      <w:bookmarkEnd w:id="20"/>
      <w:r w:rsidRPr="00DE5E47">
        <w:rPr>
          <w:rFonts w:cs="Times New Roman"/>
          <w:szCs w:val="24"/>
        </w:rPr>
        <w:lastRenderedPageBreak/>
        <w:t xml:space="preserve">CHAPTER ONE: INTRODUCTION</w:t>
      </w:r>
      <w:bookmarkEnd w:id="21"/>
      <w:bookmarkEnd w:id="22"/>
      <w:bookmarkEnd w:id="23"/>
      <w:bookmarkEnd w:id="24"/>
      <w:bookmarkEnd w:id="52004"/>
    </w:p>
    <w:p w14:paraId="2E7A6569" w14:textId="77777777" w:rsidR="00221112" w:rsidRPr="00DE5E47" w:rsidRDefault="00C14051">
      <w:pPr>
        <w:pStyle w:val="Heading2"/>
        <w:jc w:val="both"/>
        <w:outlineLvl w:val="1"/>
        <w:rPr>
          <w:rFonts w:cs="Times New Roman"/>
          <w:szCs w:val="24"/>
        </w:rPr>
      </w:pPr>
      <w:bookmarkStart w:id="52005" w:name="_Toc_5"/>
      <w:bookmarkStart w:id="25" w:name="_Toc240214081"/>
      <w:bookmarkStart w:id="26" w:name="_Toc241432218"/>
      <w:r w:rsidRPr="00DE5E47">
        <w:rPr>
          <w:rFonts w:cs="Times New Roman"/>
          <w:szCs w:val="24"/>
        </w:rPr>
        <w:t xml:space="preserve">1.1 Background information</w:t>
      </w:r>
      <w:bookmarkEnd w:id="25"/>
      <w:bookmarkEnd w:id="26"/>
      <w:bookmarkEnd w:id="52005"/>
    </w:p>
    <w:p w14:paraId="28912FD5"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64E4CB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8538485" w14:textId="77777777" w:rsidR="00221112" w:rsidRPr="00DE5E47" w:rsidRDefault="00C14051">
      <w:pPr>
        <w:spacing w:line="480" w:lineRule="auto"/>
        <w:jc w:val="both"/>
        <w:rPr>
          <w:rFonts w:cs="Times New Roman"/>
          <w:sz w:val="24"/>
          <w:szCs w:val="24"/>
        </w:rPr>
      </w:pPr>
      <w:r>
        <w:t>On the Kenyan coast, Scylla serrata is one of the commercially important crustaceans available to small-scale fishers with relatively little equipment. Demand from hotels, local markets and export buyers has raised its commercial value. At the same time, reports of smaller crabs and the capture of immature animals suggest pressure on stocks and mangrove-dependent habitats. Market analysis is therefore relevant to both livelihoods and management.</w:t>
      </w:r>
    </w:p>
    <w:p w14:paraId="770FAFDD" w14:textId="77777777" w:rsidR="00221112" w:rsidRPr="00DE5E47" w:rsidRDefault="00C14051">
      <w:pPr>
        <w:spacing w:line="480" w:lineRule="auto"/>
        <w:jc w:val="both"/>
        <w:rPr>
          <w:rFonts w:cs="Times New Roman"/>
          <w:sz w:val="24"/>
          <w:szCs w:val="24"/>
        </w:rPr>
      </w:pPr>
      <w:r>
        <w:t>Kenyan research has examined the biology and ecology of mud crabs more closely than their markets. Yet fishers also respond to the prices buyers offer, the grades buyers apply, access to alternative outlets, transport, credit and payment terms. When these conditions are poorly understood, management may address harvesting without addressing the incentives that influence it.</w:t>
      </w:r>
    </w:p>
    <w:p w14:paraId="2FDAB16A"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Fishers who lack an independent price reference or another buyer may have little room to </w:t>
      </w:r>
      <w:r>
        <w:lastRenderedPageBreak/>
        <w:t>challenge those decisions. Market organisation can therefore affect bargaining power and the distribution of returns along the chain.</w:t>
      </w:r>
    </w:p>
    <w:p w14:paraId="73D4FA5C" w14:textId="77777777" w:rsidR="00221112" w:rsidRPr="00DE5E47" w:rsidRDefault="00C14051">
      <w:pPr>
        <w:spacing w:line="480" w:lineRule="auto"/>
        <w:jc w:val="both"/>
        <w:rPr>
          <w:rFonts w:cs="Times New Roman"/>
          <w:sz w:val="24"/>
          <w:szCs w:val="24"/>
        </w:rPr>
      </w:pPr>
      <w:r>
        <w:t>Post-harvest handling is especially important because mud crabs are usually sold alive and their value depends on size, condition and survival. Poor containment, unsuitable packaging and long journeys can cause mortality or reduce quality. These losses lower returns without reducing fishing effort and may encourage additional harvesting to replace lost income.</w:t>
      </w:r>
    </w:p>
    <w:p w14:paraId="4C9586DE" w14:textId="77777777" w:rsidR="00221112" w:rsidRPr="00DE5E47" w:rsidRDefault="00C14051">
      <w:pPr>
        <w:spacing w:line="480" w:lineRule="auto"/>
        <w:jc w:val="both"/>
        <w:rPr>
          <w:rFonts w:cs="Times New Roman"/>
          <w:sz w:val="24"/>
          <w:szCs w:val="24"/>
        </w:rPr>
      </w:pPr>
      <w:r>
        <w:t>Kenya’s Blue Economy agenda has renewed interest in mud crabs as a source of food, income and coastal employment. Crab fattening, community-based aquaculture and hatchery development are among the proposed alternatives to greater pressure on wild stocks. Their value, however, depends on the market that already exists: who controls grades and prices, how crabs reach buyers, and where actors incur losses.</w:t>
      </w:r>
    </w:p>
    <w:p w14:paraId="1F63DEC6" w14:textId="77777777" w:rsidR="00221112" w:rsidRPr="00DE5E47" w:rsidRDefault="00C14051">
      <w:pPr>
        <w:spacing w:line="480" w:lineRule="auto"/>
        <w:jc w:val="both"/>
        <w:rPr>
          <w:rFonts w:cs="Times New Roman"/>
          <w:sz w:val="24"/>
          <w:szCs w:val="24"/>
        </w:rPr>
      </w:pPr>
      <w:r>
        <w:t>Kwale County supports active mud crab harvesting in mangrove creeks and supplies traders, hotels and export-oriented markets. Even so, there is limited evidence on the roles of different actors, the way grades and prices are set, how crabs are transported and packaged, the payment arrangements used, and the constraints faced at each market node. This study addresses that gap by examining the market structure and day-to-day business practices of the South Coast mud crab fishery.</w:t>
      </w:r>
    </w:p>
    <w:p w14:paraId="55660987" w14:textId="77777777" w:rsidR="00221112" w:rsidRPr="00DE5E47" w:rsidRDefault="00C14051">
      <w:pPr>
        <w:pStyle w:val="Heading2"/>
        <w:jc w:val="both"/>
        <w:outlineLvl w:val="1"/>
        <w:rPr>
          <w:rFonts w:cs="Times New Roman"/>
          <w:szCs w:val="24"/>
        </w:rPr>
      </w:pPr>
      <w:bookmarkStart w:id="52006" w:name="_Toc_6"/>
      <w:bookmarkStart w:id="27" w:name="_Toc240214082"/>
      <w:bookmarkStart w:id="28" w:name="_Toc241432219"/>
      <w:r w:rsidRPr="00DE5E47">
        <w:rPr>
          <w:rFonts w:cs="Times New Roman"/>
          <w:szCs w:val="24"/>
        </w:rPr>
        <w:t xml:space="preserve">1.2 Statement of the problem</w:t>
      </w:r>
      <w:bookmarkEnd w:id="27"/>
      <w:bookmarkEnd w:id="28"/>
      <w:bookmarkEnd w:id="52006"/>
    </w:p>
    <w:p w14:paraId="46885157"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76A55383" w14:textId="77777777" w:rsidR="00221112" w:rsidRPr="00DE5E47" w:rsidRDefault="00C14051">
      <w:pPr>
        <w:spacing w:line="480" w:lineRule="auto"/>
        <w:jc w:val="both"/>
        <w:rPr>
          <w:rFonts w:cs="Times New Roman"/>
          <w:sz w:val="24"/>
          <w:szCs w:val="24"/>
        </w:rPr>
      </w:pPr>
      <w:r>
        <w:t>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bargaining conditions. This leaves important gaps in the evidence on where value is added and how gross returns are distributed.</w:t>
      </w:r>
      <w:r/>
    </w:p>
    <w:p w14:paraId="3F81D1C9"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7259D5F9"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7B729602" w14:textId="77777777" w:rsidR="00221112" w:rsidRPr="00DE5E47" w:rsidRDefault="00C14051">
      <w:pPr>
        <w:pStyle w:val="Heading2"/>
        <w:jc w:val="both"/>
        <w:outlineLvl w:val="1"/>
        <w:rPr>
          <w:rFonts w:cs="Times New Roman"/>
          <w:szCs w:val="24"/>
        </w:rPr>
      </w:pPr>
      <w:bookmarkStart w:id="52007" w:name="_Toc_7"/>
      <w:bookmarkStart w:id="29" w:name="_Toc235346783"/>
      <w:bookmarkStart w:id="30" w:name="_Toc235347391"/>
      <w:bookmarkStart w:id="31" w:name="_Toc235350901"/>
      <w:bookmarkStart w:id="32" w:name="_Toc235347568"/>
      <w:bookmarkStart w:id="33" w:name="_Toc235350900"/>
      <w:bookmarkStart w:id="34" w:name="_Toc235350902"/>
      <w:bookmarkStart w:id="35" w:name="_Toc235347567"/>
      <w:bookmarkStart w:id="36" w:name="_Toc235351193"/>
      <w:bookmarkStart w:id="37" w:name="_Toc235346782"/>
      <w:bookmarkStart w:id="38" w:name="_Toc235347468"/>
      <w:bookmarkStart w:id="39" w:name="_Toc235347571"/>
      <w:bookmarkStart w:id="40" w:name="_Toc235351194"/>
      <w:bookmarkStart w:id="41" w:name="_Toc235347470"/>
      <w:bookmarkStart w:id="42" w:name="_Toc235347393"/>
      <w:bookmarkStart w:id="43" w:name="_Toc235350904"/>
      <w:bookmarkStart w:id="44" w:name="_Toc235347390"/>
      <w:bookmarkStart w:id="45" w:name="_Toc235347392"/>
      <w:bookmarkStart w:id="46" w:name="_Toc235347570"/>
      <w:bookmarkStart w:id="47" w:name="_Toc235346779"/>
      <w:bookmarkStart w:id="48" w:name="_Toc235350903"/>
      <w:bookmarkStart w:id="49" w:name="_Toc235351195"/>
      <w:bookmarkStart w:id="50" w:name="_Toc235346781"/>
      <w:bookmarkStart w:id="51" w:name="_Toc235351196"/>
      <w:bookmarkStart w:id="52" w:name="_Toc235351192"/>
      <w:bookmarkStart w:id="53" w:name="_Toc235347471"/>
      <w:bookmarkStart w:id="54" w:name="_Toc235347469"/>
      <w:bookmarkStart w:id="55" w:name="_Toc235347467"/>
      <w:bookmarkStart w:id="56" w:name="_Toc235347569"/>
      <w:bookmarkStart w:id="57" w:name="_Toc235347394"/>
      <w:bookmarkStart w:id="58" w:name="_Toc235346780"/>
      <w:bookmarkStart w:id="59" w:name="_Toc69041138"/>
      <w:bookmarkStart w:id="60" w:name="_Toc76558182"/>
      <w:bookmarkStart w:id="61" w:name="_Toc240214083"/>
      <w:bookmarkStart w:id="62" w:name="_Hlk157261415"/>
      <w:bookmarkStart w:id="63" w:name="_Toc24143222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sidRPr="00DE5E47">
        <w:rPr>
          <w:rFonts w:cs="Times New Roman"/>
          <w:szCs w:val="24"/>
        </w:rPr>
        <w:t xml:space="preserve">1.3 Objectives of the Study</w:t>
      </w:r>
      <w:bookmarkEnd w:id="59"/>
      <w:bookmarkEnd w:id="60"/>
      <w:bookmarkEnd w:id="61"/>
      <w:bookmarkEnd w:id="63"/>
      <w:bookmarkEnd w:id="52007"/>
    </w:p>
    <w:p w14:paraId="75F1C1EF" w14:textId="77777777" w:rsidR="00221112" w:rsidRPr="00DE5E47" w:rsidRDefault="00C14051">
      <w:pPr>
        <w:pStyle w:val="Heading3"/>
        <w:jc w:val="both"/>
        <w:outlineLvl w:val="2"/>
        <w:rPr>
          <w:rFonts w:cs="Times New Roman"/>
        </w:rPr>
      </w:pPr>
      <w:bookmarkStart w:id="52008" w:name="_Toc_8"/>
      <w:bookmarkStart w:id="64" w:name="_Toc76558183"/>
      <w:bookmarkStart w:id="65" w:name="_Toc69041139"/>
      <w:bookmarkStart w:id="66" w:name="_Toc240214084"/>
      <w:bookmarkStart w:id="67" w:name="_Toc241432221"/>
      <w:r w:rsidRPr="00DE5E47">
        <w:rPr>
          <w:rFonts w:cs="Times New Roman"/>
        </w:rPr>
        <w:t xml:space="preserve">1.3.1 General Objective</w:t>
      </w:r>
      <w:bookmarkEnd w:id="64"/>
      <w:bookmarkEnd w:id="65"/>
      <w:bookmarkEnd w:id="66"/>
      <w:bookmarkEnd w:id="67"/>
      <w:bookmarkEnd w:id="52008"/>
    </w:p>
    <w:p w14:paraId="56A9EDBA"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5011D4CE" w14:textId="77777777" w:rsidR="00221112" w:rsidRPr="00DE5E47" w:rsidRDefault="00C14051">
      <w:pPr>
        <w:pStyle w:val="Heading3"/>
        <w:jc w:val="both"/>
        <w:outlineLvl w:val="2"/>
        <w:rPr>
          <w:rFonts w:cs="Times New Roman"/>
        </w:rPr>
      </w:pPr>
      <w:bookmarkStart w:id="52009" w:name="_Toc_9"/>
      <w:bookmarkStart w:id="68" w:name="_Toc240214085"/>
      <w:bookmarkStart w:id="69" w:name="_Toc241432222"/>
      <w:r w:rsidRPr="00DE5E47">
        <w:rPr>
          <w:rFonts w:cs="Times New Roman"/>
        </w:rPr>
        <w:t xml:space="preserve">1.3.2 Specific objectives</w:t>
      </w:r>
      <w:bookmarkEnd w:id="68"/>
      <w:bookmarkEnd w:id="69"/>
      <w:bookmarkEnd w:id="52009"/>
    </w:p>
    <w:p w14:paraId="571DD3AD" w14:textId="77777777" w:rsidR="00221112" w:rsidRPr="00DE5E47" w:rsidRDefault="00C14051">
      <w:pPr>
        <w:spacing w:line="480" w:lineRule="auto"/>
        <w:jc w:val="both"/>
        <w:rPr>
          <w:rFonts w:cs="Times New Roman"/>
          <w:sz w:val="24"/>
          <w:szCs w:val="24"/>
        </w:rPr>
      </w:pPr>
      <w:r>
        <w:t>The study addressed the following specific objectives:</w:t>
      </w:r>
    </w:p>
    <w:p w14:paraId="2E4E82D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14FD6624"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5844413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4D873938" w14:textId="77777777" w:rsidR="00DD0A67" w:rsidRPr="00DE5E47" w:rsidRDefault="00DD0A67" w:rsidP="00DD0A67">
      <w:pPr>
        <w:tabs>
          <w:tab w:val="left" w:pos="2136"/>
        </w:tabs>
        <w:rPr>
          <w:rFonts w:cs="Times New Roman"/>
          <w:sz w:val="24"/>
          <w:szCs w:val="24"/>
        </w:rPr>
        <w:sectPr w:rsidR="00DD0A67" w:rsidRPr="00DE5E47">
          <w:footerReference w:type="default" r:id="rId12"/>
          <w:pgSz w:w="12240" w:h="15840"/>
          <w:pgMar w:top="1440" w:right="1440" w:bottom="1440" w:left="1440" w:header="504" w:footer="504" w:gutter="0"/>
          <w:cols w:space="720"/>
          <w:docGrid w:linePitch="360"/>
        </w:sectPr>
      </w:pPr>
      <w:r w:rsidRPr="00DE5E47">
        <w:rPr>
          <w:rFonts w:cs="Times New Roman"/>
          <w:sz w:val="24"/>
          <w:szCs w:val="24"/>
        </w:rPr>
        <w:tab/>
      </w:r>
    </w:p>
    <w:p w14:paraId="57AAE971" w14:textId="77777777" w:rsidR="00221112" w:rsidRPr="00DE5E47" w:rsidRDefault="00C14051">
      <w:pPr>
        <w:pStyle w:val="Heading2"/>
        <w:jc w:val="both"/>
        <w:outlineLvl w:val="1"/>
        <w:rPr>
          <w:rFonts w:cs="Times New Roman"/>
          <w:szCs w:val="24"/>
        </w:rPr>
      </w:pPr>
      <w:bookmarkStart w:id="52010" w:name="_Toc_10"/>
      <w:bookmarkStart w:id="70" w:name="_Toc76558184"/>
      <w:bookmarkStart w:id="71" w:name="_Toc69041140"/>
      <w:bookmarkStart w:id="72" w:name="_Toc240214086"/>
      <w:bookmarkStart w:id="73" w:name="_Toc241432223"/>
      <w:r w:rsidRPr="00DE5E47">
        <w:rPr>
          <w:rFonts w:cs="Times New Roman"/>
          <w:szCs w:val="24"/>
        </w:rPr>
        <w:lastRenderedPageBreak/>
        <w:t xml:space="preserve">1.4 Research Questions</w:t>
      </w:r>
      <w:bookmarkEnd w:id="70"/>
      <w:bookmarkEnd w:id="71"/>
      <w:bookmarkEnd w:id="72"/>
      <w:bookmarkEnd w:id="73"/>
      <w:bookmarkEnd w:id="52010"/>
    </w:p>
    <w:p w14:paraId="52CA748F"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3BE669FE"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117CF929"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026F631B" w14:textId="77777777" w:rsidR="00221112" w:rsidRPr="00DE5E47" w:rsidRDefault="00C14051">
      <w:pPr>
        <w:pStyle w:val="Heading2"/>
        <w:jc w:val="both"/>
        <w:outlineLvl w:val="1"/>
        <w:rPr>
          <w:rFonts w:cs="Times New Roman"/>
          <w:szCs w:val="24"/>
        </w:rPr>
      </w:pPr>
      <w:bookmarkStart w:id="52011" w:name="_Toc_11"/>
      <w:bookmarkStart w:id="74" w:name="_Toc240214087"/>
      <w:bookmarkStart w:id="75" w:name="_Toc241432224"/>
      <w:bookmarkEnd w:id="62"/>
      <w:r w:rsidRPr="00DE5E47">
        <w:rPr>
          <w:rFonts w:cs="Times New Roman"/>
          <w:szCs w:val="24"/>
        </w:rPr>
        <w:t xml:space="preserve">1.5 Significance of the study</w:t>
      </w:r>
      <w:bookmarkEnd w:id="74"/>
      <w:bookmarkEnd w:id="75"/>
      <w:bookmarkEnd w:id="52011"/>
    </w:p>
    <w:p w14:paraId="0639A1AF"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BFC63C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4C8BE840" w14:textId="77777777" w:rsidR="00221112" w:rsidRPr="00DE5E47" w:rsidRDefault="00C14051">
      <w:pPr>
        <w:pStyle w:val="NormalWeb"/>
        <w:spacing w:line="480" w:lineRule="auto"/>
        <w:jc w:val="both"/>
      </w:pPr>
      <w:r>
        <w:t>For fishers and traders, the results provide a basis for clearer grades, more transparent prices and better live-crab handling. They also show where transport, packaging and payment arrangements may expose actors to avoidable loss or dependence.</w:t>
      </w:r>
    </w:p>
    <w:p w14:paraId="2E59C7A0" w14:textId="77777777" w:rsidR="00221112" w:rsidRPr="00DE5E47" w:rsidRDefault="00C14051">
      <w:pPr>
        <w:pStyle w:val="NormalWeb"/>
        <w:spacing w:line="480" w:lineRule="auto"/>
        <w:jc w:val="both"/>
      </w:pPr>
      <w:r>
        <w:t>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454C1FF0"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147219B9"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78519862" w14:textId="77777777" w:rsidR="00221112" w:rsidRPr="00DE5E47" w:rsidRDefault="00C14051">
      <w:pPr>
        <w:pStyle w:val="Heading1"/>
        <w:ind w:left="2977"/>
        <w:jc w:val="both"/>
        <w:outlineLvl w:val="0"/>
        <w:rPr>
          <w:rFonts w:cs="Times New Roman"/>
          <w:szCs w:val="24"/>
        </w:rPr>
      </w:pPr>
      <w:bookmarkStart w:id="52012" w:name="_Toc_12"/>
      <w:bookmarkStart w:id="76" w:name="_Toc69041142"/>
      <w:bookmarkStart w:id="77" w:name="_Toc76558186"/>
      <w:bookmarkStart w:id="78" w:name="_Toc240214088"/>
      <w:bookmarkStart w:id="79" w:name="_Toc241432225"/>
      <w:r w:rsidRPr="00DE5E47">
        <w:rPr>
          <w:rFonts w:cs="Times New Roman"/>
          <w:szCs w:val="24"/>
        </w:rPr>
        <w:lastRenderedPageBreak/>
        <w:t xml:space="preserve">CHAPTER TWO: LITERATURE REVIEW</w:t>
      </w:r>
      <w:bookmarkStart w:id="80" w:name="_Toc69041143"/>
      <w:bookmarkStart w:id="81" w:name="_Toc76558187"/>
      <w:bookmarkEnd w:id="76"/>
      <w:bookmarkEnd w:id="77"/>
      <w:bookmarkEnd w:id="78"/>
      <w:bookmarkEnd w:id="79"/>
      <w:bookmarkEnd w:id="52012"/>
    </w:p>
    <w:p w14:paraId="6D4FE10F" w14:textId="77777777" w:rsidR="00221112" w:rsidRPr="00DE5E47" w:rsidRDefault="00C14051">
      <w:pPr>
        <w:pStyle w:val="Heading2"/>
        <w:jc w:val="both"/>
        <w:outlineLvl w:val="1"/>
        <w:rPr>
          <w:rFonts w:cs="Times New Roman"/>
          <w:szCs w:val="24"/>
        </w:rPr>
      </w:pPr>
      <w:bookmarkStart w:id="52013" w:name="_Toc_13"/>
      <w:bookmarkStart w:id="82" w:name="_Toc228037540"/>
      <w:bookmarkStart w:id="83" w:name="_Toc228027949"/>
      <w:bookmarkStart w:id="84" w:name="_Toc228036125"/>
      <w:bookmarkStart w:id="85" w:name="_Toc228027728"/>
      <w:bookmarkStart w:id="86" w:name="_Toc228034521"/>
      <w:bookmarkStart w:id="87" w:name="_Toc228034705"/>
      <w:bookmarkStart w:id="88" w:name="_Toc228026076"/>
      <w:bookmarkStart w:id="89" w:name="_Toc228037385"/>
      <w:bookmarkStart w:id="90" w:name="_Toc228034166"/>
      <w:bookmarkStart w:id="91" w:name="_Toc228026151"/>
      <w:bookmarkStart w:id="92" w:name="_Toc228027805"/>
      <w:bookmarkStart w:id="93" w:name="_Toc228037462"/>
      <w:bookmarkStart w:id="94" w:name="_Toc228037306"/>
      <w:bookmarkStart w:id="95" w:name="_Toc228037618"/>
      <w:bookmarkStart w:id="96" w:name="_Toc240214089"/>
      <w:bookmarkStart w:id="97" w:name="_Toc241432226"/>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DE5E47">
        <w:rPr>
          <w:rFonts w:cs="Times New Roman"/>
          <w:szCs w:val="24"/>
        </w:rPr>
        <w:t xml:space="preserve">2.1 Species biology and Ecological importance</w:t>
      </w:r>
      <w:bookmarkEnd w:id="96"/>
      <w:bookmarkEnd w:id="97"/>
      <w:bookmarkEnd w:id="52013"/>
    </w:p>
    <w:p w14:paraId="2C79E739"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pPr>
        <w:spacing w:line="240" w:lineRule="auto" w:after="60"/>
      </w:pPr>
      <w:bookmarkStart w:id="41001" w:name="_Fig1"/>
      <w:r>
        <w:rPr>
          <w:rFonts w:ascii="Times New Roman" w:hAnsi="Times New Roman" w:cs="Times New Roman"/>
          <w:b/>
          <w:sz w:val="24"/>
          <w:szCs w:val="24"/>
          <w:color w:val="000000"/>
        </w:rPr>
        <w:t xml:space="preserve">Figure 1</w:t>
      </w:r>
      <w:bookmarkEnd w:id="41001"/>
    </w:p>
    <w:p>
      <w:pPr>
        <w:spacing w:line="240" w:lineRule="auto" w:after="60"/>
      </w:pPr>
      <w:r>
        <w:rPr>
          <w:rFonts w:ascii="Times New Roman" w:hAnsi="Times New Roman" w:cs="Times New Roman"/>
          <w:i/>
          <w:sz w:val="24"/>
          <w:szCs w:val="24"/>
          <w:color w:val="000000"/>
        </w:rPr>
        <w:t xml:space="preserve">Mangrove mud crab (Scylla serrata)</w:t>
      </w:r>
    </w:p>
    <w:p w14:paraId="5BA84967"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3">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529B72C3" w14:textId="77777777" w:rsidR="00DD0A67" w:rsidRPr="00DE5E47" w:rsidRDefault="00DD0A67" w:rsidP="00DD0A67">
      <w:pPr>
        <w:rPr>
          <w:rFonts w:cs="Times New Roman"/>
          <w:sz w:val="24"/>
          <w:szCs w:val="24"/>
        </w:rPr>
      </w:pPr>
    </w:p>
    <w:p w14:paraId="308E78B5" w14:textId="77777777" w:rsidR="00221112" w:rsidRPr="00DE5E47" w:rsidRDefault="00C14051">
      <w:pPr>
        <w:pStyle w:val="Heading2"/>
        <w:jc w:val="both"/>
        <w:outlineLvl w:val="1"/>
        <w:rPr>
          <w:rFonts w:eastAsia="Times New Roman" w:cs="Times New Roman"/>
          <w:szCs w:val="24"/>
        </w:rPr>
      </w:pPr>
      <w:bookmarkStart w:id="52014" w:name="_Toc_14"/>
      <w:bookmarkStart w:id="98" w:name="_Toc240214090"/>
      <w:bookmarkStart w:id="99" w:name="_Toc241432227"/>
      <w:r w:rsidRPr="00DE5E47">
        <w:rPr>
          <w:rFonts w:eastAsia="Times New Roman" w:cs="Times New Roman"/>
          <w:szCs w:val="24"/>
        </w:rPr>
        <w:t xml:space="preserve">2.2 Mud crab harvesting strategies</w:t>
      </w:r>
      <w:bookmarkEnd w:id="98"/>
      <w:bookmarkEnd w:id="99"/>
      <w:bookmarkEnd w:id="52014"/>
    </w:p>
    <w:p w14:paraId="64B997BC" w14:textId="77777777" w:rsidR="00221112" w:rsidRPr="00DE5E47" w:rsidRDefault="00C14051">
      <w:pPr>
        <w:spacing w:after="200" w:line="480" w:lineRule="auto"/>
        <w:jc w:val="both"/>
        <w:rPr>
          <w:rFonts w:eastAsia="Times New Roman" w:cs="Times New Roman"/>
          <w:kern w:val="0"/>
          <w:sz w:val="24"/>
          <w:szCs w:val="24"/>
          <w14:ligatures w14:val="none"/>
        </w:rPr>
      </w:pPr>
      <w:r>
        <w:t>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sale and smaller animals for culture. Harvesting is concentrated around low spring tides, when mangrove areas are accessible (Moser et al., 2005).</w:t>
      </w:r>
      <w:r/>
    </w:p>
    <w:p w14:paraId="3EFEFB49"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56FB0040"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76458431" w14:textId="77777777" w:rsidR="00221112" w:rsidRPr="00DE5E47" w:rsidRDefault="00C14051">
      <w:pPr>
        <w:pStyle w:val="Heading2"/>
        <w:jc w:val="both"/>
        <w:outlineLvl w:val="1"/>
        <w:rPr>
          <w:rFonts w:cs="Times New Roman"/>
          <w:szCs w:val="24"/>
        </w:rPr>
      </w:pPr>
      <w:bookmarkStart w:id="52015" w:name="_Toc_15"/>
      <w:bookmarkStart w:id="100" w:name="_Toc240214091"/>
      <w:bookmarkStart w:id="101" w:name="_Toc241432228"/>
      <w:r w:rsidRPr="00DE5E47">
        <w:rPr>
          <w:rFonts w:cs="Times New Roman"/>
          <w:szCs w:val="24"/>
        </w:rPr>
        <w:t xml:space="preserve">2.3 Overview of mud crab fisheries and market structure</w:t>
      </w:r>
      <w:bookmarkEnd w:id="100"/>
      <w:bookmarkEnd w:id="101"/>
      <w:bookmarkEnd w:id="52015"/>
    </w:p>
    <w:p w14:paraId="63ED500C"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224CD21"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8DE2C9F" w14:textId="77777777" w:rsidR="00221112" w:rsidRPr="00DE5E47" w:rsidRDefault="00C14051">
      <w:pPr>
        <w:pStyle w:val="Heading2"/>
        <w:jc w:val="both"/>
        <w:outlineLvl w:val="1"/>
        <w:rPr>
          <w:rFonts w:cs="Times New Roman"/>
          <w:szCs w:val="24"/>
        </w:rPr>
      </w:pPr>
      <w:bookmarkStart w:id="52016" w:name="_Toc_16"/>
      <w:bookmarkStart w:id="102" w:name="_Toc240214092"/>
      <w:bookmarkStart w:id="103" w:name="_Toc241432229"/>
      <w:r w:rsidRPr="00DE5E47">
        <w:rPr>
          <w:rFonts w:cs="Times New Roman"/>
          <w:szCs w:val="24"/>
        </w:rPr>
        <w:t xml:space="preserve">2.4 Mud crab fishery actors and their characteristics</w:t>
      </w:r>
      <w:bookmarkEnd w:id="102"/>
      <w:bookmarkEnd w:id="103"/>
      <w:bookmarkEnd w:id="52016"/>
    </w:p>
    <w:p w14:paraId="7E62D47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mud crab fishery involves fishers, brokers or middlemen, traders, wholesalers, retailers and final buyers. Fishers are typically small-scale operators who depend directly on mangrove habitats and use hand collection or simple gear (Mirera et al., 2013). Other actors aggregate, grade, transport, process or sell the catch.</w:t>
      </w:r>
      <w:r/>
    </w:p>
    <w:p w14:paraId="307D80B8"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59BFE231" w14:textId="77777777" w:rsidR="00221112" w:rsidRPr="00DE5E47" w:rsidRDefault="00C14051">
      <w:pPr>
        <w:pStyle w:val="Heading2"/>
        <w:jc w:val="both"/>
        <w:outlineLvl w:val="1"/>
        <w:rPr>
          <w:rFonts w:cs="Times New Roman"/>
          <w:szCs w:val="24"/>
        </w:rPr>
      </w:pPr>
      <w:bookmarkStart w:id="52017" w:name="_Toc_17"/>
      <w:bookmarkStart w:id="104" w:name="_Toc240214093"/>
      <w:bookmarkStart w:id="105" w:name="_Toc241432230"/>
      <w:r w:rsidRPr="00DE5E47">
        <w:rPr>
          <w:rFonts w:cs="Times New Roman"/>
          <w:szCs w:val="24"/>
        </w:rPr>
        <w:t xml:space="preserve">2.5 Functions of actors at different market levels</w:t>
      </w:r>
      <w:bookmarkEnd w:id="104"/>
      <w:bookmarkEnd w:id="105"/>
      <w:bookmarkEnd w:id="52017"/>
    </w:p>
    <w:p w14:paraId="3155595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251AC9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0256B6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53A92AE9"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1BE0001F" w14:textId="77777777" w:rsidR="00221112" w:rsidRPr="00DE5E47" w:rsidRDefault="00C14051">
      <w:pPr>
        <w:pStyle w:val="Heading2"/>
        <w:jc w:val="both"/>
        <w:outlineLvl w:val="1"/>
        <w:rPr>
          <w:rFonts w:eastAsia="Times New Roman" w:cs="Times New Roman"/>
          <w:szCs w:val="24"/>
        </w:rPr>
      </w:pPr>
      <w:bookmarkStart w:id="52018" w:name="_Toc_18"/>
      <w:bookmarkStart w:id="106" w:name="_Toc240214094"/>
      <w:bookmarkStart w:id="107" w:name="_Toc241432231"/>
      <w:r w:rsidRPr="00DE5E47">
        <w:rPr>
          <w:rFonts w:eastAsia="Times New Roman" w:cs="Times New Roman"/>
          <w:szCs w:val="24"/>
        </w:rPr>
        <w:lastRenderedPageBreak/>
        <w:t xml:space="preserve">2.6 Business dynamics of the mud crab fishery</w:t>
      </w:r>
      <w:bookmarkEnd w:id="106"/>
      <w:bookmarkEnd w:id="107"/>
      <w:bookmarkEnd w:id="52018"/>
    </w:p>
    <w:p w14:paraId="7B7156B6" w14:textId="77777777" w:rsidR="00221112" w:rsidRPr="00DE5E47" w:rsidRDefault="00C14051">
      <w:pPr>
        <w:pStyle w:val="Heading3"/>
        <w:jc w:val="both"/>
        <w:outlineLvl w:val="2"/>
        <w:rPr>
          <w:rFonts w:eastAsia="Times New Roman" w:cs="Times New Roman"/>
          <w:kern w:val="36"/>
        </w:rPr>
      </w:pPr>
      <w:bookmarkStart w:id="52019" w:name="_Toc_19"/>
      <w:r w:rsidRPr="00DE5E47">
        <w:rPr>
          <w:rFonts w:eastAsia="Times New Roman" w:cs="Times New Roman"/>
        </w:rPr>
        <w:t xml:space="preserve">2.6.1 Overview of mud crab business dynamics</w:t>
      </w:r>
      <w:bookmarkStart w:id="108" w:name="_Toc240214095"/>
      <w:bookmarkStart w:id="109" w:name="_Toc241432232"/>
      <w:bookmarkEnd w:id="108"/>
      <w:bookmarkEnd w:id="109"/>
      <w:bookmarkEnd w:id="52019"/>
    </w:p>
    <w:p w14:paraId="46187FD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34EC974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737509AF" w14:textId="77777777" w:rsidR="00221112" w:rsidRPr="00DE5E47" w:rsidRDefault="00C14051">
      <w:pPr>
        <w:pStyle w:val="Heading3"/>
        <w:jc w:val="both"/>
        <w:outlineLvl w:val="2"/>
        <w:rPr>
          <w:rFonts w:eastAsia="Times New Roman" w:cs="Times New Roman"/>
        </w:rPr>
      </w:pPr>
      <w:bookmarkStart w:id="52020" w:name="_Toc_20"/>
      <w:r w:rsidRPr="00DE5E47">
        <w:rPr>
          <w:rFonts w:eastAsia="Times New Roman" w:cs="Times New Roman"/>
        </w:rPr>
        <w:t xml:space="preserve">2.6.2 Grading of mud crabs</w:t>
      </w:r>
      <w:bookmarkStart w:id="110" w:name="_Toc240214096"/>
      <w:bookmarkStart w:id="111" w:name="_Toc241432233"/>
      <w:bookmarkEnd w:id="110"/>
      <w:bookmarkEnd w:id="111"/>
      <w:bookmarkEnd w:id="52020"/>
    </w:p>
    <w:p w14:paraId="6C017EE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106F29C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13A2B5DA" w14:textId="77777777" w:rsidR="00221112" w:rsidRPr="00DE5E47" w:rsidRDefault="00C14051">
      <w:pPr>
        <w:pStyle w:val="Heading3"/>
        <w:jc w:val="both"/>
        <w:outlineLvl w:val="2"/>
        <w:rPr>
          <w:rFonts w:eastAsia="Times New Roman" w:cs="Times New Roman"/>
        </w:rPr>
      </w:pPr>
      <w:bookmarkStart w:id="52021" w:name="_Toc_21"/>
      <w:r w:rsidRPr="00DE5E47">
        <w:rPr>
          <w:rFonts w:eastAsia="Times New Roman" w:cs="Times New Roman"/>
        </w:rPr>
        <w:t xml:space="preserve">2.6.3 Pricing of mud crabs</w:t>
      </w:r>
      <w:bookmarkStart w:id="112" w:name="_Toc240214097"/>
      <w:bookmarkStart w:id="113" w:name="_Toc241432234"/>
      <w:bookmarkEnd w:id="112"/>
      <w:bookmarkEnd w:id="113"/>
      <w:bookmarkEnd w:id="52021"/>
    </w:p>
    <w:p w14:paraId="642717A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AC348F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40D4249F" w14:textId="77777777" w:rsidR="00221112" w:rsidRPr="00DE5E47" w:rsidRDefault="00C14051">
      <w:pPr>
        <w:pStyle w:val="Heading3"/>
        <w:jc w:val="both"/>
        <w:outlineLvl w:val="2"/>
        <w:rPr>
          <w:rFonts w:eastAsia="Times New Roman" w:cs="Times New Roman"/>
        </w:rPr>
      </w:pPr>
      <w:bookmarkStart w:id="52022" w:name="_Toc_22"/>
      <w:r w:rsidRPr="00DE5E47">
        <w:rPr>
          <w:rFonts w:eastAsia="Times New Roman" w:cs="Times New Roman"/>
        </w:rPr>
        <w:t xml:space="preserve">2.6.4 Transport of mud crabs</w:t>
      </w:r>
      <w:bookmarkStart w:id="114" w:name="_Toc240214098"/>
      <w:bookmarkStart w:id="115" w:name="_Toc241432235"/>
      <w:bookmarkEnd w:id="114"/>
      <w:bookmarkEnd w:id="115"/>
      <w:bookmarkEnd w:id="52022"/>
    </w:p>
    <w:p w14:paraId="258DB44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484959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100A040" w14:textId="77777777" w:rsidR="00221112" w:rsidRPr="00DE5E47" w:rsidRDefault="00C14051">
      <w:pPr>
        <w:pStyle w:val="Heading3"/>
        <w:jc w:val="both"/>
        <w:outlineLvl w:val="2"/>
        <w:rPr>
          <w:rFonts w:eastAsia="Times New Roman" w:cs="Times New Roman"/>
        </w:rPr>
      </w:pPr>
      <w:bookmarkStart w:id="52023" w:name="_Toc_23"/>
      <w:r w:rsidRPr="00DE5E47">
        <w:rPr>
          <w:rFonts w:eastAsia="Times New Roman" w:cs="Times New Roman"/>
        </w:rPr>
        <w:t xml:space="preserve">2.6.5 Packaging of mud crabs</w:t>
      </w:r>
      <w:bookmarkStart w:id="116" w:name="_Toc240214099"/>
      <w:bookmarkStart w:id="117" w:name="_Toc241432236"/>
      <w:bookmarkEnd w:id="116"/>
      <w:bookmarkEnd w:id="117"/>
      <w:bookmarkEnd w:id="52023"/>
    </w:p>
    <w:p w14:paraId="50108F8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265E93B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56C33B" w14:textId="77777777" w:rsidR="00221112" w:rsidRPr="00DE5E47" w:rsidRDefault="00C14051">
      <w:pPr>
        <w:pStyle w:val="Heading3"/>
        <w:jc w:val="both"/>
        <w:outlineLvl w:val="2"/>
        <w:rPr>
          <w:rFonts w:eastAsia="Times New Roman" w:cs="Times New Roman"/>
        </w:rPr>
      </w:pPr>
      <w:bookmarkStart w:id="52024" w:name="_Toc_24"/>
      <w:r w:rsidRPr="00DE5E47">
        <w:rPr>
          <w:rFonts w:eastAsia="Times New Roman" w:cs="Times New Roman"/>
        </w:rPr>
        <w:lastRenderedPageBreak/>
        <w:t xml:space="preserve">2.6.6 Modes of payment in the mud crab trade</w:t>
      </w:r>
      <w:bookmarkStart w:id="118" w:name="_Toc240214100"/>
      <w:bookmarkStart w:id="119" w:name="_Toc241432237"/>
      <w:bookmarkEnd w:id="118"/>
      <w:bookmarkEnd w:id="119"/>
      <w:bookmarkEnd w:id="52024"/>
    </w:p>
    <w:p w14:paraId="3C8C74CB"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736958B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2B7DAE44" w14:textId="77777777" w:rsidR="00221112" w:rsidRPr="00DE5E47" w:rsidRDefault="00C14051">
      <w:pPr>
        <w:pStyle w:val="Heading2"/>
        <w:jc w:val="both"/>
        <w:outlineLvl w:val="1"/>
        <w:rPr>
          <w:rFonts w:eastAsia="Times New Roman" w:cs="Times New Roman"/>
          <w:szCs w:val="24"/>
        </w:rPr>
      </w:pPr>
      <w:bookmarkStart w:id="52025" w:name="_Toc_25"/>
      <w:r w:rsidRPr="00DE5E47">
        <w:rPr>
          <w:rFonts w:eastAsia="Times New Roman" w:cs="Times New Roman"/>
          <w:szCs w:val="24"/>
        </w:rPr>
        <w:t xml:space="preserve">2.7 Constraints faced by mud crab fishery actors</w:t>
      </w:r>
      <w:bookmarkStart w:id="120" w:name="_Toc240214101"/>
      <w:bookmarkStart w:id="121" w:name="_Toc241432238"/>
      <w:bookmarkEnd w:id="120"/>
      <w:bookmarkEnd w:id="121"/>
      <w:bookmarkEnd w:id="52025"/>
    </w:p>
    <w:p w14:paraId="0F93205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1A4BDDC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6B87FC06" w14:textId="77777777" w:rsidR="00221112" w:rsidRPr="00DE5E47" w:rsidRDefault="00C14051">
      <w:pPr>
        <w:pStyle w:val="Heading2"/>
        <w:jc w:val="both"/>
        <w:outlineLvl w:val="1"/>
        <w:rPr>
          <w:rFonts w:eastAsia="Times New Roman" w:cs="Times New Roman"/>
          <w:szCs w:val="24"/>
        </w:rPr>
      </w:pPr>
      <w:bookmarkStart w:id="52026" w:name="_Toc_26"/>
      <w:bookmarkStart w:id="122" w:name="_Toc240214102"/>
      <w:bookmarkStart w:id="123" w:name="_Toc241432239"/>
      <w:r w:rsidRPr="00DE5E47">
        <w:rPr>
          <w:rFonts w:eastAsia="Times New Roman" w:cs="Times New Roman"/>
          <w:szCs w:val="24"/>
        </w:rPr>
        <w:t xml:space="preserve">2.8 Opportunities in the mud crab fishery</w:t>
      </w:r>
      <w:bookmarkEnd w:id="122"/>
      <w:bookmarkEnd w:id="123"/>
      <w:bookmarkEnd w:id="52026"/>
    </w:p>
    <w:p w14:paraId="5ADC5F20"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533A2CA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9D027A8" w14:textId="77777777" w:rsidR="00221112" w:rsidRPr="00DE5E47" w:rsidRDefault="00C14051">
      <w:pPr>
        <w:pStyle w:val="Heading2"/>
        <w:jc w:val="both"/>
        <w:outlineLvl w:val="1"/>
        <w:rPr>
          <w:rFonts w:eastAsia="Times New Roman" w:cs="Times New Roman"/>
          <w:szCs w:val="24"/>
        </w:rPr>
      </w:pPr>
      <w:bookmarkStart w:id="52027" w:name="_Toc_27"/>
      <w:bookmarkStart w:id="124" w:name="_Toc240214103"/>
      <w:bookmarkStart w:id="125" w:name="_Toc241432240"/>
      <w:r w:rsidRPr="00DE5E47">
        <w:rPr>
          <w:rFonts w:eastAsia="Times New Roman" w:cs="Times New Roman"/>
          <w:szCs w:val="24"/>
        </w:rPr>
        <w:t xml:space="preserve">2.9 Legal and policy frameworks governing mud crab fishery in Kenya</w:t>
      </w:r>
      <w:bookmarkEnd w:id="124"/>
      <w:bookmarkEnd w:id="125"/>
      <w:bookmarkEnd w:id="52027"/>
    </w:p>
    <w:p w14:paraId="418E572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0CB3895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5EA93562"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1C71DBD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E7A6569" w14:textId="77777777" w:rsidR="00221112" w:rsidRPr="00DE5E47" w:rsidRDefault="00C14051">
      <w:pPr>
        <w:pStyle w:val="Heading2"/>
        <w:jc w:val="both"/>
        <w:outlineLvl w:val="1"/>
        <w:rPr>
          <w:rFonts w:cs="Times New Roman"/>
          <w:szCs w:val="24"/>
        </w:rPr>
      </w:pPr>
      <w:bookmarkStart w:id="52028" w:name="_Toc_28"/>
      <w:r w:rsidRPr="00DE5E47">
        <w:rPr>
          <w:rFonts w:cs="Times New Roman"/>
          <w:szCs w:val="24"/>
        </w:rPr>
        <w:t xml:space="preserve">2.10 Critical Assessment of the Literature</w:t>
      </w:r>
      <w:bookmarkEnd w:id="52028"/>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sections above summarise what previous studies have reported. This section asks a different question: where those studies agree, where they conflict, what their methods can and cannot support, and what remains unanswered for the South Coast.</w:t>
      </w:r>
    </w:p>
    <w:p w14:paraId="75F1C1EF" w14:textId="77777777" w:rsidR="00221112" w:rsidRPr="00DE5E47" w:rsidRDefault="00C14051">
      <w:pPr>
        <w:pStyle w:val="Heading3"/>
        <w:jc w:val="both"/>
        <w:outlineLvl w:val="2"/>
        <w:rPr>
          <w:rFonts w:cs="Times New Roman"/>
        </w:rPr>
      </w:pPr>
      <w:bookmarkStart w:id="52029" w:name="_Toc_29"/>
      <w:r w:rsidRPr="00DE5E47">
        <w:rPr>
          <w:rFonts w:cs="Times New Roman"/>
        </w:rPr>
        <w:t xml:space="preserve">2.10.1 Where the literature agrees</w:t>
      </w:r>
      <w:bookmarkEnd w:id="52029"/>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75F1C1EF" w14:textId="77777777" w:rsidR="00221112" w:rsidRPr="00DE5E47" w:rsidRDefault="00C14051">
      <w:pPr>
        <w:pStyle w:val="Heading3"/>
        <w:jc w:val="both"/>
        <w:outlineLvl w:val="2"/>
        <w:rPr>
          <w:rFonts w:cs="Times New Roman"/>
        </w:rPr>
      </w:pPr>
      <w:bookmarkStart w:id="52030" w:name="_Toc_30"/>
      <w:r w:rsidRPr="00DE5E47">
        <w:rPr>
          <w:rFonts w:cs="Times New Roman"/>
        </w:rPr>
        <w:t xml:space="preserve">2.10.2 Where the literature conflicts: the role of the middleman</w:t>
      </w:r>
      <w:bookmarkEnd w:id="52030"/>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clearest disagreement in this literature concerns whether middlemen improve or reduce the position of fishers, and it is not a disagreement that can be settled by preference.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where the seller may sell, and they treat such arrangements as a mechanism of persistent low returns.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line reaches almost the opposite conclusion. Crona et al. (2016), working in Kenya and Zanzibar, describe middlemen as a critical social-ecological link whose accumulated relational knowledge is not easily replaced, and find them widely blamed for outcomes largely determined further along the chain while themselves operating on modest turnovers and carrying the mortality risk. On that reading, removing the middleman would not transfer their margin to the fisher; it would remove a function that has to be performed by someone.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two positions are not reconcilable at the level of assertion, because they make different empirical claims: one about who captures the value, the other about what the middleman’s position actually returns once risk is accounted for. Resolving them requires the price at each node and the share each node holds, measured in the same chain. Neither study reports that for a Kenyan mud crab chain, and neither does the wider Kenyan literature. That is the first gap this study addresses.</w:t>
      </w:r>
    </w:p>
    <w:p w14:paraId="75F1C1EF" w14:textId="77777777" w:rsidR="00221112" w:rsidRPr="00DE5E47" w:rsidRDefault="00C14051">
      <w:pPr>
        <w:pStyle w:val="Heading3"/>
        <w:jc w:val="both"/>
        <w:outlineLvl w:val="2"/>
        <w:rPr>
          <w:rFonts w:cs="Times New Roman"/>
        </w:rPr>
      </w:pPr>
      <w:bookmarkStart w:id="52031" w:name="_Toc_31"/>
      <w:r w:rsidRPr="00DE5E47">
        <w:rPr>
          <w:rFonts w:cs="Times New Roman"/>
        </w:rPr>
        <w:t xml:space="preserve">2.10.3 Where the literature conflicts: what grading does</w:t>
      </w:r>
      <w:bookmarkEnd w:id="52031"/>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less openly stated disagreement concerns grading. FAO (2025) treats grading by size, weight, shell condition and claw size as a legitimate quality signal that supports price formation in a live-crab trade. Jacinto (2004) treats the same practice as a site of informational asymmetry, because a criterion the buyer applies and the seller cannot verify transfers value rather than signalling it. Both may be right simultaneously, but only if the grading rule is applied consistently and both parties can read it. Whether that condition holds has not been tested in a Kenyan mud crab market; doing so requires recording which criteria each actor category actually uses, which this study does.</w:t>
      </w:r>
    </w:p>
    <w:p w14:paraId="75F1C1EF" w14:textId="77777777" w:rsidR="00221112" w:rsidRPr="00DE5E47" w:rsidRDefault="00C14051">
      <w:pPr>
        <w:pStyle w:val="Heading3"/>
        <w:jc w:val="both"/>
        <w:outlineLvl w:val="2"/>
        <w:rPr>
          <w:rFonts w:cs="Times New Roman"/>
        </w:rPr>
      </w:pPr>
      <w:bookmarkStart w:id="52032" w:name="_Toc_32"/>
      <w:r w:rsidRPr="00DE5E47">
        <w:rPr>
          <w:rFonts w:cs="Times New Roman"/>
        </w:rPr>
        <w:t xml:space="preserve">2.10.4 Methodological limitations of previous studies</w:t>
      </w:r>
      <w:bookmarkEnd w:id="52032"/>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Four limitations recur in the work reviewed above and shape what can be claimed from it.</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first is a production focus. Much of the Kenyan mud crab literature is biological, ecological or aquacultural: stock status, nursery habitat, growth and culture performance (Mirera, 2017a, 2017b; Mirera &amp; Mosknes, 2015; Moser et al., 2005; Webley, 2008). This work is careful within its own terms but is not designed to describe exchange, and it cannot be read as evidence about prices, margins or bargaining.</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p>
    <w:p w14:paraId="75F1C1EF" w14:textId="77777777" w:rsidR="00221112" w:rsidRPr="00DE5E47" w:rsidRDefault="00C14051">
      <w:pPr>
        <w:pStyle w:val="Heading3"/>
        <w:jc w:val="both"/>
        <w:outlineLvl w:val="2"/>
        <w:rPr>
          <w:rFonts w:cs="Times New Roman"/>
        </w:rPr>
      </w:pPr>
      <w:bookmarkStart w:id="52033" w:name="_Toc_33"/>
      <w:r w:rsidRPr="00DE5E47">
        <w:rPr>
          <w:rFonts w:cs="Times New Roman"/>
        </w:rPr>
        <w:t xml:space="preserve">2.10.5 The South Coast and Kwale County: what is and is not known</w:t>
      </w:r>
      <w:bookmarkEnd w:id="52033"/>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the practice of holding crabs at home for several days until enough have accumulated for sale, which makes survival part of the marketing problem rather than only a harvesting one. Ochiewo et al. (2010) and Mirera (2014a) record the gendered division of the coastal fishery, with harvesting and first-tier trade male-dominated and women more visible in processing and trade. Fondo et al. (2020) describe the status of the mangrove mud crab fishery nationally, and Fondo and Ogutu (2021) place it within the Blue Economy agenda. Fulanda et al. (2009) and Kimani et al. (2018) supply the fisher population figures on which this study’s sampling frame rests.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Kwale County itself appears in this literature mainly as a location rather than as a subject. The one study that treats its institutions directly is Njiru et al. (2021), who examine the socioeconomic factors influencing trader participation in Beach Management Units in Kwale, and whose finding that participation varies with the trader’s own circumstances supports communication designed for particular actor groups rather than for the fishery as a whole. Beyond that, what is known about Shimoni, Majoreni, Vanga and Msambweni as markets, as opposed to as landing sites, is largely undocumented.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things follow. Prices at each node in a Kwale mud crab chain have not been reported; the grading criteria used by each actor category have not been recorded; and no study has tested whether actor characteristics, functions or constraints differ between the BMUs of this coast or are uniform across them. The regional and national literature supplies expectations on all three, but expectations formed at sector level cannot be assumed to hold at the level of a landing beach.</w:t>
      </w:r>
    </w:p>
    <w:p w14:paraId="75F1C1EF" w14:textId="77777777" w:rsidR="00221112" w:rsidRPr="00DE5E47" w:rsidRDefault="00C14051">
      <w:pPr>
        <w:pStyle w:val="Heading3"/>
        <w:jc w:val="both"/>
        <w:outlineLvl w:val="2"/>
        <w:rPr>
          <w:rFonts w:cs="Times New Roman"/>
        </w:rPr>
      </w:pPr>
      <w:bookmarkStart w:id="52034" w:name="_Toc_34"/>
      <w:r w:rsidRPr="00DE5E47">
        <w:rPr>
          <w:rFonts w:cs="Times New Roman"/>
        </w:rPr>
        <w:t xml:space="preserve">2.10.6 The research gap</w:t>
      </w:r>
      <w:bookmarkEnd w:id="52034"/>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gap this study addresses is therefore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that determines that division is shared or asymmetric; or whether any of this varies between the Beach Management Units through which the fishery is co-managed. Those three questions map onto the three objectives of this study, and answering them requires an actor-level inventory tested against site, which is the design adopted in Chapter Three.</w:t>
      </w:r>
    </w:p>
    <w:p w14:paraId="570B04B8" w14:textId="77777777" w:rsidR="00221112" w:rsidRPr="00DE5E47" w:rsidRDefault="00C14051">
      <w:pPr>
        <w:pStyle w:val="Heading2"/>
        <w:jc w:val="both"/>
        <w:outlineLvl w:val="1"/>
        <w:rPr>
          <w:rFonts w:eastAsia="Times New Roman" w:cs="Times New Roman"/>
          <w:szCs w:val="24"/>
        </w:rPr>
      </w:pPr>
      <w:bookmarkStart w:id="52035" w:name="_Toc_35"/>
      <w:bookmarkStart w:id="126" w:name="_Toc235348878"/>
      <w:bookmarkStart w:id="127" w:name="_Toc240214104"/>
      <w:bookmarkStart w:id="128" w:name="_Toc241432241"/>
      <w:r w:rsidRPr="00DE5E47">
        <w:rPr>
          <w:rFonts w:eastAsia="Times New Roman" w:cs="Times New Roman"/>
          <w:szCs w:val="24"/>
        </w:rPr>
        <w:t xml:space="preserve">2.11 Theoretical Framework</w:t>
      </w:r>
      <w:bookmarkEnd w:id="126"/>
      <w:bookmarkEnd w:id="127"/>
      <w:bookmarkEnd w:id="128"/>
      <w:bookmarkEnd w:id="52035"/>
    </w:p>
    <w:p w14:paraId="5CC0E33B"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In this study, it provides a way to connect the composition and organisation </w:t>
      </w:r>
      <w:r>
        <w:lastRenderedPageBreak/>
        <w:t>of the mud crab market with the practices observed at different nodes. The framework guides interpretation; it is not used to claim a causal sequence.</w:t>
      </w:r>
    </w:p>
    <w:p w14:paraId="6EDA26D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including reported income and prices, market access, mortality or spoilage, and perceptions of market organisation. The constraints and opportunities reported under Objective Three provide the operating context in which these patterns occur.</w:t>
      </w:r>
    </w:p>
    <w:p w14:paraId="4211398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They are not treated as a second causal theory. Livelihood research, in particular the sustainable livelihoods framework of Allison and Ellis (2001), provides background for interpreting education, experience, finance and collective membership, but the study did not measure a complete set of livelihood assets or estimate livelihood effects. Keeping SCP as the central framework matches the descriptive design and the analyses reported in Chapters Four and Five.</w:t>
      </w:r>
    </w:p>
    <w:p>
      <w:pPr>
        <w:spacing w:line="240" w:lineRule="auto" w:after="60"/>
      </w:pPr>
      <w:bookmarkStart w:id="41002" w:name="_Fig2"/>
      <w:r>
        <w:rPr>
          <w:rFonts w:ascii="Times New Roman" w:hAnsi="Times New Roman" w:cs="Times New Roman"/>
          <w:b/>
          <w:sz w:val="24"/>
          <w:szCs w:val="24"/>
          <w:color w:val="000000"/>
        </w:rPr>
        <w:t xml:space="preserve">Figure 2</w:t>
      </w:r>
      <w:bookmarkEnd w:id="41002"/>
    </w:p>
    <w:p>
      <w:pPr>
        <w:spacing w:line="240" w:lineRule="auto" w:after="60"/>
      </w:pPr>
      <w:r>
        <w:rPr>
          <w:rFonts w:ascii="Times New Roman" w:hAnsi="Times New Roman" w:cs="Times New Roman"/>
          <w:i/>
          <w:sz w:val="24"/>
          <w:szCs w:val="24"/>
          <w:color w:val="000000"/>
        </w:rPr>
        <w:t xml:space="preserve">Structure-Conduct-Performance (SCP) linkages guiding the study</w:t>
      </w:r>
    </w:p>
    <w:p w14:paraId="29D9FDFD"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4"/>
                    <a:stretch>
                      <a:fillRect/>
                    </a:stretch>
                  </pic:blipFill>
                  <pic:spPr>
                    <a:xfrm>
                      <a:off x="0" y="0"/>
                      <a:ext cx="5715000" cy="2026227"/>
                    </a:xfrm>
                    <a:prstGeom prst="rect">
                      <a:avLst/>
                    </a:prstGeom>
                  </pic:spPr>
                </pic:pic>
              </a:graphicData>
            </a:graphic>
          </wp:inline>
        </w:drawing>
      </w:r>
    </w:p>
    <w:p w14:paraId="12B9C7BB" w14:textId="77777777" w:rsidR="00221112" w:rsidRPr="00DE5E47" w:rsidRDefault="00C14051">
      <w:pPr>
        <w:pStyle w:val="Heading2"/>
        <w:jc w:val="both"/>
        <w:outlineLvl w:val="1"/>
        <w:rPr>
          <w:rFonts w:eastAsia="Times New Roman" w:cs="Times New Roman"/>
          <w:szCs w:val="24"/>
        </w:rPr>
      </w:pPr>
      <w:bookmarkStart w:id="52036" w:name="_Toc_36"/>
      <w:bookmarkStart w:id="129" w:name="_Toc235348879"/>
      <w:bookmarkStart w:id="130" w:name="_Toc240214105"/>
      <w:bookmarkStart w:id="131" w:name="_Toc241432242"/>
      <w:r w:rsidRPr="00DE5E47">
        <w:rPr>
          <w:rFonts w:eastAsia="Times New Roman" w:cs="Times New Roman"/>
          <w:szCs w:val="24"/>
        </w:rPr>
        <w:lastRenderedPageBreak/>
        <w:t xml:space="preserve">2.12 Conceptual Framework</w:t>
      </w:r>
      <w:bookmarkEnd w:id="129"/>
      <w:bookmarkEnd w:id="130"/>
      <w:bookmarkEnd w:id="131"/>
      <w:bookmarkEnd w:id="52036"/>
    </w:p>
    <w:p w14:paraId="7C2FFEC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584E6B84"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One describes market structure and actor profiles using actor category, BMU or site, age, gender, education, experience, scale of operation, licensing, collective membership, credit and related business characteristics. These variables were summarised by actor category and, where sample coverage allowed, compared across BMUs.</w:t>
      </w:r>
    </w:p>
    <w:p w14:paraId="537F8297"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Two examines conduct and functions at each node, including harvesting and sourcing, grading, handling, packaging, transport, pricing, payment, buyer relations and market research. Reported income, prices, market access and post-harvest losses are presented as descriptive market outcomes. They were not combined into a single performance index.</w:t>
      </w:r>
    </w:p>
    <w:p w14:paraId="5DC1BA5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Three describes the infrastructure, market barriers, policy awareness, risks and opportunities reported by each actor category. These conditions are interpreted alongside the structure and conduct findings. No mediation or moderation model was estimated, and the cross-sectional design does not support causal inference. Actor category and BMU are used as grouping variables for description and actor-specific association tests.</w:t>
      </w:r>
    </w:p>
    <w:p>
      <w:pPr>
        <w:spacing w:line="240" w:lineRule="auto" w:after="60"/>
      </w:pPr>
      <w:bookmarkStart w:id="41003" w:name="_Fig3"/>
      <w:r>
        <w:rPr>
          <w:rFonts w:ascii="Times New Roman" w:hAnsi="Times New Roman" w:cs="Times New Roman"/>
          <w:b/>
          <w:sz w:val="24"/>
          <w:szCs w:val="24"/>
          <w:color w:val="000000"/>
        </w:rPr>
        <w:t xml:space="preserve">Figure 3</w:t>
      </w:r>
      <w:bookmarkEnd w:id="41003"/>
    </w:p>
    <w:p>
      <w:pPr>
        <w:spacing w:line="240" w:lineRule="auto" w:after="60"/>
      </w:pPr>
      <w:r>
        <w:rPr>
          <w:rFonts w:ascii="Times New Roman" w:hAnsi="Times New Roman" w:cs="Times New Roman"/>
          <w:i/>
          <w:sz w:val="24"/>
          <w:szCs w:val="24"/>
          <w:color w:val="000000"/>
        </w:rPr>
        <w:t xml:space="preserve">Descriptive framework linking the study objectives to the analysis</w:t>
      </w:r>
    </w:p>
    <w:p w14:paraId="6C1578A2" w14:textId="77777777" w:rsidR="0095467C" w:rsidRDefault="00C247CF">
      <w:pPr>
        <w:jc w:val="center"/>
      </w:pPr>
      <w:r>
        <w:rPr>
          <w:noProof/>
        </w:rPr>
        <w:lastRenderedPageBreak/>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5"/>
                    <a:stretch>
                      <a:fillRect/>
                    </a:stretch>
                  </pic:blipFill>
                  <pic:spPr>
                    <a:xfrm>
                      <a:off x="0" y="0"/>
                      <a:ext cx="5715000" cy="3452813"/>
                    </a:xfrm>
                    <a:prstGeom prst="rect">
                      <a:avLst/>
                    </a:prstGeom>
                  </pic:spPr>
                </pic:pic>
              </a:graphicData>
            </a:graphic>
          </wp:inline>
        </w:drawing>
      </w:r>
    </w:p>
    <w:p w14:paraId="3E325249" w14:textId="77777777" w:rsidR="00DD0A67" w:rsidRPr="00DE5E47" w:rsidRDefault="00DD0A67" w:rsidP="00DD0A67">
      <w:pPr>
        <w:rPr>
          <w:rFonts w:cs="Times New Roman"/>
          <w:sz w:val="24"/>
          <w:szCs w:val="24"/>
        </w:rPr>
      </w:pPr>
    </w:p>
    <w:p w14:paraId="2B8B8AB2" w14:textId="77777777" w:rsidR="00DD0A67" w:rsidRPr="00DE5E47" w:rsidRDefault="00DD0A67" w:rsidP="00DD0A67">
      <w:pPr>
        <w:rPr>
          <w:rFonts w:cs="Times New Roman"/>
          <w:sz w:val="24"/>
          <w:szCs w:val="24"/>
        </w:rPr>
      </w:pPr>
    </w:p>
    <w:p w14:paraId="23548FC7" w14:textId="77777777" w:rsidR="00DD0A67" w:rsidRPr="00DE5E47" w:rsidRDefault="00DD0A67" w:rsidP="00DD0A67">
      <w:pPr>
        <w:rPr>
          <w:rFonts w:cs="Times New Roman"/>
          <w:sz w:val="24"/>
          <w:szCs w:val="24"/>
        </w:rPr>
      </w:pPr>
    </w:p>
    <w:p w14:paraId="7E1C9936" w14:textId="77777777" w:rsidR="00DD0A67" w:rsidRPr="00DE5E47" w:rsidRDefault="00DD0A67" w:rsidP="00DD0A67">
      <w:pPr>
        <w:rPr>
          <w:rFonts w:cs="Times New Roman"/>
          <w:sz w:val="24"/>
          <w:szCs w:val="24"/>
        </w:rPr>
      </w:pPr>
    </w:p>
    <w:p w14:paraId="2A2E973E" w14:textId="77777777" w:rsidR="00DD0A67" w:rsidRPr="00DE5E47" w:rsidRDefault="00DD0A67" w:rsidP="00DD0A67">
      <w:pPr>
        <w:rPr>
          <w:rFonts w:cs="Times New Roman"/>
          <w:sz w:val="24"/>
          <w:szCs w:val="24"/>
        </w:rPr>
      </w:pPr>
    </w:p>
    <w:p w14:paraId="586CEB48" w14:textId="77777777" w:rsidR="00DD0A67" w:rsidRPr="00DE5E47" w:rsidRDefault="00DD0A67" w:rsidP="00DD0A67">
      <w:pPr>
        <w:rPr>
          <w:rFonts w:cs="Times New Roman"/>
          <w:sz w:val="24"/>
          <w:szCs w:val="24"/>
        </w:rPr>
      </w:pPr>
    </w:p>
    <w:p w14:paraId="658B071D" w14:textId="77777777" w:rsidR="00DD0A67" w:rsidRPr="00DE5E47" w:rsidRDefault="00DD0A67" w:rsidP="00DD0A67">
      <w:pPr>
        <w:rPr>
          <w:rFonts w:cs="Times New Roman"/>
          <w:sz w:val="24"/>
          <w:szCs w:val="24"/>
        </w:rPr>
      </w:pPr>
    </w:p>
    <w:p w14:paraId="219CDB33" w14:textId="77777777" w:rsidR="00DD0A67" w:rsidRPr="00DE5E47" w:rsidRDefault="00DD0A67" w:rsidP="00DD0A67">
      <w:pPr>
        <w:rPr>
          <w:rFonts w:cs="Times New Roman"/>
          <w:sz w:val="24"/>
          <w:szCs w:val="24"/>
        </w:rPr>
      </w:pPr>
    </w:p>
    <w:p w14:paraId="1991EA14" w14:textId="77777777" w:rsidR="00DD0A67" w:rsidRPr="00DE5E47" w:rsidRDefault="00DD0A67" w:rsidP="00DD0A67">
      <w:pPr>
        <w:rPr>
          <w:rFonts w:cs="Times New Roman"/>
          <w:sz w:val="24"/>
          <w:szCs w:val="24"/>
        </w:rPr>
      </w:pPr>
    </w:p>
    <w:p w14:paraId="0DCDBDBC" w14:textId="77777777" w:rsidR="00221112" w:rsidRPr="00DE5E47" w:rsidRDefault="00C14051">
      <w:pPr>
        <w:pStyle w:val="Heading1"/>
        <w:ind w:left="1843"/>
        <w:jc w:val="both"/>
        <w:outlineLvl w:val="0"/>
        <w:rPr>
          <w:rFonts w:cs="Times New Roman"/>
          <w:szCs w:val="24"/>
        </w:rPr>
      </w:pPr>
      <w:bookmarkStart w:id="52037" w:name="_Toc_37"/>
      <w:bookmarkStart w:id="132" w:name="_1v1yuxt"/>
      <w:bookmarkStart w:id="133" w:name="_3fwokq0"/>
      <w:bookmarkStart w:id="134" w:name="_Toc235350926"/>
      <w:bookmarkStart w:id="135" w:name="_4f1mdlm"/>
      <w:bookmarkStart w:id="136" w:name="_Toc235351218"/>
      <w:bookmarkStart w:id="137" w:name="_2u6wntf"/>
      <w:bookmarkStart w:id="138" w:name="_Toc69041156"/>
      <w:bookmarkStart w:id="139" w:name="_Toc76558200"/>
      <w:bookmarkStart w:id="140" w:name="_Toc240214106"/>
      <w:bookmarkStart w:id="141" w:name="_Toc241432243"/>
      <w:bookmarkEnd w:id="80"/>
      <w:bookmarkEnd w:id="81"/>
      <w:bookmarkEnd w:id="132"/>
      <w:bookmarkEnd w:id="133"/>
      <w:bookmarkEnd w:id="134"/>
      <w:bookmarkEnd w:id="135"/>
      <w:bookmarkEnd w:id="136"/>
      <w:bookmarkEnd w:id="137"/>
      <w:r w:rsidRPr="00DE5E47">
        <w:rPr>
          <w:rFonts w:cs="Times New Roman"/>
          <w:szCs w:val="24"/>
        </w:rPr>
        <w:t xml:space="preserve">CHAPTER THREE: MATERIALS AND METHODS</w:t>
      </w:r>
      <w:bookmarkStart w:id="142" w:name="_Toc226668854"/>
      <w:bookmarkStart w:id="143" w:name="_Toc174281777"/>
      <w:bookmarkStart w:id="144" w:name="_Toc174281922"/>
      <w:bookmarkStart w:id="145" w:name="_Toc226671163"/>
      <w:bookmarkStart w:id="146" w:name="_Toc226671164"/>
      <w:bookmarkStart w:id="147" w:name="_Toc226670009"/>
      <w:bookmarkStart w:id="148" w:name="_Toc174281776"/>
      <w:bookmarkStart w:id="149" w:name="_Toc174281921"/>
      <w:bookmarkStart w:id="150" w:name="_Toc226670008"/>
      <w:bookmarkStart w:id="151" w:name="_Toc226668853"/>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52037"/>
    </w:p>
    <w:p w14:paraId="28F49F2E" w14:textId="77777777" w:rsidR="00221112" w:rsidRPr="00DE5E47" w:rsidRDefault="00C14051">
      <w:pPr>
        <w:pStyle w:val="Heading2"/>
        <w:jc w:val="both"/>
        <w:outlineLvl w:val="1"/>
        <w:rPr>
          <w:rFonts w:cs="Times New Roman"/>
          <w:szCs w:val="24"/>
        </w:rPr>
      </w:pPr>
      <w:bookmarkStart w:id="52038" w:name="_Toc_38"/>
      <w:bookmarkStart w:id="152" w:name="_Toc241432244"/>
      <w:r>
        <w:t>3.1 Introduction</w:t>
      </w:r>
      <w:bookmarkEnd w:id="152"/>
      <w:bookmarkEnd w:id="52038"/>
    </w:p>
    <w:p w14:paraId="4B8B5EEF"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3CC5CBA5" w14:textId="77777777" w:rsidR="00221112" w:rsidRPr="00DE5E47" w:rsidRDefault="00C14051">
      <w:pPr>
        <w:pStyle w:val="Heading2"/>
        <w:jc w:val="both"/>
        <w:outlineLvl w:val="1"/>
        <w:rPr>
          <w:rFonts w:cs="Times New Roman"/>
          <w:szCs w:val="24"/>
        </w:rPr>
      </w:pPr>
      <w:bookmarkStart w:id="52039" w:name="_Toc_39"/>
      <w:bookmarkStart w:id="153" w:name="_Toc241432245"/>
      <w:r>
        <w:lastRenderedPageBreak/>
        <w:t>3.2 Study site</w:t>
      </w:r>
      <w:bookmarkEnd w:id="153"/>
      <w:bookmarkEnd w:id="52039"/>
    </w:p>
    <w:p w14:paraId="0B224419" w14:textId="77777777" w:rsidR="00221112" w:rsidRPr="00DE5E47" w:rsidRDefault="00C14051">
      <w:pPr>
        <w:spacing w:line="480" w:lineRule="auto"/>
        <w:jc w:val="both"/>
        <w:rPr>
          <w:rFonts w:cs="Times New Roman"/>
          <w:b/>
          <w:sz w:val="24"/>
          <w:szCs w:val="24"/>
        </w:rPr>
      </w:pPr>
      <w:r>
        <w:t>The study was conducted on the South Coast of Kenya, mainly in Kwale County, between latitudes 3.05 degrees and 4.75 degrees South and longitudes 38.52 degrees and 39.51 degrees East (Figure 4). The county covers about 8,270.2 square kilometres and includes a coastal strip extending from Likoni to Vanga.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mangroves on foot or by canoe and use hand collection, baited traps and other simple gear. Year-round access to the habitat makes mud crab fishing an important source of cash income for some coastal households.</w:t>
      </w:r>
    </w:p>
    <w:p w14:paraId="3C9B2DAD" w14:textId="77777777" w:rsidR="00221112" w:rsidRPr="00DE5E47" w:rsidRDefault="00C14051">
      <w:pPr>
        <w:spacing w:line="480" w:lineRule="auto"/>
        <w:jc w:val="both"/>
        <w:rPr>
          <w:rFonts w:cs="Times New Roman"/>
          <w:sz w:val="24"/>
          <w:szCs w:val="24"/>
        </w:rPr>
      </w:pPr>
      <w:r w:rsidRPr="00DE5E47">
        <w:rPr>
          <w:rFonts w:cs="Times New Roman"/>
          <w:sz w:val="24"/>
          <w:szCs w:val="24"/>
        </w:rPr>
        <w:t>The County has 20 Beach Management Units (BMUs) and 54 landing sites, which are responsible for regulating fishing activities, managing landing sites, and promoting sustainable use of fisheries resources. These BMUs provide important entry points for understanding how mud crab harvesting and marketing take place at the local level (Njiru et al., 2021). Landing sites within the BMUs serve as major points where fishers sell their crabs to brokers and traders, making them suitable locations for collecting data on grading, pricing, transportation, packaging, and modes of payment.</w:t>
      </w:r>
    </w:p>
    <w:p w14:paraId="28342156" w14:textId="77777777" w:rsidR="00221112" w:rsidRPr="00DE5E47" w:rsidRDefault="00C14051">
      <w:pPr>
        <w:spacing w:line="480" w:lineRule="auto"/>
        <w:jc w:val="both"/>
        <w:rPr>
          <w:rFonts w:cs="Times New Roman"/>
          <w:sz w:val="24"/>
          <w:szCs w:val="24"/>
        </w:rPr>
      </w:pPr>
      <w:r w:rsidRPr="00DE5E47">
        <w:rPr>
          <w:rFonts w:cs="Times New Roman"/>
          <w:sz w:val="24"/>
          <w:szCs w:val="24"/>
        </w:rPr>
        <w:t>The South Coast is also strongly influenced by tourism and urban markets, which generate high demand for premium seafood products such as live mud crabs. Hotels, restaurants, and urban centers within and outside the county provide ready markets, encouraging commercialization of the mud crab fishery and the involvement of multiple actors along the value chain (FAO, 2025). As a result, mud crab fishing in the area has gradually shifted from subsistence use to a market-oriented economic activity.</w:t>
      </w:r>
    </w:p>
    <w:p>
      <w:pPr>
        <w:spacing w:line="240" w:lineRule="auto" w:after="60"/>
      </w:pPr>
      <w:bookmarkStart w:id="41004" w:name="_Fig4"/>
      <w:r>
        <w:rPr>
          <w:rFonts w:ascii="Times New Roman" w:hAnsi="Times New Roman" w:cs="Times New Roman"/>
          <w:b/>
          <w:sz w:val="24"/>
          <w:szCs w:val="24"/>
          <w:color w:val="000000"/>
        </w:rPr>
        <w:t xml:space="preserve">Figure 4</w:t>
      </w:r>
      <w:bookmarkEnd w:id="41004"/>
    </w:p>
    <w:p>
      <w:pPr>
        <w:spacing w:line="240" w:lineRule="auto" w:after="60"/>
      </w:pPr>
      <w:r>
        <w:rPr>
          <w:rFonts w:ascii="Times New Roman" w:hAnsi="Times New Roman" w:cs="Times New Roman"/>
          <w:i/>
          <w:sz w:val="24"/>
          <w:szCs w:val="24"/>
          <w:color w:val="000000"/>
        </w:rPr>
        <w:t xml:space="preserve">Study site (Author, 2026)</w:t>
      </w:r>
    </w:p>
    <w:p w14:paraId="72EFB1C3" w14:textId="77777777" w:rsidR="00221112" w:rsidRPr="00DE5E47" w:rsidRDefault="00C14051" w:rsidP="00DD0A67">
      <w:pPr>
        <w:pStyle w:val="NormalWeb"/>
        <w:keepNext/>
        <w:jc w:val="center"/>
      </w:pPr>
      <w:r w:rsidRPr="00DE5E47">
        <w:rPr>
          <w:noProof/>
        </w:rPr>
        <w:lastRenderedPageBreak/>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cei="http://schemas.microsoft.com/office/word/2026/wordml/cei">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7E923E92" w14:textId="77777777" w:rsidR="0095467C" w:rsidRDefault="00C247CF">
      <w:pPr>
        <w:pStyle w:val="Heading2"/>
        <w:outlineLvl w:val="1"/>
      </w:pPr>
      <w:bookmarkStart w:id="52040" w:name="_Toc_40"/>
      <w:bookmarkStart w:id="154" w:name="_Toc241432246"/>
      <w:r>
        <w:t>3.3 Research design</w:t>
      </w:r>
      <w:bookmarkEnd w:id="154"/>
      <w:bookmarkEnd w:id="52040"/>
    </w:p>
    <w:p w14:paraId="4B775F73"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3D9594B8" w14:textId="77777777" w:rsidR="00221112" w:rsidRPr="00DE5E47" w:rsidRDefault="00221112">
      <w:pPr>
        <w:spacing w:line="480" w:lineRule="auto"/>
        <w:jc w:val="both"/>
        <w:rPr>
          <w:rFonts w:cs="Times New Roman"/>
          <w:b/>
          <w:bCs/>
          <w:sz w:val="24"/>
          <w:szCs w:val="24"/>
        </w:rPr>
      </w:pPr>
    </w:p>
    <w:p w14:paraId="2E773DCC" w14:textId="77777777" w:rsidR="00221112" w:rsidRPr="00DE5E47" w:rsidRDefault="00C14051">
      <w:pPr>
        <w:pStyle w:val="Heading2"/>
        <w:jc w:val="both"/>
        <w:outlineLvl w:val="1"/>
        <w:rPr>
          <w:rFonts w:cs="Times New Roman"/>
          <w:szCs w:val="24"/>
        </w:rPr>
      </w:pPr>
      <w:bookmarkStart w:id="52041" w:name="_Toc_41"/>
      <w:bookmarkStart w:id="155" w:name="_Toc241432247"/>
      <w:r>
        <w:t>3.4 Target population</w:t>
      </w:r>
      <w:bookmarkEnd w:id="155"/>
      <w:bookmarkEnd w:id="52041"/>
    </w:p>
    <w:p w14:paraId="2F8A849E"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700E5C24" w14:textId="77777777" w:rsidR="00221112" w:rsidRPr="00DE5E47" w:rsidRDefault="00C14051">
      <w:pPr>
        <w:pStyle w:val="Heading2"/>
        <w:jc w:val="both"/>
        <w:outlineLvl w:val="1"/>
        <w:rPr>
          <w:rFonts w:cs="Times New Roman"/>
          <w:szCs w:val="24"/>
        </w:rPr>
      </w:pPr>
      <w:bookmarkStart w:id="52042" w:name="_Toc_42"/>
      <w:bookmarkStart w:id="156" w:name="_Toc241432248"/>
      <w:r>
        <w:lastRenderedPageBreak/>
        <w:t>3.5 Sample size and sampling procedures</w:t>
      </w:r>
      <w:bookmarkEnd w:id="156"/>
      <w:bookmarkEnd w:id="52042"/>
    </w:p>
    <w:p w14:paraId="71F1BA80" w14:textId="77777777" w:rsidR="00221112" w:rsidRPr="00DE5E47" w:rsidRDefault="00C14051">
      <w:pPr>
        <w:spacing w:line="480" w:lineRule="auto"/>
        <w:rPr>
          <w:rFonts w:cs="Times New Roman"/>
          <w:sz w:val="24"/>
          <w:szCs w:val="24"/>
        </w:rPr>
      </w:pPr>
      <w:r>
        <w:t>The fisher sample was estimated from the available population information. Bowers (2017) reported that mud crab fishers represented about 3% of the 12,915 fishers along the Kenyan coast. Applying Kwale County’s estimated 26.9% share of the national mud crab fisher population gave an estimated population of 104 fishers (Mirera, 2017a; Kimani et al., 2018).</w:t>
      </w:r>
    </w:p>
    <w:p w14:paraId="618CB03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6D512796"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D689E20"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871C8D"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075F086B"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End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lang w:val="en-GB"/>
            </w:rPr>
            <w:t/>
          </w:r>
          <w:r w:rsidRPr="00DE5E47">
            <w:rPr>
              <w:rFonts w:cs="Times New Roman"/>
              <w:sz w:val="24"/>
              <w:szCs w:val="24"/>
            </w:rPr>
            <w:fldChar w:fldCharType="end"/>
          </w:r>
        </w:sdtContent>
      </w:sdt>
      <w:r w:rsidRPr="00DE5E47">
        <w:rPr>
          <w:rFonts w:cs="Times New Roman"/>
          <w:sz w:val="24"/>
          <w:szCs w:val="24"/>
        </w:rPr>
      </w:r>
    </w:p>
    <w:p w14:paraId="63D2B760" w14:textId="77777777" w:rsidR="00221112" w:rsidRPr="00DE5E47" w:rsidRDefault="00C14051">
      <w:pPr>
        <w:spacing w:line="480" w:lineRule="auto"/>
        <w:rPr>
          <w:rFonts w:cs="Times New Roman"/>
          <w:sz w:val="24"/>
          <w:szCs w:val="24"/>
        </w:rPr>
      </w:pPr>
      <w:r>
        <w:t>where:</w:t>
      </w:r>
    </w:p>
    <w:p w14:paraId="25D1DB28"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7ED15BF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40C28CD7"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02A1FA3D" w14:textId="77777777" w:rsidR="00221112" w:rsidRPr="00DE5E47" w:rsidRDefault="00C14051">
      <w:pPr>
        <w:spacing w:after="200" w:line="480" w:lineRule="auto"/>
        <w:rPr>
          <w:rFonts w:eastAsia="Times New Roman" w:cs="Times New Roman"/>
          <w:kern w:val="0"/>
          <w:sz w:val="24"/>
          <w:szCs w:val="24"/>
          <w:vertAlign w:val="superscript"/>
          <w14:ligatures w14:val="none"/>
        </w:rPr>
      </w:pPr>
      <w:r>
        <w:t>n = 104 / [1 + 104(0.05)^2]</w:t>
      </w:r>
    </w:p>
    <w:p w14:paraId="1B099961"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5A4DDFF4"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were not available, fishers and other respondents identified </w:t>
      </w:r>
      <w:r>
        <w:lastRenderedPageBreak/>
        <w:t>traders and buyers who could be approached, and these referrals were followed through snowball sampling.</w:t>
      </w:r>
    </w:p>
    <w:p w14:paraId="78956995" w14:textId="77777777" w:rsidR="0095467C" w:rsidRDefault="00C247CF">
      <w:pPr>
        <w:pStyle w:val="Heading2"/>
        <w:outlineLvl w:val="1"/>
      </w:pPr>
      <w:bookmarkStart w:id="52043" w:name="_Toc_43"/>
      <w:bookmarkStart w:id="157" w:name="_Toc241432249"/>
      <w:r>
        <w:t>3.6 Non-Response and Sampling Limitations</w:t>
      </w:r>
      <w:bookmarkEnd w:id="157"/>
      <w:bookmarkEnd w:id="52043"/>
    </w:p>
    <w:p w14:paraId="17006015"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0472CF4A"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4386EC33" w14:textId="77777777" w:rsidR="00221112" w:rsidRPr="00DE5E47" w:rsidRDefault="00C14051">
      <w:pPr>
        <w:pStyle w:val="Heading2"/>
        <w:jc w:val="both"/>
        <w:outlineLvl w:val="1"/>
        <w:rPr>
          <w:rFonts w:cs="Times New Roman"/>
          <w:szCs w:val="24"/>
        </w:rPr>
      </w:pPr>
      <w:bookmarkStart w:id="52044" w:name="_Toc_44"/>
      <w:bookmarkStart w:id="158" w:name="_Toc241432250"/>
      <w:r>
        <w:t>3.7 Pilot study</w:t>
      </w:r>
      <w:bookmarkEnd w:id="158"/>
      <w:bookmarkEnd w:id="52044"/>
    </w:p>
    <w:p w14:paraId="2A2041B6"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3285AD26" w14:textId="77777777" w:rsidR="00221112" w:rsidRPr="00DE5E47" w:rsidRDefault="00C14051">
      <w:pPr>
        <w:pStyle w:val="Heading2"/>
        <w:jc w:val="both"/>
        <w:outlineLvl w:val="1"/>
        <w:rPr>
          <w:rFonts w:cs="Times New Roman"/>
          <w:szCs w:val="24"/>
        </w:rPr>
      </w:pPr>
      <w:bookmarkStart w:id="52045" w:name="_Toc_45"/>
      <w:bookmarkStart w:id="159" w:name="_Toc241432251"/>
      <w:r>
        <w:t>3.8 Data collection</w:t>
      </w:r>
      <w:bookmarkEnd w:id="159"/>
      <w:bookmarkEnd w:id="52045"/>
    </w:p>
    <w:p w14:paraId="4D504FF7"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1D18834F" w14:textId="77777777" w:rsidR="00221112" w:rsidRPr="00DE5E47" w:rsidRDefault="00C14051">
      <w:pPr>
        <w:spacing w:line="480" w:lineRule="auto"/>
        <w:jc w:val="both"/>
        <w:rPr>
          <w:rFonts w:cs="Times New Roman"/>
          <w:sz w:val="24"/>
          <w:szCs w:val="24"/>
        </w:rPr>
      </w:pPr>
      <w:r>
        <w:t>For Objective One, the questionnaire recorded actor category, age, sex, marital status, education, household size, experience, monthly income, business ownership, scale of operation, collective membership, credit, licensing and institutional affiliation. These variables were used to describe the people and businesses operating at different market nodes.</w:t>
      </w:r>
    </w:p>
    <w:p w14:paraId="5072399A"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w:t>
      </w:r>
      <w:r>
        <w:lastRenderedPageBreak/>
        <w:t>payment, technology use, market research and sources of technical knowledge. Field observations were used to check reported handling, grading, transport and marketing practices where these could be seen.</w:t>
      </w:r>
    </w:p>
    <w:p w14:paraId="4918A2DC" w14:textId="77777777" w:rsidR="00221112" w:rsidRPr="00DE5E47" w:rsidRDefault="00C14051">
      <w:pPr>
        <w:spacing w:line="480" w:lineRule="auto"/>
        <w:jc w:val="both"/>
        <w:rPr>
          <w:rFonts w:cs="Times New Roman"/>
          <w:sz w:val="24"/>
          <w:szCs w:val="24"/>
        </w:rPr>
      </w:pPr>
      <w:r>
        <w:t>For Objective Three, respondents identified operational and market constraints, infrastructure gaps, price risk, access to finance, technology, institutional support, regulation and capacity needs. They also reported opportunities for market access, value addition, infrastructure, training, credit and institutional support. Key informants, including BMU leaders and government officers, provided context on sector-wide conditions. Their accounts and field notes were used to interpret the survey findings rather than as a separate causal test.</w:t>
      </w:r>
    </w:p>
    <w:p w14:paraId="512CAA90" w14:textId="77777777" w:rsidR="00221112" w:rsidRPr="00DE5E47" w:rsidRDefault="00C14051">
      <w:pPr>
        <w:spacing w:line="480" w:lineRule="auto"/>
        <w:jc w:val="both"/>
        <w:rPr>
          <w:rFonts w:cs="Times New Roman"/>
          <w:sz w:val="24"/>
          <w:szCs w:val="24"/>
        </w:rPr>
      </w:pPr>
      <w:r>
        <w:t>Secondary evidence came from published studies, government reports and other documents on mud crab fisheries, actor roles and market conditions. This material provided the background and comparison literature used in Chapters One, Two and Five.</w:t>
      </w:r>
    </w:p>
    <w:p w14:paraId="39982B95" w14:textId="77777777" w:rsidR="0095467C" w:rsidRDefault="00C247CF">
      <w:pPr>
        <w:pStyle w:val="Heading2"/>
        <w:outlineLvl w:val="1"/>
      </w:pPr>
      <w:bookmarkStart w:id="52046" w:name="_Toc_46"/>
      <w:bookmarkStart w:id="160" w:name="_Toc241432252"/>
      <w:r>
        <w:t>3.9 Alignment of objectives and analysis</w:t>
      </w:r>
      <w:bookmarkEnd w:id="160"/>
      <w:bookmarkEnd w:id="52046"/>
    </w:p>
    <w:p w14:paraId="1DCCC1BB" w14:textId="77777777" w:rsidR="0095467C" w:rsidRDefault="00C247CF">
      <w:r>
        <w:t xml:space="preserve">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w:t>
      </w:r>
      <w:r>
        <w:t>exporters were described by actor category because their samples were too small and uneven for BMU significance tests. This alignment keeps each conclusion within the scope of the data collected.</w:t>
      </w:r>
    </w:p>
    <w:p>
      <w:pPr>
        <w:spacing w:line="360" w:lineRule="auto" w:after="0"/>
      </w:pPr>
      <w:bookmarkStart w:id="41005" w:name="_Tbl1"/>
      <w:r>
        <w:rPr>
          <w:rFonts w:ascii="Times New Roman" w:hAnsi="Times New Roman" w:cs="Times New Roman"/>
          <w:b/>
          <w:sz w:val="24"/>
          <w:szCs w:val="24"/>
          <w:color w:val="000000"/>
        </w:rPr>
        <w:t xml:space="preserve">Table 1</w:t>
      </w:r>
      <w:bookmarkEnd w:id="41005"/>
    </w:p>
    <w:p>
      <w:pPr>
        <w:spacing w:line="360" w:lineRule="auto" w:after="120"/>
      </w:pPr>
      <w:r>
        <w:rPr>
          <w:rFonts w:ascii="Times New Roman" w:hAnsi="Times New Roman" w:cs="Times New Roman"/>
          <w:i/>
          <w:sz w:val="24"/>
          <w:szCs w:val="24"/>
          <w:color w:val="000000"/>
        </w:rPr>
        <w:t xml:space="preserve">Alignment of Study Objectives, Variables Measured and Analysis Applied</w:t>
      </w:r>
    </w:p>
    <w:tbl>
      <w:tblPr>
        <w:tblStyle w:val="TableNormal"/>
        <w:tblW w:w="9026" w:type="dxa"/>
        <w:tblBorders>
          <w:top w:val="none" w:sz="0" w:color="FFFFFF"/>
          <w:left w:val="none" w:sz="0" w:color="FFFFFF"/>
          <w:bottom w:val="none" w:sz="0" w:color="FFFFFF"/>
          <w:right w:val="none" w:sz="0" w:color="FFFFFF"/>
          <w:insideH w:val="none" w:sz="0" w:color="FFFFFF"/>
          <w:insideV w:val="none" w:sz="0" w:color="FFFFFF"/>
        </w:tblBorders>
      </w:tblPr>
      <w:tblGrid>
        <w:gridCol w:w="1900"/>
        <w:gridCol w:w="2500"/>
        <w:gridCol w:w="3000"/>
        <w:gridCol w:w="1626"/>
      </w:tblGrid>
      <w:tr>
        <w:trPr>
          <w:tblHeader/>
        </w:trPr>
        <w:tc>
          <w:tcPr>
            <w:tcW w:w="19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Objective</w:t>
            </w:r>
          </w:p>
        </w:tc>
        <w:tc>
          <w:tcPr>
            <w:tcW w:w="25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Variables measured</w:t>
            </w:r>
          </w:p>
        </w:tc>
        <w:tc>
          <w:tcPr>
            <w:tcW w:w="30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Analysis applied</w:t>
            </w:r>
          </w:p>
        </w:tc>
        <w:tc>
          <w:tcPr>
            <w:tcW w:w="1626"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Reported in</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1. Profile the actors and their characteristics</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Actor category, study site, age, gender, education, marital status, experience, business role, scale of operation, income, licensing, credit, training, collective membership</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descriptive statistics for income and age; actor-specific Monte Carlo chi-square against study site for fishers and middlemen</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2–16, Figures 5–11</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2. Examine the functions performed at each market node</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Frequencies and valid percentages by actor category; descriptive statistics for prices; Kruskal–Wallis for price by actor category and by study site within actor; gross marketing margins, the share of the end-of-chain price and the first-sale price spread by site; actor-specific Monte Carlo chi-square against study site</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17–49, Figures 12–28</w:t>
            </w:r>
          </w:p>
        </w:tc>
      </w:tr>
      <w:tr>
        <w:tc>
          <w:tcPr>
            <w:tcW w:w="19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3. Assess the constraints and opportunities facing each actor category</w:t>
            </w:r>
          </w:p>
        </w:tc>
        <w:tc>
          <w:tcPr>
            <w:tcW w:w="25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actor-specific Monte Carlo chi-square against study site for fishers and middlemen</w:t>
            </w:r>
          </w:p>
        </w:tc>
        <w:tc>
          <w:tcPr>
            <w:tcW w:w="1626"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50–61, Figures 29–37</w:t>
            </w:r>
          </w:p>
        </w:tc>
      </w:tr>
    </w:tbl>
    <w:p w14:paraId="5330EB2A" w14:textId="77777777" w:rsidR="00221112" w:rsidRPr="00DE5E47" w:rsidRDefault="00C14051">
      <w:pPr>
        <w:pStyle w:val="Heading2"/>
        <w:jc w:val="both"/>
        <w:outlineLvl w:val="1"/>
        <w:rPr>
          <w:rFonts w:cs="Times New Roman"/>
          <w:szCs w:val="24"/>
        </w:rPr>
      </w:pPr>
      <w:bookmarkStart w:id="52047" w:name="_Toc_47"/>
      <w:bookmarkStart w:id="161" w:name="_Toc241432253"/>
      <w:r>
        <w:t>3.10 Data analysis</w:t>
      </w:r>
      <w:bookmarkEnd w:id="161"/>
      <w:bookmarkEnd w:id="52047"/>
    </w:p>
    <w:p w14:paraId="16BA87FF" w14:textId="77777777" w:rsidR="00221112" w:rsidRPr="00DE5E47" w:rsidRDefault="00C14051">
      <w:pPr>
        <w:pStyle w:val="Heading3"/>
        <w:jc w:val="both"/>
        <w:outlineLvl w:val="2"/>
        <w:rPr>
          <w:rFonts w:cs="Times New Roman"/>
        </w:rPr>
      </w:pPr>
      <w:bookmarkStart w:id="52048" w:name="_Toc_48"/>
      <w:bookmarkStart w:id="162" w:name="_Toc241432254"/>
      <w:r>
        <w:t>3.10.1 Data entry and processing</w:t>
      </w:r>
      <w:bookmarkEnd w:id="162"/>
      <w:bookmarkEnd w:id="52048"/>
    </w:p>
    <w:p w14:paraId="0CFFFE08" w14:textId="77777777" w:rsidR="00221112" w:rsidRPr="00DE5E47" w:rsidRDefault="00C14051">
      <w:pPr>
        <w:spacing w:line="480" w:lineRule="auto"/>
        <w:jc w:val="both"/>
        <w:rPr>
          <w:rFonts w:cs="Times New Roman"/>
          <w:sz w:val="24"/>
          <w:szCs w:val="24"/>
        </w:rPr>
      </w:pPr>
      <w:r>
        <w:t>Questionnaires were administered on smartphones using KoBoToolbox and KoBo Collect. Submitted records were reviewed, coded and downloaded in CSV and XLSX formats.</w:t>
      </w:r>
    </w:p>
    <w:p w14:paraId="53C13BD1" w14:textId="77777777" w:rsidR="00221112" w:rsidRPr="00DE5E47" w:rsidRDefault="00C14051">
      <w:pPr>
        <w:spacing w:line="480" w:lineRule="auto"/>
        <w:jc w:val="both"/>
        <w:rPr>
          <w:rFonts w:cs="Times New Roman"/>
          <w:sz w:val="24"/>
          <w:szCs w:val="24"/>
        </w:rPr>
      </w:pPr>
      <w:r>
        <w:t>The questionnaire followed the study objectives. Its first section covered demographic and business characteristics, the second recorded actor functions and market practices, and the third covered constraints and opportunities.</w:t>
      </w:r>
    </w:p>
    <w:p w14:paraId="3720A2A2"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A0BF54B"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7CE3349"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that fishers, middlemen, hoteliers and exporters can be compared on the same row. Fishers and middlemen were additionally cross-tabulated by study site; hoteliers and exporters were not, because their samples were small and their site coverage uneven. All charts presented in Chapter Four were generated from the same dataset in IBM SPSS Statistics.</w:t>
      </w:r>
    </w:p>
    <w:p w14:paraId="7C9246DD" w14:textId="77777777" w:rsidR="00221112" w:rsidRPr="00DE5E47" w:rsidRDefault="00C14051">
      <w:pPr>
        <w:pStyle w:val="Heading3"/>
        <w:jc w:val="both"/>
        <w:outlineLvl w:val="2"/>
        <w:rPr>
          <w:rFonts w:cs="Times New Roman"/>
        </w:rPr>
      </w:pPr>
      <w:bookmarkStart w:id="52049" w:name="_Toc_49"/>
      <w:bookmarkStart w:id="163" w:name="_Toc241432255"/>
      <w:r>
        <w:t>3.10.2 Chi-square tests of association</w:t>
      </w:r>
      <w:bookmarkEnd w:id="163"/>
      <w:bookmarkEnd w:id="52049"/>
    </w:p>
    <w:p w14:paraId="12B59A34"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BE97190"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pPr>
        <w:pStyle w:val="Heading3"/>
        <w:spacing w:line="360" w:lineRule="auto" w:after="120"/>
        <w:outlineLvl w:val="2"/>
      </w:pPr>
      <w:bookmarkStart w:id="52050" w:name="_Toc_50"/>
      <w:r>
        <w:rPr>
          <w:rFonts w:ascii="Times New Roman" w:hAnsi="Times New Roman" w:cs="Times New Roman"/>
          <w:b/>
          <w:sz w:val="24"/>
          <w:szCs w:val="24"/>
          <w:color w:val="000000"/>
        </w:rPr>
        <w:t xml:space="preserve">3.10.3 Kruskal–Wallis tests of reported prices</w:t>
      </w:r>
      <w:bookmarkEnd w:id="52050"/>
    </w:p>
    <w:p>
      <w:pPr>
        <w:spacing w:line="360" w:lineRule="auto" w:after="120"/>
      </w:pPr>
      <w:r>
        <w:rPr>
          <w:rFonts w:ascii="Times New Roman" w:hAnsi="Times New Roman" w:cs="Times New Roman"/>
          <w:sz w:val="24"/>
          <w:szCs w:val="24"/>
          <w:color w:val="000000"/>
        </w:rPr>
        <w:t xml:space="preserve">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pPr>
        <w:spacing w:line="360" w:lineRule="auto" w:after="120"/>
      </w:pPr>
      <w:r>
        <w:rPr>
          <w:rFonts w:ascii="Times New Roman" w:hAnsi="Times New Roman" w:cs="Times New Roman"/>
          <w:sz w:val="24"/>
          <w:szCs w:val="24"/>
          <w:color w:val="000000"/>
        </w:rPr>
        <w:t xml:space="preserve">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14:paraId="25B695C1" w14:textId="77777777" w:rsidR="00221112" w:rsidRPr="00DE5E47" w:rsidRDefault="00C14051">
      <w:pPr>
        <w:pStyle w:val="Heading2"/>
        <w:jc w:val="both"/>
        <w:outlineLvl w:val="1"/>
        <w:rPr>
          <w:rFonts w:cs="Times New Roman"/>
          <w:szCs w:val="24"/>
        </w:rPr>
      </w:pPr>
      <w:bookmarkStart w:id="52051" w:name="_Toc_51"/>
      <w:bookmarkStart w:id="164" w:name="_Toc241432256"/>
      <w:r>
        <w:t>3.11 Ethical considerations</w:t>
      </w:r>
      <w:bookmarkEnd w:id="164"/>
      <w:bookmarkEnd w:id="52051"/>
    </w:p>
    <w:p w14:paraId="689BCAED"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165" w:name="_Toc76558213"/>
    </w:p>
    <w:p w14:paraId="3BC4E0AE" w14:textId="77777777" w:rsidR="00221112" w:rsidRPr="00DE5E47" w:rsidRDefault="00221112">
      <w:pPr>
        <w:spacing w:line="480" w:lineRule="auto"/>
        <w:jc w:val="both"/>
        <w:rPr>
          <w:rFonts w:cs="Times New Roman"/>
          <w:sz w:val="24"/>
          <w:szCs w:val="24"/>
        </w:rPr>
      </w:pPr>
    </w:p>
    <w:p w14:paraId="0AEC5359" w14:textId="77777777" w:rsidR="00221112" w:rsidRPr="00DE5E47" w:rsidRDefault="00221112">
      <w:pPr>
        <w:spacing w:line="480" w:lineRule="auto"/>
        <w:jc w:val="both"/>
        <w:rPr>
          <w:rFonts w:cs="Times New Roman"/>
          <w:b/>
          <w:bCs/>
          <w:sz w:val="24"/>
          <w:szCs w:val="24"/>
        </w:rPr>
      </w:pPr>
      <w:bookmarkStart w:id="166" w:name="_Toc174281890"/>
      <w:bookmarkStart w:id="167" w:name="_Toc174281930"/>
      <w:bookmarkStart w:id="168" w:name="_Toc174282035"/>
      <w:bookmarkStart w:id="169" w:name="_Toc174281785"/>
      <w:bookmarkEnd w:id="166"/>
      <w:bookmarkEnd w:id="167"/>
      <w:bookmarkEnd w:id="168"/>
      <w:bookmarkEnd w:id="169"/>
    </w:p>
    <w:p w14:paraId="27463288" w14:textId="77777777" w:rsidR="00BC662E" w:rsidRPr="00DE5E47" w:rsidRDefault="00BC662E">
      <w:pPr>
        <w:rPr>
          <w:rFonts w:cs="Times New Roman"/>
          <w:sz w:val="24"/>
          <w:szCs w:val="24"/>
        </w:rPr>
        <w:sectPr w:rsidR="00BC662E" w:rsidRPr="00DE5E47">
          <w:footerReference w:type="default" r:id="rId17"/>
          <w:pgSz w:w="12240" w:h="15840"/>
          <w:pgMar w:top="1440" w:right="1440" w:bottom="1440" w:left="1440" w:header="504" w:footer="504" w:gutter="0"/>
          <w:cols w:space="720"/>
          <w:docGrid w:linePitch="360"/>
        </w:sectPr>
      </w:pPr>
    </w:p>
    <w:p>
      <w:pPr>
        <w:pStyle w:val="Heading1"/>
        <w:pageBreakBefore/>
        <w:spacing w:after="240" w:before="240" w:line="360"/>
        <w:jc w:val="center"/>
        <w:outlineLvl w:val="0"/>
      </w:pPr>
      <w:bookmarkStart w:id="52052" w:name="_Toc_52"/>
      <w:r>
        <w:rPr>
          <w:rFonts w:ascii="Times New Roman" w:cs="Times New Roman" w:eastAsia="Times New Roman" w:hAnsi="Times New Roman"/>
          <w:b/>
          <w:bCs/>
          <w:color w:val="000000"/>
          <w:sz w:val="28"/>
          <w:szCs w:val="28"/>
        </w:rPr>
        <w:t xml:space="preserve">CHAPTER FOUR: RESULTS</w:t>
      </w:r>
      <w:bookmarkEnd w:id="52052"/>
    </w:p>
    <w:p>
      <w:pPr>
        <w:pStyle w:val="Heading2"/>
        <w:spacing w:after="140" w:before="280" w:line="360"/>
        <w:outlineLvl w:val="1"/>
      </w:pPr>
      <w:bookmarkStart w:id="52053" w:name="_Toc_53"/>
      <w:r>
        <w:rPr>
          <w:rFonts w:ascii="Times New Roman" w:cs="Times New Roman" w:eastAsia="Times New Roman" w:hAnsi="Times New Roman"/>
          <w:b/>
          <w:bCs/>
          <w:color w:val="000000"/>
          <w:sz w:val="26"/>
          <w:szCs w:val="26"/>
        </w:rPr>
        <w:t xml:space="preserve">4.1 Introduction</w:t>
      </w:r>
      <w:bookmarkEnd w:id="52053"/>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outlineLvl w:val="1"/>
      </w:pPr>
      <w:bookmarkStart w:id="52054" w:name="_Toc_54"/>
      <w:r>
        <w:rPr>
          <w:rFonts w:ascii="Times New Roman" w:cs="Times New Roman" w:eastAsia="Times New Roman" w:hAnsi="Times New Roman"/>
          <w:b/>
          <w:bCs/>
          <w:color w:val="000000"/>
          <w:sz w:val="26"/>
          <w:szCs w:val="26"/>
        </w:rPr>
        <w:t xml:space="preserve">4.2 Distribution of Respondents</w:t>
      </w:r>
      <w:bookmarkEnd w:id="52054"/>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bookmarkStart w:id="41006" w:name="_Tbl2"/>
      <w:r>
        <w:rPr>
          <w:rFonts w:ascii="Times New Roman" w:cs="Times New Roman" w:eastAsia="Times New Roman" w:hAnsi="Times New Roman"/>
          <w:b/>
          <w:bCs/>
          <w:color w:val="000000"/>
          <w:sz w:val="24"/>
          <w:szCs w:val="24"/>
        </w:rPr>
        <w:t xml:space="preserve">Table 2</w:t>
      </w:r>
      <w:bookmarkEnd w:id="41006"/>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 Msambweni rests on three respondents and should be read with that in mind.</w:t>
      </w:r>
    </w:p>
    <w:p>
      <w:pPr>
        <w:pStyle w:val="Heading2"/>
        <w:spacing w:after="140" w:before="280" w:line="360"/>
        <w:outlineLvl w:val="1"/>
      </w:pPr>
      <w:bookmarkStart w:id="52055" w:name="_Toc_55"/>
      <w:r>
        <w:rPr>
          <w:rFonts w:ascii="Times New Roman" w:cs="Times New Roman" w:eastAsia="Times New Roman" w:hAnsi="Times New Roman"/>
          <w:b/>
          <w:bCs/>
          <w:color w:val="000000"/>
          <w:sz w:val="26"/>
          <w:szCs w:val="26"/>
        </w:rPr>
        <w:t xml:space="preserve">4.3 Objective One: Profile of Mud Crab Actors and Their Characteristics</w:t>
      </w:r>
      <w:bookmarkEnd w:id="52055"/>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outlineLvl w:val="2"/>
      </w:pPr>
      <w:bookmarkStart w:id="52056" w:name="_Toc_56"/>
      <w:r>
        <w:rPr>
          <w:rFonts w:ascii="Times New Roman" w:cs="Times New Roman" w:eastAsia="Times New Roman" w:hAnsi="Times New Roman"/>
          <w:b/>
          <w:bCs/>
          <w:color w:val="000000"/>
          <w:sz w:val="24"/>
          <w:szCs w:val="24"/>
        </w:rPr>
        <w:t xml:space="preserve">4.3.1 Demographic and Personal Characteristics</w:t>
      </w:r>
      <w:bookmarkEnd w:id="52056"/>
    </w:p>
    <w:p>
      <w:pPr>
        <w:spacing w:after="0" w:before="240" w:line="240"/>
      </w:pPr>
      <w:bookmarkStart w:id="41007" w:name="_Tbl3"/>
      <w:r>
        <w:rPr>
          <w:rFonts w:ascii="Times New Roman" w:cs="Times New Roman" w:eastAsia="Times New Roman" w:hAnsi="Times New Roman"/>
          <w:b/>
          <w:bCs/>
          <w:color w:val="000000"/>
          <w:sz w:val="24"/>
          <w:szCs w:val="24"/>
        </w:rPr>
        <w:t xml:space="preserve">Table 3</w:t>
      </w:r>
      <w:bookmarkEnd w:id="41007"/>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bookmarkStart w:id="41008" w:name="_Tbl4"/>
      <w:r>
        <w:rPr>
          <w:rFonts w:ascii="Times New Roman" w:cs="Times New Roman" w:eastAsia="Times New Roman" w:hAnsi="Times New Roman"/>
          <w:b/>
          <w:bCs/>
          <w:color w:val="000000"/>
          <w:sz w:val="24"/>
          <w:szCs w:val="24"/>
        </w:rPr>
        <w:t xml:space="preserve">Table 4</w:t>
      </w:r>
      <w:bookmarkEnd w:id="41008"/>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120" w:before="0" w:line="360"/>
        <w:jc w:val="both"/>
      </w:pPr>
      <w:r>
        <w:rPr>
          <w:rFonts w:ascii="Times New Roman" w:cs="Times New Roman" w:eastAsia="Times New Roman" w:hAnsi="Times New Roman"/>
          <w:color w:val="000000"/>
          <w:sz w:val="24"/>
          <w:szCs w:val="24"/>
        </w:rPr>
        <w:t xml:space="preserve">Figure 5 shows that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bookmarkStart w:id="41009" w:name="_Fig5"/>
      <w:r>
        <w:rPr>
          <w:rFonts w:ascii="Times New Roman" w:cs="Times New Roman" w:eastAsia="Times New Roman" w:hAnsi="Times New Roman"/>
          <w:b/>
          <w:bCs/>
          <w:color w:val="000000"/>
          <w:sz w:val="24"/>
          <w:szCs w:val="24"/>
        </w:rPr>
        <w:t xml:space="preserve">Figure 5</w:t>
      </w:r>
      <w:bookmarkEnd w:id="41009"/>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0" w:before="240" w:line="240"/>
      </w:pPr>
      <w:bookmarkStart w:id="41010" w:name="_Tbl5"/>
      <w:r>
        <w:rPr>
          <w:rFonts w:ascii="Times New Roman" w:cs="Times New Roman" w:eastAsia="Times New Roman" w:hAnsi="Times New Roman"/>
          <w:b/>
          <w:bCs/>
          <w:color w:val="000000"/>
          <w:sz w:val="24"/>
          <w:szCs w:val="24"/>
        </w:rPr>
        <w:t xml:space="preserve">Table 5</w:t>
      </w:r>
      <w:bookmarkEnd w:id="41010"/>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 No fisher or middleman reported education beyond secondary level, and no hotelier or exporter reported less than a certificate.</w:t>
      </w:r>
    </w:p>
    <w:p>
      <w:pPr>
        <w:spacing w:after="0" w:before="240" w:line="240"/>
      </w:pPr>
      <w:bookmarkStart w:id="41011" w:name="_Tbl6"/>
      <w:r>
        <w:rPr>
          <w:rFonts w:ascii="Times New Roman" w:cs="Times New Roman" w:eastAsia="Times New Roman" w:hAnsi="Times New Roman"/>
          <w:b/>
          <w:bCs/>
          <w:color w:val="000000"/>
          <w:sz w:val="24"/>
          <w:szCs w:val="24"/>
        </w:rPr>
        <w:t xml:space="preserve">Table 6</w:t>
      </w:r>
      <w:bookmarkEnd w:id="41011"/>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bookmarkStart w:id="41012" w:name="_Tbl7"/>
      <w:r>
        <w:rPr>
          <w:rFonts w:ascii="Times New Roman" w:cs="Times New Roman" w:eastAsia="Times New Roman" w:hAnsi="Times New Roman"/>
          <w:b/>
          <w:bCs/>
          <w:color w:val="000000"/>
          <w:sz w:val="24"/>
          <w:szCs w:val="24"/>
        </w:rPr>
        <w:t xml:space="preserve">Table 7</w:t>
      </w:r>
      <w:bookmarkEnd w:id="41012"/>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outlineLvl w:val="2"/>
      </w:pPr>
      <w:bookmarkStart w:id="52057" w:name="_Toc_57"/>
      <w:r>
        <w:rPr>
          <w:rFonts w:ascii="Times New Roman" w:cs="Times New Roman" w:eastAsia="Times New Roman" w:hAnsi="Times New Roman"/>
          <w:b/>
          <w:bCs/>
          <w:color w:val="000000"/>
          <w:sz w:val="24"/>
          <w:szCs w:val="24"/>
        </w:rPr>
        <w:t xml:space="preserve">4.3.2 Business and Operational Characteristics</w:t>
      </w:r>
      <w:bookmarkEnd w:id="52057"/>
    </w:p>
    <w:p>
      <w:pPr>
        <w:spacing w:after="0" w:before="240" w:line="240"/>
      </w:pPr>
      <w:bookmarkStart w:id="41013" w:name="_Tbl8"/>
      <w:r>
        <w:rPr>
          <w:rFonts w:ascii="Times New Roman" w:cs="Times New Roman" w:eastAsia="Times New Roman" w:hAnsi="Times New Roman"/>
          <w:b/>
          <w:bCs/>
          <w:color w:val="000000"/>
          <w:sz w:val="24"/>
          <w:szCs w:val="24"/>
        </w:rPr>
        <w:t xml:space="preserve">Table 8</w:t>
      </w:r>
      <w:bookmarkEnd w:id="41013"/>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bookmarkStart w:id="41014" w:name="_Tbl9"/>
      <w:r>
        <w:rPr>
          <w:rFonts w:ascii="Times New Roman" w:cs="Times New Roman" w:eastAsia="Times New Roman" w:hAnsi="Times New Roman"/>
          <w:b/>
          <w:bCs/>
          <w:color w:val="000000"/>
          <w:sz w:val="24"/>
          <w:szCs w:val="24"/>
        </w:rPr>
        <w:t xml:space="preserve">Table 9</w:t>
      </w:r>
      <w:bookmarkEnd w:id="41014"/>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9,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bookmarkStart w:id="41015" w:name="_Tbl10"/>
      <w:r>
        <w:rPr>
          <w:rFonts w:ascii="Times New Roman" w:cs="Times New Roman" w:eastAsia="Times New Roman" w:hAnsi="Times New Roman"/>
          <w:b/>
          <w:bCs/>
          <w:color w:val="000000"/>
          <w:sz w:val="24"/>
          <w:szCs w:val="24"/>
        </w:rPr>
        <w:t xml:space="preserve">Table 10</w:t>
      </w:r>
      <w:bookmarkEnd w:id="41015"/>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bookmarkStart w:id="41016" w:name="_Fig6"/>
      <w:r>
        <w:rPr>
          <w:rFonts w:ascii="Times New Roman" w:cs="Times New Roman" w:eastAsia="Times New Roman" w:hAnsi="Times New Roman"/>
          <w:b/>
          <w:bCs/>
          <w:color w:val="000000"/>
          <w:sz w:val="24"/>
          <w:szCs w:val="24"/>
        </w:rPr>
        <w:t xml:space="preserve">Figure 6</w:t>
      </w:r>
      <w:bookmarkEnd w:id="41016"/>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619375"/>
                    </a:xfrm>
                    <a:prstGeom prst="rect">
                      <a:avLst/>
                    </a:prstGeom>
                  </pic:spPr>
                </pic:pic>
              </a:graphicData>
            </a:graphic>
          </wp:inline>
        </w:drawing>
      </w:r>
    </w:p>
    <w:p>
      <w:pPr>
        <w:spacing w:after="0" w:before="240" w:line="240"/>
      </w:pPr>
      <w:bookmarkStart w:id="41017" w:name="_Tbl11"/>
      <w:r>
        <w:rPr>
          <w:rFonts w:ascii="Times New Roman" w:cs="Times New Roman" w:eastAsia="Times New Roman" w:hAnsi="Times New Roman"/>
          <w:b/>
          <w:bCs/>
          <w:color w:val="000000"/>
          <w:sz w:val="24"/>
          <w:szCs w:val="24"/>
        </w:rPr>
        <w:t xml:space="preserve">Table 11</w:t>
      </w:r>
      <w:bookmarkEnd w:id="41017"/>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across the four actor categories.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 One exporter gave no valid income figure and is excluded from the exporter column.</w:t>
      </w:r>
    </w:p>
    <w:p>
      <w:pPr>
        <w:spacing w:after="0" w:before="240" w:line="240"/>
      </w:pPr>
      <w:bookmarkStart w:id="41018" w:name="_Fig7"/>
      <w:r>
        <w:rPr>
          <w:rFonts w:ascii="Times New Roman" w:cs="Times New Roman" w:eastAsia="Times New Roman" w:hAnsi="Times New Roman"/>
          <w:b/>
          <w:bCs/>
          <w:color w:val="000000"/>
          <w:sz w:val="24"/>
          <w:szCs w:val="24"/>
        </w:rPr>
        <w:t xml:space="preserve">Figure 7</w:t>
      </w:r>
      <w:bookmarkEnd w:id="41018"/>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228850"/>
                    </a:xfrm>
                    <a:prstGeom prst="rect">
                      <a:avLst/>
                    </a:prstGeom>
                  </pic:spPr>
                </pic:pic>
              </a:graphicData>
            </a:graphic>
          </wp:inline>
        </w:drawing>
      </w:r>
    </w:p>
    <w:p>
      <w:pPr>
        <w:spacing w:after="0" w:before="240" w:line="240"/>
      </w:pPr>
      <w:bookmarkStart w:id="41019" w:name="_Tbl12"/>
      <w:r>
        <w:rPr>
          <w:rFonts w:ascii="Times New Roman" w:cs="Times New Roman" w:eastAsia="Times New Roman" w:hAnsi="Times New Roman"/>
          <w:b/>
          <w:bCs/>
          <w:color w:val="000000"/>
          <w:sz w:val="24"/>
          <w:szCs w:val="24"/>
        </w:rPr>
        <w:t xml:space="preserve">Table 12</w:t>
      </w:r>
      <w:bookmarkEnd w:id="41019"/>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 The label no data marks an item the actor category did not complete, which is different from a zero.</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outlineLvl w:val="2"/>
      </w:pPr>
      <w:bookmarkStart w:id="52058" w:name="_Toc_58"/>
      <w:r>
        <w:rPr>
          <w:rFonts w:ascii="Times New Roman" w:cs="Times New Roman" w:eastAsia="Times New Roman" w:hAnsi="Times New Roman"/>
          <w:b/>
          <w:bCs/>
          <w:color w:val="000000"/>
          <w:sz w:val="24"/>
          <w:szCs w:val="24"/>
        </w:rPr>
        <w:t xml:space="preserve">4.3.3 Knowledge, Training and Group Membership</w:t>
      </w:r>
      <w:bookmarkEnd w:id="52058"/>
    </w:p>
    <w:p>
      <w:pPr>
        <w:spacing w:after="0" w:before="240" w:line="240"/>
      </w:pPr>
      <w:bookmarkStart w:id="41020" w:name="_Tbl13"/>
      <w:r>
        <w:rPr>
          <w:rFonts w:ascii="Times New Roman" w:cs="Times New Roman" w:eastAsia="Times New Roman" w:hAnsi="Times New Roman"/>
          <w:b/>
          <w:bCs/>
          <w:color w:val="000000"/>
          <w:sz w:val="24"/>
          <w:szCs w:val="24"/>
        </w:rPr>
        <w:t xml:space="preserve">Table 13</w:t>
      </w:r>
      <w:bookmarkEnd w:id="41020"/>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bookmarkStart w:id="41021" w:name="_Tbl14"/>
      <w:r>
        <w:rPr>
          <w:rFonts w:ascii="Times New Roman" w:cs="Times New Roman" w:eastAsia="Times New Roman" w:hAnsi="Times New Roman"/>
          <w:b/>
          <w:bCs/>
          <w:color w:val="000000"/>
          <w:sz w:val="24"/>
          <w:szCs w:val="24"/>
        </w:rPr>
        <w:t xml:space="preserve">Table 14</w:t>
      </w:r>
      <w:bookmarkEnd w:id="41021"/>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outlineLvl w:val="2"/>
      </w:pPr>
      <w:bookmarkStart w:id="52059" w:name="_Toc_59"/>
      <w:r>
        <w:rPr>
          <w:rFonts w:ascii="Times New Roman" w:cs="Times New Roman" w:eastAsia="Times New Roman" w:hAnsi="Times New Roman"/>
          <w:b/>
          <w:bCs/>
          <w:color w:val="000000"/>
          <w:sz w:val="24"/>
          <w:szCs w:val="24"/>
        </w:rPr>
        <w:t xml:space="preserve">4.3.4 Summary of Objective One</w:t>
      </w:r>
      <w:bookmarkEnd w:id="52059"/>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outlineLvl w:val="2"/>
      </w:pPr>
      <w:bookmarkStart w:id="52060" w:name="_Toc_60"/>
      <w:r>
        <w:rPr>
          <w:rFonts w:ascii="Times New Roman" w:cs="Times New Roman" w:eastAsia="Times New Roman" w:hAnsi="Times New Roman"/>
          <w:b/>
          <w:bCs/>
          <w:color w:val="000000"/>
          <w:sz w:val="24"/>
          <w:szCs w:val="24"/>
        </w:rPr>
        <w:t xml:space="preserve">4.3.5 Discussion of Findings in Relation to Previous Studies</w:t>
      </w:r>
      <w:bookmarkEnd w:id="52060"/>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outlineLvl w:val="1"/>
      </w:pPr>
      <w:bookmarkStart w:id="52061" w:name="_Toc_61"/>
      <w:r>
        <w:rPr>
          <w:rFonts w:ascii="Times New Roman" w:cs="Times New Roman" w:eastAsia="Times New Roman" w:hAnsi="Times New Roman"/>
          <w:b/>
          <w:bCs/>
          <w:color w:val="000000"/>
          <w:sz w:val="26"/>
          <w:szCs w:val="26"/>
        </w:rPr>
        <w:t xml:space="preserve">4.4 Objective Two: Functions Performed by Actors at Each Market Node</w:t>
      </w:r>
      <w:bookmarkEnd w:id="52061"/>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outlineLvl w:val="2"/>
      </w:pPr>
      <w:bookmarkStart w:id="52062" w:name="_Toc_62"/>
      <w:r>
        <w:rPr>
          <w:rFonts w:ascii="Times New Roman" w:cs="Times New Roman" w:eastAsia="Times New Roman" w:hAnsi="Times New Roman"/>
          <w:b/>
          <w:bCs/>
          <w:color w:val="000000"/>
          <w:sz w:val="24"/>
          <w:szCs w:val="24"/>
        </w:rPr>
        <w:t xml:space="preserve">4.4.1 Acquisition of Crabs and Disposal of the Catch</w:t>
      </w:r>
      <w:bookmarkEnd w:id="52062"/>
    </w:p>
    <w:p>
      <w:pPr>
        <w:spacing w:after="0" w:before="240" w:line="240"/>
      </w:pPr>
      <w:bookmarkStart w:id="41022" w:name="_Tbl15"/>
      <w:r>
        <w:rPr>
          <w:rFonts w:ascii="Times New Roman" w:cs="Times New Roman" w:eastAsia="Times New Roman" w:hAnsi="Times New Roman"/>
          <w:b/>
          <w:bCs/>
          <w:color w:val="000000"/>
          <w:sz w:val="24"/>
          <w:szCs w:val="24"/>
        </w:rPr>
        <w:t xml:space="preserve">Table 15</w:t>
      </w:r>
      <w:bookmarkEnd w:id="41022"/>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Every fisher obtained crabs by catching them and every middleman, hotelier and exporter obtained them by purchase, with no exception at any site. Figure 8 shows that the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bookmarkStart w:id="41023" w:name="_Fig8"/>
      <w:r>
        <w:rPr>
          <w:rFonts w:ascii="Times New Roman" w:cs="Times New Roman" w:eastAsia="Times New Roman" w:hAnsi="Times New Roman"/>
          <w:b/>
          <w:bCs/>
          <w:color w:val="000000"/>
          <w:sz w:val="24"/>
          <w:szCs w:val="24"/>
        </w:rPr>
        <w:t xml:space="preserve">Figure 8</w:t>
      </w:r>
      <w:bookmarkEnd w:id="41023"/>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 Percentages are valid percentages within the actor category.</w:t>
      </w:r>
    </w:p>
    <w:p>
      <w:pPr>
        <w:spacing w:after="0" w:before="240" w:line="240"/>
      </w:pPr>
      <w:bookmarkStart w:id="41024" w:name="_Fig9"/>
      <w:r>
        <w:rPr>
          <w:rFonts w:ascii="Times New Roman" w:cs="Times New Roman" w:eastAsia="Times New Roman" w:hAnsi="Times New Roman"/>
          <w:b/>
          <w:bCs/>
          <w:color w:val="000000"/>
          <w:sz w:val="24"/>
          <w:szCs w:val="24"/>
        </w:rPr>
        <w:t xml:space="preserve">Figure 9</w:t>
      </w:r>
      <w:bookmarkEnd w:id="41024"/>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shows that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 Hand collection was the dominant method at all four sites.</w:t>
      </w:r>
    </w:p>
    <w:p>
      <w:pPr>
        <w:spacing w:after="0" w:before="240" w:line="240"/>
      </w:pPr>
      <w:bookmarkStart w:id="41025" w:name="_Fig10"/>
      <w:r>
        <w:rPr>
          <w:rFonts w:ascii="Times New Roman" w:cs="Times New Roman" w:eastAsia="Times New Roman" w:hAnsi="Times New Roman"/>
          <w:b/>
          <w:bCs/>
          <w:color w:val="000000"/>
          <w:sz w:val="24"/>
          <w:szCs w:val="24"/>
        </w:rPr>
        <w:t xml:space="preserve">Figure 10</w:t>
      </w:r>
      <w:bookmarkEnd w:id="41025"/>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733675"/>
                    </a:xfrm>
                    <a:prstGeom prst="rect">
                      <a:avLst/>
                    </a:prstGeom>
                  </pic:spPr>
                </pic:pic>
              </a:graphicData>
            </a:graphic>
          </wp:inline>
        </w:drawing>
      </w:r>
    </w:p>
    <w:p>
      <w:pPr>
        <w:spacing w:after="0" w:before="240" w:line="240"/>
      </w:pPr>
      <w:bookmarkStart w:id="41026" w:name="_Tbl16"/>
      <w:r>
        <w:rPr>
          <w:rFonts w:ascii="Times New Roman" w:cs="Times New Roman" w:eastAsia="Times New Roman" w:hAnsi="Times New Roman"/>
          <w:b/>
          <w:bCs/>
          <w:color w:val="000000"/>
          <w:sz w:val="24"/>
          <w:szCs w:val="24"/>
        </w:rPr>
        <w:t xml:space="preserve">Table 16</w:t>
      </w:r>
      <w:bookmarkEnd w:id="41026"/>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 The 5–10 kg band was the most common at every site.</w:t>
      </w:r>
    </w:p>
    <w:p>
      <w:pPr>
        <w:spacing w:after="120" w:before="0" w:line="360"/>
        <w:jc w:val="both"/>
      </w:pPr>
      <w:r>
        <w:rPr>
          <w:rFonts w:ascii="Times New Roman" w:cs="Times New Roman" w:eastAsia="Times New Roman" w:hAnsi="Times New Roman"/>
          <w:color w:val="000000"/>
          <w:sz w:val="24"/>
          <w:szCs w:val="24"/>
        </w:rPr>
        <w:t xml:space="preserve">Tables 15 and 16 and Figures 9 and 10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outlineLvl w:val="2"/>
      </w:pPr>
      <w:bookmarkStart w:id="52063" w:name="_Toc_63"/>
      <w:r>
        <w:rPr>
          <w:rFonts w:ascii="Times New Roman" w:cs="Times New Roman" w:eastAsia="Times New Roman" w:hAnsi="Times New Roman"/>
          <w:b/>
          <w:bCs/>
          <w:color w:val="000000"/>
          <w:sz w:val="24"/>
          <w:szCs w:val="24"/>
        </w:rPr>
        <w:t xml:space="preserve">4.4.2 Buyers and Market Channels</w:t>
      </w:r>
      <w:bookmarkEnd w:id="52063"/>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bookmarkStart w:id="41027" w:name="_Fig11"/>
      <w:r>
        <w:rPr>
          <w:rFonts w:ascii="Times New Roman" w:cs="Times New Roman" w:eastAsia="Times New Roman" w:hAnsi="Times New Roman"/>
          <w:b/>
          <w:bCs/>
          <w:color w:val="000000"/>
          <w:sz w:val="24"/>
          <w:szCs w:val="24"/>
        </w:rPr>
        <w:t xml:space="preserve">Figure 11</w:t>
      </w:r>
      <w:bookmarkEnd w:id="41027"/>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428875"/>
                    </a:xfrm>
                    <a:prstGeom prst="rect">
                      <a:avLst/>
                    </a:prstGeom>
                  </pic:spPr>
                </pic:pic>
              </a:graphicData>
            </a:graphic>
          </wp:inline>
        </w:drawing>
      </w:r>
    </w:p>
    <w:p>
      <w:pPr>
        <w:spacing w:after="0" w:before="240" w:line="240"/>
      </w:pPr>
      <w:bookmarkStart w:id="41028" w:name="_Tbl17"/>
      <w:r>
        <w:rPr>
          <w:rFonts w:ascii="Times New Roman" w:cs="Times New Roman" w:eastAsia="Times New Roman" w:hAnsi="Times New Roman"/>
          <w:b/>
          <w:bCs/>
          <w:color w:val="000000"/>
          <w:sz w:val="24"/>
          <w:szCs w:val="24"/>
        </w:rPr>
        <w:t xml:space="preserve">Table 17</w:t>
      </w:r>
      <w:bookmarkEnd w:id="41028"/>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 Fishers sold exclusively to first-level middlemen; each downstream category had its own distinct main buyer.</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bookmarkStart w:id="41029" w:name="_Tbl18"/>
      <w:r>
        <w:rPr>
          <w:rFonts w:ascii="Times New Roman" w:cs="Times New Roman" w:eastAsia="Times New Roman" w:hAnsi="Times New Roman"/>
          <w:b/>
          <w:bCs/>
          <w:color w:val="000000"/>
          <w:sz w:val="24"/>
          <w:szCs w:val="24"/>
        </w:rPr>
        <w:t xml:space="preserve">Table 18</w:t>
      </w:r>
      <w:bookmarkEnd w:id="41029"/>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bookmarkStart w:id="41030" w:name="_Tbl19"/>
      <w:r>
        <w:rPr>
          <w:rFonts w:ascii="Times New Roman" w:cs="Times New Roman" w:eastAsia="Times New Roman" w:hAnsi="Times New Roman"/>
          <w:b/>
          <w:bCs/>
          <w:color w:val="000000"/>
          <w:sz w:val="24"/>
          <w:szCs w:val="24"/>
        </w:rPr>
        <w:t xml:space="preserve">Table 19</w:t>
      </w:r>
      <w:bookmarkEnd w:id="41030"/>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17. Not one actor upstream of the final buyer could say where the crab went next. Combined with the absence of market research reported later in Table 35, it means no actor in this chain has sight of the price two steps ahead of their own transaction.</w:t>
      </w:r>
    </w:p>
    <w:p>
      <w:pPr>
        <w:spacing w:after="0" w:before="240" w:line="240"/>
      </w:pPr>
      <w:bookmarkStart w:id="41031" w:name="_Tbl20"/>
      <w:r>
        <w:rPr>
          <w:rFonts w:ascii="Times New Roman" w:cs="Times New Roman" w:eastAsia="Times New Roman" w:hAnsi="Times New Roman"/>
          <w:b/>
          <w:bCs/>
          <w:color w:val="000000"/>
          <w:sz w:val="24"/>
          <w:szCs w:val="24"/>
        </w:rPr>
        <w:t xml:space="preserve">Table 20</w:t>
      </w:r>
      <w:bookmarkEnd w:id="41031"/>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bookmarkStart w:id="41032" w:name="_Tbl21"/>
      <w:r>
        <w:rPr>
          <w:rFonts w:ascii="Times New Roman" w:cs="Times New Roman" w:eastAsia="Times New Roman" w:hAnsi="Times New Roman"/>
          <w:b/>
          <w:bCs/>
          <w:color w:val="000000"/>
          <w:sz w:val="24"/>
          <w:szCs w:val="24"/>
        </w:rPr>
        <w:t xml:space="preserve">Table 21</w:t>
      </w:r>
      <w:bookmarkEnd w:id="41032"/>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18 and is reported here rather than left out, because an absent alternative buyer is itself the finding.</w:t>
      </w:r>
    </w:p>
    <w:p>
      <w:pPr>
        <w:pStyle w:val="Heading3"/>
        <w:spacing w:after="120" w:before="240" w:line="360"/>
        <w:outlineLvl w:val="2"/>
      </w:pPr>
      <w:bookmarkStart w:id="52064" w:name="_Toc_64"/>
      <w:r>
        <w:rPr>
          <w:rFonts w:ascii="Times New Roman" w:cs="Times New Roman" w:eastAsia="Times New Roman" w:hAnsi="Times New Roman"/>
          <w:b/>
          <w:bCs/>
          <w:color w:val="000000"/>
          <w:sz w:val="24"/>
          <w:szCs w:val="24"/>
        </w:rPr>
        <w:t xml:space="preserve">4.4.3 Preparation, Packaging and Transport</w:t>
      </w:r>
      <w:bookmarkEnd w:id="52064"/>
    </w:p>
    <w:p>
      <w:pPr>
        <w:spacing w:after="0" w:before="240" w:line="240"/>
      </w:pPr>
      <w:bookmarkStart w:id="41033" w:name="_Tbl22"/>
      <w:r>
        <w:rPr>
          <w:rFonts w:ascii="Times New Roman" w:cs="Times New Roman" w:eastAsia="Times New Roman" w:hAnsi="Times New Roman"/>
          <w:b/>
          <w:bCs/>
          <w:color w:val="000000"/>
          <w:sz w:val="24"/>
          <w:szCs w:val="24"/>
        </w:rPr>
        <w:t xml:space="preserve">Table 22</w:t>
      </w:r>
      <w:bookmarkEnd w:id="41033"/>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bookmarkStart w:id="41034" w:name="_Fig12"/>
      <w:r>
        <w:rPr>
          <w:rFonts w:ascii="Times New Roman" w:cs="Times New Roman" w:eastAsia="Times New Roman" w:hAnsi="Times New Roman"/>
          <w:b/>
          <w:bCs/>
          <w:color w:val="000000"/>
          <w:sz w:val="24"/>
          <w:szCs w:val="24"/>
        </w:rPr>
        <w:t xml:space="preserve">Figure 12</w:t>
      </w:r>
      <w:bookmarkEnd w:id="41034"/>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 Preparation moves from tying claws at the harvesting node to cleaning, sorting and grading downstream.</w:t>
      </w:r>
    </w:p>
    <w:p>
      <w:pPr>
        <w:spacing w:after="0" w:before="240" w:line="240"/>
      </w:pPr>
      <w:bookmarkStart w:id="41035" w:name="_Fig13"/>
      <w:r>
        <w:rPr>
          <w:rFonts w:ascii="Times New Roman" w:cs="Times New Roman" w:eastAsia="Times New Roman" w:hAnsi="Times New Roman"/>
          <w:b/>
          <w:bCs/>
          <w:color w:val="000000"/>
          <w:sz w:val="24"/>
          <w:szCs w:val="24"/>
        </w:rPr>
        <w:t xml:space="preserve">Figure 13</w:t>
      </w:r>
      <w:bookmarkEnd w:id="41035"/>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bookmarkStart w:id="41036" w:name="_Fig14"/>
      <w:r>
        <w:rPr>
          <w:rFonts w:ascii="Times New Roman" w:cs="Times New Roman" w:eastAsia="Times New Roman" w:hAnsi="Times New Roman"/>
          <w:b/>
          <w:bCs/>
          <w:color w:val="000000"/>
          <w:sz w:val="24"/>
          <w:szCs w:val="24"/>
        </w:rPr>
        <w:t xml:space="preserve">Figure 14</w:t>
      </w:r>
      <w:bookmarkEnd w:id="41036"/>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18 to 20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 Hoteliers did not complete this item.</w:t>
      </w:r>
    </w:p>
    <w:p>
      <w:pPr>
        <w:pStyle w:val="Heading3"/>
        <w:spacing w:after="120" w:before="240" w:line="360"/>
        <w:outlineLvl w:val="2"/>
      </w:pPr>
      <w:bookmarkStart w:id="52065" w:name="_Toc_65"/>
      <w:r>
        <w:rPr>
          <w:rFonts w:ascii="Times New Roman" w:cs="Times New Roman" w:eastAsia="Times New Roman" w:hAnsi="Times New Roman"/>
          <w:b/>
          <w:bCs/>
          <w:color w:val="000000"/>
          <w:sz w:val="24"/>
          <w:szCs w:val="24"/>
        </w:rPr>
        <w:t xml:space="preserve">4.4.4 Grading and Quality Control</w:t>
      </w:r>
      <w:bookmarkEnd w:id="52065"/>
    </w:p>
    <w:p>
      <w:pPr>
        <w:spacing w:after="0" w:before="240" w:line="240"/>
      </w:pPr>
      <w:bookmarkStart w:id="41037" w:name="_Tbl23"/>
      <w:r>
        <w:rPr>
          <w:rFonts w:ascii="Times New Roman" w:cs="Times New Roman" w:eastAsia="Times New Roman" w:hAnsi="Times New Roman"/>
          <w:b/>
          <w:bCs/>
          <w:color w:val="000000"/>
          <w:sz w:val="24"/>
          <w:szCs w:val="24"/>
        </w:rPr>
        <w:t xml:space="preserve">Table 23</w:t>
      </w:r>
      <w:bookmarkEnd w:id="41037"/>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single most consequential functional difference in the chapter. Every one of the 96 respondents, at every site, said they graded mud crabs. They did not grade by the same rule, and Figure 15 shows how far apart the criteria were.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bookmarkStart w:id="41038" w:name="_Fig15"/>
      <w:r>
        <w:rPr>
          <w:rFonts w:ascii="Times New Roman" w:cs="Times New Roman" w:eastAsia="Times New Roman" w:hAnsi="Times New Roman"/>
          <w:b/>
          <w:bCs/>
          <w:color w:val="000000"/>
          <w:sz w:val="24"/>
          <w:szCs w:val="24"/>
        </w:rPr>
        <w:t xml:space="preserve">Figure 15</w:t>
      </w:r>
      <w:bookmarkEnd w:id="41038"/>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1781175"/>
                    </a:xfrm>
                    <a:prstGeom prst="rect">
                      <a:avLst/>
                    </a:prstGeom>
                  </pic:spPr>
                </pic:pic>
              </a:graphicData>
            </a:graphic>
          </wp:inline>
        </w:drawing>
      </w:r>
    </w:p>
    <w:p>
      <w:pPr>
        <w:spacing w:after="0" w:before="240" w:line="240"/>
      </w:pPr>
      <w:bookmarkStart w:id="41039" w:name="_Tbl24"/>
      <w:r>
        <w:rPr>
          <w:rFonts w:ascii="Times New Roman" w:cs="Times New Roman" w:eastAsia="Times New Roman" w:hAnsi="Times New Roman"/>
          <w:b/>
          <w:bCs/>
          <w:color w:val="000000"/>
          <w:sz w:val="24"/>
          <w:szCs w:val="24"/>
        </w:rPr>
        <w:t xml:space="preserve">Table 24</w:t>
      </w:r>
      <w:bookmarkEnd w:id="41039"/>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 Fishers graded on weight alone; every other category used a four-criterion rule.</w:t>
      </w:r>
    </w:p>
    <w:p>
      <w:pPr>
        <w:spacing w:after="0" w:before="240" w:line="240"/>
      </w:pPr>
      <w:bookmarkStart w:id="41040" w:name="_Tbl25"/>
      <w:r>
        <w:rPr>
          <w:rFonts w:ascii="Times New Roman" w:cs="Times New Roman" w:eastAsia="Times New Roman" w:hAnsi="Times New Roman"/>
          <w:b/>
          <w:bCs/>
          <w:color w:val="000000"/>
          <w:sz w:val="24"/>
          <w:szCs w:val="24"/>
        </w:rPr>
        <w:t xml:space="preserve">Table 25</w:t>
      </w:r>
      <w:bookmarkEnd w:id="41040"/>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bookmarkStart w:id="41041" w:name="_Tbl26"/>
      <w:r>
        <w:rPr>
          <w:rFonts w:ascii="Times New Roman" w:cs="Times New Roman" w:eastAsia="Times New Roman" w:hAnsi="Times New Roman"/>
          <w:b/>
          <w:bCs/>
          <w:color w:val="000000"/>
          <w:sz w:val="24"/>
          <w:szCs w:val="24"/>
        </w:rPr>
        <w:t xml:space="preserve">Table 26</w:t>
      </w:r>
      <w:bookmarkEnd w:id="41041"/>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bookmarkStart w:id="41042" w:name="_Tbl27"/>
      <w:r>
        <w:rPr>
          <w:rFonts w:ascii="Times New Roman" w:cs="Times New Roman" w:eastAsia="Times New Roman" w:hAnsi="Times New Roman"/>
          <w:b/>
          <w:bCs/>
          <w:color w:val="000000"/>
          <w:sz w:val="24"/>
          <w:szCs w:val="24"/>
        </w:rPr>
        <w:t xml:space="preserve">Table 27</w:t>
      </w:r>
      <w:bookmarkEnd w:id="41042"/>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21 to 23 and Figures 13 and 14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outlineLvl w:val="2"/>
      </w:pPr>
      <w:bookmarkStart w:id="52066" w:name="_Toc_66"/>
      <w:r>
        <w:rPr>
          <w:rFonts w:ascii="Times New Roman" w:cs="Times New Roman" w:eastAsia="Times New Roman" w:hAnsi="Times New Roman"/>
          <w:b/>
          <w:bCs/>
          <w:color w:val="000000"/>
          <w:sz w:val="24"/>
          <w:szCs w:val="24"/>
        </w:rPr>
        <w:t xml:space="preserve">4.4.5 Reported Losses</w:t>
      </w:r>
      <w:bookmarkEnd w:id="52066"/>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bookmarkStart w:id="41043" w:name="_Fig16"/>
      <w:r>
        <w:rPr>
          <w:rFonts w:ascii="Times New Roman" w:cs="Times New Roman" w:eastAsia="Times New Roman" w:hAnsi="Times New Roman"/>
          <w:b/>
          <w:bCs/>
          <w:color w:val="000000"/>
          <w:sz w:val="24"/>
          <w:szCs w:val="24"/>
        </w:rPr>
        <w:t xml:space="preserve">Figure 16</w:t>
      </w:r>
      <w:bookmarkEnd w:id="41043"/>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600325"/>
                    </a:xfrm>
                    <a:prstGeom prst="rect">
                      <a:avLst/>
                    </a:prstGeom>
                  </pic:spPr>
                </pic:pic>
              </a:graphicData>
            </a:graphic>
          </wp:inline>
        </w:drawing>
      </w:r>
    </w:p>
    <w:p>
      <w:pPr>
        <w:spacing w:after="0" w:before="240" w:line="240"/>
      </w:pPr>
      <w:bookmarkStart w:id="41044" w:name="_Tbl28"/>
      <w:r>
        <w:rPr>
          <w:rFonts w:ascii="Times New Roman" w:cs="Times New Roman" w:eastAsia="Times New Roman" w:hAnsi="Times New Roman"/>
          <w:b/>
          <w:bCs/>
          <w:color w:val="000000"/>
          <w:sz w:val="24"/>
          <w:szCs w:val="24"/>
        </w:rPr>
        <w:t xml:space="preserve">Table 28</w:t>
      </w:r>
      <w:bookmarkEnd w:id="41044"/>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 Hoteliers reported no mortality because crabs were frozen on arrival.</w:t>
      </w:r>
    </w:p>
    <w:p>
      <w:pPr>
        <w:spacing w:after="120" w:before="0" w:line="360"/>
        <w:jc w:val="both"/>
      </w:pPr>
      <w:r>
        <w:rPr>
          <w:rFonts w:ascii="Times New Roman" w:cs="Times New Roman" w:eastAsia="Times New Roman" w:hAnsi="Times New Roman"/>
          <w:color w:val="000000"/>
          <w:sz w:val="24"/>
          <w:szCs w:val="24"/>
        </w:rPr>
        <w:t xml:space="preserve">Read together, Tables 24 and 25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outlineLvl w:val="2"/>
      </w:pPr>
      <w:bookmarkStart w:id="52067" w:name="_Toc_67"/>
      <w:r>
        <w:rPr>
          <w:rFonts w:ascii="Times New Roman" w:cs="Times New Roman" w:eastAsia="Times New Roman" w:hAnsi="Times New Roman"/>
          <w:b/>
          <w:bCs/>
          <w:color w:val="000000"/>
          <w:sz w:val="24"/>
          <w:szCs w:val="24"/>
        </w:rPr>
        <w:t xml:space="preserve">4.4.6 Payment, Price Setting and Sale Location</w:t>
      </w:r>
      <w:bookmarkEnd w:id="52067"/>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bookmarkStart w:id="41045" w:name="_Fig17"/>
      <w:r>
        <w:rPr>
          <w:rFonts w:ascii="Times New Roman" w:cs="Times New Roman" w:eastAsia="Times New Roman" w:hAnsi="Times New Roman"/>
          <w:b/>
          <w:bCs/>
          <w:color w:val="000000"/>
          <w:sz w:val="24"/>
          <w:szCs w:val="24"/>
        </w:rPr>
        <w:t xml:space="preserve">Figure 17</w:t>
      </w:r>
      <w:bookmarkEnd w:id="41045"/>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400300"/>
                    </a:xfrm>
                    <a:prstGeom prst="rect">
                      <a:avLst/>
                    </a:prstGeom>
                  </pic:spPr>
                </pic:pic>
              </a:graphicData>
            </a:graphic>
          </wp:inline>
        </w:drawing>
      </w:r>
    </w:p>
    <w:p>
      <w:pPr>
        <w:spacing w:after="0" w:before="240" w:line="240"/>
      </w:pPr>
      <w:bookmarkStart w:id="41046" w:name="_Tbl29"/>
      <w:r>
        <w:rPr>
          <w:rFonts w:ascii="Times New Roman" w:cs="Times New Roman" w:eastAsia="Times New Roman" w:hAnsi="Times New Roman"/>
          <w:b/>
          <w:bCs/>
          <w:color w:val="000000"/>
          <w:sz w:val="24"/>
          <w:szCs w:val="24"/>
        </w:rPr>
        <w:t xml:space="preserve">Table 29</w:t>
      </w:r>
      <w:bookmarkEnd w:id="41046"/>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 The payment item was not completed by exporters.</w:t>
      </w:r>
    </w:p>
    <w:p>
      <w:pPr>
        <w:spacing w:after="0" w:before="240" w:line="240"/>
      </w:pPr>
      <w:bookmarkStart w:id="41047" w:name="_Fig18"/>
      <w:r>
        <w:rPr>
          <w:rFonts w:ascii="Times New Roman" w:cs="Times New Roman" w:eastAsia="Times New Roman" w:hAnsi="Times New Roman"/>
          <w:b/>
          <w:bCs/>
          <w:color w:val="000000"/>
          <w:sz w:val="24"/>
          <w:szCs w:val="24"/>
        </w:rPr>
        <w:t xml:space="preserve">Figure 18</w:t>
      </w:r>
      <w:bookmarkEnd w:id="41047"/>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47850"/>
                    </a:xfrm>
                    <a:prstGeom prst="rect">
                      <a:avLst/>
                    </a:prstGeom>
                  </pic:spPr>
                </pic:pic>
              </a:graphicData>
            </a:graphic>
          </wp:inline>
        </w:drawing>
      </w:r>
    </w:p>
    <w:p>
      <w:pPr>
        <w:spacing w:after="0" w:before="240" w:line="240"/>
      </w:pPr>
      <w:bookmarkStart w:id="41048" w:name="_Tbl30"/>
      <w:r>
        <w:rPr>
          <w:rFonts w:ascii="Times New Roman" w:cs="Times New Roman" w:eastAsia="Times New Roman" w:hAnsi="Times New Roman"/>
          <w:b/>
          <w:bCs/>
          <w:color w:val="000000"/>
          <w:sz w:val="24"/>
          <w:szCs w:val="24"/>
        </w:rPr>
        <w:t xml:space="preserve">Table 30</w:t>
      </w:r>
      <w:bookmarkEnd w:id="41048"/>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 Fishers and hoteliers described the price as fixed by the buyer; middlemen and exporters described their own pricing as competitive.</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outlineLvl w:val="2"/>
      </w:pPr>
      <w:bookmarkStart w:id="52068" w:name="_Toc_68"/>
      <w:r>
        <w:rPr>
          <w:rFonts w:ascii="Times New Roman" w:cs="Times New Roman" w:eastAsia="Times New Roman" w:hAnsi="Times New Roman"/>
          <w:b/>
          <w:bCs/>
          <w:color w:val="000000"/>
          <w:sz w:val="24"/>
          <w:szCs w:val="24"/>
        </w:rPr>
        <w:t xml:space="preserve">4.4.7 Trading Relationships and Market Information</w:t>
      </w:r>
      <w:bookmarkEnd w:id="52068"/>
    </w:p>
    <w:p>
      <w:pPr>
        <w:spacing w:after="0" w:before="240" w:line="240"/>
      </w:pPr>
      <w:bookmarkStart w:id="41049" w:name="_Tbl31"/>
      <w:r>
        <w:rPr>
          <w:rFonts w:ascii="Times New Roman" w:cs="Times New Roman" w:eastAsia="Times New Roman" w:hAnsi="Times New Roman"/>
          <w:b/>
          <w:bCs/>
          <w:color w:val="000000"/>
          <w:sz w:val="24"/>
          <w:szCs w:val="24"/>
        </w:rPr>
        <w:t xml:space="preserve">Table 31</w:t>
      </w:r>
      <w:bookmarkEnd w:id="41049"/>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12, where 93.8% of fishers named a middleman as their source of credit, the two tables describe a single mechanism from both ends.</w:t>
      </w:r>
    </w:p>
    <w:p>
      <w:pPr>
        <w:spacing w:after="0" w:before="240" w:line="240"/>
      </w:pPr>
      <w:bookmarkStart w:id="41050" w:name="_Tbl32"/>
      <w:r>
        <w:rPr>
          <w:rFonts w:ascii="Times New Roman" w:cs="Times New Roman" w:eastAsia="Times New Roman" w:hAnsi="Times New Roman"/>
          <w:b/>
          <w:bCs/>
          <w:color w:val="000000"/>
          <w:sz w:val="24"/>
          <w:szCs w:val="24"/>
        </w:rPr>
        <w:t xml:space="preserve">Table 32</w:t>
      </w:r>
      <w:bookmarkEnd w:id="41050"/>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31, the pattern is that obligations become more commercial further down the chain. A fisher is held by an advance; a middleman is held by a quantity he has undertaken to deliver. Neither is a written contract in the ordinary sense, and Table 33 shows that only one of the ten fishers who answered reported having any trading agreement at all.</w:t>
      </w:r>
    </w:p>
    <w:p>
      <w:pPr>
        <w:spacing w:after="0" w:before="240" w:line="240"/>
      </w:pPr>
      <w:bookmarkStart w:id="41051" w:name="_Tbl33"/>
      <w:r>
        <w:rPr>
          <w:rFonts w:ascii="Times New Roman" w:cs="Times New Roman" w:eastAsia="Times New Roman" w:hAnsi="Times New Roman"/>
          <w:b/>
          <w:bCs/>
          <w:color w:val="000000"/>
          <w:sz w:val="24"/>
          <w:szCs w:val="24"/>
        </w:rPr>
        <w:t xml:space="preserve">Table 33</w:t>
      </w:r>
      <w:bookmarkEnd w:id="41051"/>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bookmarkStart w:id="41052" w:name="_Tbl34"/>
      <w:r>
        <w:rPr>
          <w:rFonts w:ascii="Times New Roman" w:cs="Times New Roman" w:eastAsia="Times New Roman" w:hAnsi="Times New Roman"/>
          <w:b/>
          <w:bCs/>
          <w:color w:val="000000"/>
          <w:sz w:val="24"/>
          <w:szCs w:val="24"/>
        </w:rPr>
        <w:t xml:space="preserve">Table 34</w:t>
      </w:r>
      <w:bookmarkEnd w:id="41052"/>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bookmarkStart w:id="41053" w:name="_Tbl35"/>
      <w:r>
        <w:rPr>
          <w:rFonts w:ascii="Times New Roman" w:cs="Times New Roman" w:eastAsia="Times New Roman" w:hAnsi="Times New Roman"/>
          <w:b/>
          <w:bCs/>
          <w:color w:val="000000"/>
          <w:sz w:val="24"/>
          <w:szCs w:val="24"/>
        </w:rPr>
        <w:t xml:space="preserve">Table 35</w:t>
      </w:r>
      <w:bookmarkEnd w:id="41053"/>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28 and 29 and Figure 17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outlineLvl w:val="2"/>
      </w:pPr>
      <w:bookmarkStart w:id="52069" w:name="_Toc_69"/>
      <w:r>
        <w:rPr>
          <w:rFonts w:ascii="Times New Roman" w:cs="Times New Roman" w:eastAsia="Times New Roman" w:hAnsi="Times New Roman"/>
          <w:b/>
          <w:bCs/>
          <w:color w:val="000000"/>
          <w:sz w:val="24"/>
          <w:szCs w:val="24"/>
        </w:rPr>
        <w:t xml:space="preserve">4.4.8 Reported Mud Crab Prices</w:t>
      </w:r>
      <w:bookmarkEnd w:id="52069"/>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bookmarkStart w:id="41054" w:name="_Tbl36"/>
      <w:r>
        <w:rPr>
          <w:rFonts w:ascii="Times New Roman" w:cs="Times New Roman" w:eastAsia="Times New Roman" w:hAnsi="Times New Roman"/>
          <w:b/>
          <w:bCs/>
          <w:color w:val="000000"/>
          <w:sz w:val="24"/>
          <w:szCs w:val="24"/>
        </w:rPr>
        <w:t xml:space="preserve">Table 36</w:t>
      </w:r>
      <w:bookmarkEnd w:id="41054"/>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bookmarkStart w:id="41055" w:name="_Tbl37"/>
      <w:r>
        <w:rPr>
          <w:rFonts w:ascii="Times New Roman" w:cs="Times New Roman" w:eastAsia="Times New Roman" w:hAnsi="Times New Roman"/>
          <w:b/>
          <w:bCs/>
          <w:color w:val="000000"/>
          <w:sz w:val="24"/>
          <w:szCs w:val="24"/>
        </w:rPr>
        <w:t xml:space="preserve">Table 37</w:t>
      </w:r>
      <w:bookmarkEnd w:id="41055"/>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 Small-grade prices were reported only by fishers. The hotelier medium-grade mean of KSh 380 is discussed below.</w:t>
      </w:r>
    </w:p>
    <w:p>
      <w:pPr>
        <w:pStyle w:val="Heading3"/>
        <w:spacing w:after="120" w:before="240" w:line="360"/>
        <w:outlineLvl w:val="2"/>
      </w:pPr>
      <w:bookmarkStart w:id="52070" w:name="_Toc_70"/>
      <w:r>
        <w:rPr>
          <w:rFonts w:ascii="Times New Roman" w:cs="Times New Roman" w:eastAsia="Times New Roman" w:hAnsi="Times New Roman"/>
          <w:b/>
          <w:bCs/>
          <w:color w:val="000000"/>
          <w:sz w:val="24"/>
          <w:szCs w:val="24"/>
        </w:rPr>
        <w:t xml:space="preserve">4.4.9 Marketing Margins and the Distribution of Value</w:t>
      </w:r>
      <w:bookmarkEnd w:id="52070"/>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bookmarkStart w:id="41056" w:name="_Tbl38"/>
      <w:r>
        <w:rPr>
          <w:rFonts w:ascii="Times New Roman" w:cs="Times New Roman" w:eastAsia="Times New Roman" w:hAnsi="Times New Roman"/>
          <w:b/>
          <w:bCs/>
          <w:color w:val="000000"/>
          <w:sz w:val="24"/>
          <w:szCs w:val="24"/>
        </w:rPr>
        <w:t xml:space="preserve">Table 38</w:t>
      </w:r>
      <w:bookmarkEnd w:id="41056"/>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38,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 Shares sum to 100% within each bar. Because no cost data were collected these are gross price spreads and not net margins. The medium grade sold on to hoteliers is not shown, for the reason given above.</w:t>
      </w:r>
    </w:p>
    <w:p>
      <w:pPr>
        <w:pStyle w:val="Heading3"/>
        <w:spacing w:after="120" w:before="240" w:line="360"/>
        <w:outlineLvl w:val="2"/>
      </w:pPr>
      <w:bookmarkStart w:id="52071" w:name="_Toc_71"/>
      <w:r>
        <w:rPr>
          <w:rFonts w:ascii="Times New Roman" w:cs="Times New Roman" w:eastAsia="Times New Roman" w:hAnsi="Times New Roman"/>
          <w:b/>
          <w:bCs/>
          <w:color w:val="000000"/>
          <w:sz w:val="24"/>
          <w:szCs w:val="24"/>
        </w:rPr>
        <w:t xml:space="preserve">4.4.10 Prices by Study Site</w:t>
      </w:r>
      <w:bookmarkEnd w:id="52071"/>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bookmarkStart w:id="41057" w:name="_Tbl39"/>
      <w:r>
        <w:rPr>
          <w:rFonts w:ascii="Times New Roman" w:cs="Times New Roman" w:eastAsia="Times New Roman" w:hAnsi="Times New Roman"/>
          <w:b/>
          <w:bCs/>
          <w:color w:val="000000"/>
          <w:sz w:val="24"/>
          <w:szCs w:val="24"/>
        </w:rPr>
        <w:t xml:space="preserve">Table 39</w:t>
      </w:r>
      <w:bookmarkEnd w:id="41057"/>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39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bookmarkStart w:id="41058" w:name="_Tbl40"/>
      <w:r>
        <w:rPr>
          <w:rFonts w:ascii="Times New Roman" w:cs="Times New Roman" w:eastAsia="Times New Roman" w:hAnsi="Times New Roman"/>
          <w:b/>
          <w:bCs/>
          <w:color w:val="000000"/>
          <w:sz w:val="24"/>
          <w:szCs w:val="24"/>
        </w:rPr>
        <w:t xml:space="preserve">Table 40</w:t>
      </w:r>
      <w:bookmarkEnd w:id="41058"/>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40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A missing bar means no respondent of that actor category was sampled at that site.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A taller bar means a narrower gap between the two nodes. Msambweni and the Other sites group are absent because no middleman was sampled there.</w:t>
      </w:r>
    </w:p>
    <w:p>
      <w:pPr>
        <w:pStyle w:val="Heading3"/>
        <w:spacing w:after="120" w:before="240" w:line="360"/>
        <w:outlineLvl w:val="2"/>
      </w:pPr>
      <w:bookmarkStart w:id="52072" w:name="_Toc_72"/>
      <w:r>
        <w:rPr>
          <w:rFonts w:ascii="Times New Roman" w:cs="Times New Roman" w:eastAsia="Times New Roman" w:hAnsi="Times New Roman"/>
          <w:b/>
          <w:bCs/>
          <w:color w:val="000000"/>
          <w:sz w:val="24"/>
          <w:szCs w:val="24"/>
        </w:rPr>
        <w:t xml:space="preserve">4.4.11 Summary of Objective Two</w:t>
      </w:r>
      <w:bookmarkEnd w:id="52072"/>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outlineLvl w:val="2"/>
      </w:pPr>
      <w:bookmarkStart w:id="52073" w:name="_Toc_73"/>
      <w:r>
        <w:rPr>
          <w:rFonts w:ascii="Times New Roman" w:cs="Times New Roman" w:eastAsia="Times New Roman" w:hAnsi="Times New Roman"/>
          <w:b/>
          <w:bCs/>
          <w:color w:val="000000"/>
          <w:sz w:val="24"/>
          <w:szCs w:val="24"/>
        </w:rPr>
        <w:t xml:space="preserve">4.4.12 Discussion of Findings in Relation to Previous Studies</w:t>
      </w:r>
      <w:bookmarkEnd w:id="52073"/>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Figure 16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outlineLvl w:val="1"/>
      </w:pPr>
      <w:bookmarkStart w:id="52074" w:name="_Toc_74"/>
      <w:r>
        <w:rPr>
          <w:rFonts w:ascii="Times New Roman" w:cs="Times New Roman" w:eastAsia="Times New Roman" w:hAnsi="Times New Roman"/>
          <w:b/>
          <w:bCs/>
          <w:color w:val="000000"/>
          <w:sz w:val="26"/>
          <w:szCs w:val="26"/>
        </w:rPr>
        <w:t xml:space="preserve">4.5 Objective Three: Constraints and Opportunities Facing Each Actor Category</w:t>
      </w:r>
      <w:bookmarkEnd w:id="52074"/>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outlineLvl w:val="2"/>
      </w:pPr>
      <w:bookmarkStart w:id="52075" w:name="_Toc_75"/>
      <w:r>
        <w:rPr>
          <w:rFonts w:ascii="Times New Roman" w:cs="Times New Roman" w:eastAsia="Times New Roman" w:hAnsi="Times New Roman"/>
          <w:b/>
          <w:bCs/>
          <w:color w:val="000000"/>
          <w:sz w:val="24"/>
          <w:szCs w:val="24"/>
        </w:rPr>
        <w:t xml:space="preserve">4.5.1 Operational and Infrastructure Constraints</w:t>
      </w:r>
      <w:bookmarkEnd w:id="52075"/>
    </w:p>
    <w:p>
      <w:pPr>
        <w:spacing w:after="0" w:before="240" w:line="240"/>
      </w:pPr>
      <w:bookmarkStart w:id="41059" w:name="_Tbl41"/>
      <w:r>
        <w:rPr>
          <w:rFonts w:ascii="Times New Roman" w:cs="Times New Roman" w:eastAsia="Times New Roman" w:hAnsi="Times New Roman"/>
          <w:b/>
          <w:bCs/>
          <w:color w:val="000000"/>
          <w:sz w:val="24"/>
          <w:szCs w:val="24"/>
        </w:rPr>
        <w:t xml:space="preserve">Table 41</w:t>
      </w:r>
      <w:bookmarkEnd w:id="41059"/>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bookmarkStart w:id="41060" w:name="_Tbl42"/>
      <w:r>
        <w:rPr>
          <w:rFonts w:ascii="Times New Roman" w:cs="Times New Roman" w:eastAsia="Times New Roman" w:hAnsi="Times New Roman"/>
          <w:b/>
          <w:bCs/>
          <w:color w:val="000000"/>
          <w:sz w:val="24"/>
          <w:szCs w:val="24"/>
        </w:rPr>
        <w:t xml:space="preserve">Table 42</w:t>
      </w:r>
      <w:bookmarkEnd w:id="41060"/>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bookmarkStart w:id="41061" w:name="_Fig19"/>
      <w:r>
        <w:rPr>
          <w:rFonts w:ascii="Times New Roman" w:cs="Times New Roman" w:eastAsia="Times New Roman" w:hAnsi="Times New Roman"/>
          <w:b/>
          <w:bCs/>
          <w:color w:val="000000"/>
          <w:sz w:val="24"/>
          <w:szCs w:val="24"/>
        </w:rPr>
        <w:t xml:space="preserve">Figure 19</w:t>
      </w:r>
      <w:bookmarkEnd w:id="41061"/>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35 and 36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outlineLvl w:val="2"/>
      </w:pPr>
      <w:bookmarkStart w:id="52076" w:name="_Toc_76"/>
      <w:r>
        <w:rPr>
          <w:rFonts w:ascii="Times New Roman" w:cs="Times New Roman" w:eastAsia="Times New Roman" w:hAnsi="Times New Roman"/>
          <w:b/>
          <w:bCs/>
          <w:color w:val="000000"/>
          <w:sz w:val="24"/>
          <w:szCs w:val="24"/>
        </w:rPr>
        <w:t xml:space="preserve">4.5.2 Market Access, Operational Challenges and Risk</w:t>
      </w:r>
      <w:bookmarkEnd w:id="52076"/>
    </w:p>
    <w:p>
      <w:pPr>
        <w:spacing w:after="0" w:before="240" w:line="240"/>
      </w:pPr>
      <w:bookmarkStart w:id="41062" w:name="_Tbl43"/>
      <w:r>
        <w:rPr>
          <w:rFonts w:ascii="Times New Roman" w:cs="Times New Roman" w:eastAsia="Times New Roman" w:hAnsi="Times New Roman"/>
          <w:b/>
          <w:bCs/>
          <w:color w:val="000000"/>
          <w:sz w:val="24"/>
          <w:szCs w:val="24"/>
        </w:rPr>
        <w:t xml:space="preserve">Table 43</w:t>
      </w:r>
      <w:bookmarkEnd w:id="41062"/>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bookmarkStart w:id="41063" w:name="_Tbl44"/>
      <w:r>
        <w:rPr>
          <w:rFonts w:ascii="Times New Roman" w:cs="Times New Roman" w:eastAsia="Times New Roman" w:hAnsi="Times New Roman"/>
          <w:b/>
          <w:bCs/>
          <w:color w:val="000000"/>
          <w:sz w:val="24"/>
          <w:szCs w:val="24"/>
        </w:rPr>
        <w:t xml:space="preserve">Table 44</w:t>
      </w:r>
      <w:bookmarkEnd w:id="41063"/>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bookmarkStart w:id="41064" w:name="_Tbl45"/>
      <w:r>
        <w:rPr>
          <w:rFonts w:ascii="Times New Roman" w:cs="Times New Roman" w:eastAsia="Times New Roman" w:hAnsi="Times New Roman"/>
          <w:b/>
          <w:bCs/>
          <w:color w:val="000000"/>
          <w:sz w:val="24"/>
          <w:szCs w:val="24"/>
        </w:rPr>
        <w:t xml:space="preserve">Table 45</w:t>
      </w:r>
      <w:bookmarkEnd w:id="41064"/>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45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37 to 39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outlineLvl w:val="2"/>
      </w:pPr>
      <w:bookmarkStart w:id="52077" w:name="_Toc_77"/>
      <w:r>
        <w:rPr>
          <w:rFonts w:ascii="Times New Roman" w:cs="Times New Roman" w:eastAsia="Times New Roman" w:hAnsi="Times New Roman"/>
          <w:b/>
          <w:bCs/>
          <w:color w:val="000000"/>
          <w:sz w:val="24"/>
          <w:szCs w:val="24"/>
        </w:rPr>
        <w:t xml:space="preserve">4.5.3 Regulation and Access to Information</w:t>
      </w:r>
      <w:bookmarkEnd w:id="52077"/>
    </w:p>
    <w:p>
      <w:pPr>
        <w:spacing w:after="0" w:before="240" w:line="240"/>
      </w:pPr>
      <w:bookmarkStart w:id="41065" w:name="_Tbl46"/>
      <w:r>
        <w:rPr>
          <w:rFonts w:ascii="Times New Roman" w:cs="Times New Roman" w:eastAsia="Times New Roman" w:hAnsi="Times New Roman"/>
          <w:b/>
          <w:bCs/>
          <w:color w:val="000000"/>
          <w:sz w:val="24"/>
          <w:szCs w:val="24"/>
        </w:rPr>
        <w:t xml:space="preserve">Table 46</w:t>
      </w:r>
      <w:bookmarkEnd w:id="41065"/>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46,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bookmarkStart w:id="41066" w:name="_Fig20"/>
      <w:r>
        <w:rPr>
          <w:rFonts w:ascii="Times New Roman" w:cs="Times New Roman" w:eastAsia="Times New Roman" w:hAnsi="Times New Roman"/>
          <w:b/>
          <w:bCs/>
          <w:color w:val="000000"/>
          <w:sz w:val="24"/>
          <w:szCs w:val="24"/>
        </w:rPr>
        <w:t xml:space="preserve">Figure 20</w:t>
      </w:r>
      <w:bookmarkEnd w:id="41066"/>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 No fisher at Majoreni reported awareness of the plan.</w:t>
      </w:r>
    </w:p>
    <w:p>
      <w:pPr>
        <w:pStyle w:val="Heading3"/>
        <w:spacing w:after="120" w:before="240" w:line="360"/>
        <w:outlineLvl w:val="2"/>
      </w:pPr>
      <w:bookmarkStart w:id="52078" w:name="_Toc_78"/>
      <w:r>
        <w:rPr>
          <w:rFonts w:ascii="Times New Roman" w:cs="Times New Roman" w:eastAsia="Times New Roman" w:hAnsi="Times New Roman"/>
          <w:b/>
          <w:bCs/>
          <w:color w:val="000000"/>
          <w:sz w:val="24"/>
          <w:szCs w:val="24"/>
        </w:rPr>
        <w:t xml:space="preserve">4.5.4 Perceptions of Market Organisation and Policy</w:t>
      </w:r>
      <w:bookmarkEnd w:id="52078"/>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bookmarkStart w:id="41067" w:name="_Fig21"/>
      <w:r>
        <w:rPr>
          <w:rFonts w:ascii="Times New Roman" w:cs="Times New Roman" w:eastAsia="Times New Roman" w:hAnsi="Times New Roman"/>
          <w:b/>
          <w:bCs/>
          <w:color w:val="000000"/>
          <w:sz w:val="24"/>
          <w:szCs w:val="24"/>
        </w:rPr>
        <w:t xml:space="preserve">Figure 21</w:t>
      </w:r>
      <w:bookmarkEnd w:id="41067"/>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276475"/>
                    </a:xfrm>
                    <a:prstGeom prst="rect">
                      <a:avLst/>
                    </a:prstGeom>
                  </pic:spPr>
                </pic:pic>
              </a:graphicData>
            </a:graphic>
          </wp:inline>
        </w:drawing>
      </w:r>
    </w:p>
    <w:p>
      <w:pPr>
        <w:spacing w:after="0" w:before="240" w:line="240"/>
      </w:pPr>
      <w:bookmarkStart w:id="41068" w:name="_Tbl47"/>
      <w:r>
        <w:rPr>
          <w:rFonts w:ascii="Times New Roman" w:cs="Times New Roman" w:eastAsia="Times New Roman" w:hAnsi="Times New Roman"/>
          <w:b/>
          <w:bCs/>
          <w:color w:val="000000"/>
          <w:sz w:val="24"/>
          <w:szCs w:val="24"/>
        </w:rPr>
        <w:t xml:space="preserve">Table 47</w:t>
      </w:r>
      <w:bookmarkEnd w:id="41068"/>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47 shows. Fifty-two fishers (80.0%) disagreed and only 2 (3.1%) agreed; among middlemen, 14 (63.6%) strongly disagreed and the remaining 8 (36.4%) disagreed, so not one middleman was neutral or positive. All hoteliers and exporters disagreed. Neither group varied significantly by site. No hotelier or exporter agreed that the market is well structured.</w:t>
      </w:r>
    </w:p>
    <w:p>
      <w:pPr>
        <w:spacing w:after="0" w:before="240" w:line="240"/>
      </w:pPr>
      <w:bookmarkStart w:id="41069" w:name="_Tbl48"/>
      <w:r>
        <w:rPr>
          <w:rFonts w:ascii="Times New Roman" w:cs="Times New Roman" w:eastAsia="Times New Roman" w:hAnsi="Times New Roman"/>
          <w:b/>
          <w:bCs/>
          <w:color w:val="000000"/>
          <w:sz w:val="24"/>
          <w:szCs w:val="24"/>
        </w:rPr>
        <w:t xml:space="preserve">Table 48</w:t>
      </w:r>
      <w:bookmarkEnd w:id="41069"/>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46,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outlineLvl w:val="2"/>
      </w:pPr>
      <w:bookmarkStart w:id="52079" w:name="_Toc_79"/>
      <w:r>
        <w:rPr>
          <w:rFonts w:ascii="Times New Roman" w:cs="Times New Roman" w:eastAsia="Times New Roman" w:hAnsi="Times New Roman"/>
          <w:b/>
          <w:bCs/>
          <w:color w:val="000000"/>
          <w:sz w:val="24"/>
          <w:szCs w:val="24"/>
        </w:rPr>
        <w:t xml:space="preserve">4.5.5 Opportunities, Youth Participation and Diversification</w:t>
      </w:r>
      <w:bookmarkEnd w:id="52079"/>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bookmarkStart w:id="41070" w:name="_Fig22"/>
      <w:r>
        <w:rPr>
          <w:rFonts w:ascii="Times New Roman" w:cs="Times New Roman" w:eastAsia="Times New Roman" w:hAnsi="Times New Roman"/>
          <w:b/>
          <w:bCs/>
          <w:color w:val="000000"/>
          <w:sz w:val="24"/>
          <w:szCs w:val="24"/>
        </w:rPr>
        <w:t xml:space="preserve">Figure 22</w:t>
      </w:r>
      <w:bookmarkEnd w:id="41070"/>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1724025"/>
                    </a:xfrm>
                    <a:prstGeom prst="rect">
                      <a:avLst/>
                    </a:prstGeom>
                  </pic:spPr>
                </pic:pic>
              </a:graphicData>
            </a:graphic>
          </wp:inline>
        </w:drawing>
      </w:r>
    </w:p>
    <w:p>
      <w:pPr>
        <w:spacing w:after="0" w:before="240" w:line="240"/>
      </w:pPr>
      <w:bookmarkStart w:id="41071" w:name="_Fig23"/>
      <w:r>
        <w:rPr>
          <w:rFonts w:ascii="Times New Roman" w:cs="Times New Roman" w:eastAsia="Times New Roman" w:hAnsi="Times New Roman"/>
          <w:b/>
          <w:bCs/>
          <w:color w:val="000000"/>
          <w:sz w:val="24"/>
          <w:szCs w:val="24"/>
        </w:rPr>
        <w:t xml:space="preserve">Figure 23</w:t>
      </w:r>
      <w:bookmarkEnd w:id="41071"/>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 Fishers and middlemen named opposite priorities.</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bookmarkStart w:id="41072" w:name="_Fig24"/>
      <w:r>
        <w:rPr>
          <w:rFonts w:ascii="Times New Roman" w:cs="Times New Roman" w:eastAsia="Times New Roman" w:hAnsi="Times New Roman"/>
          <w:b/>
          <w:bCs/>
          <w:color w:val="000000"/>
          <w:sz w:val="24"/>
          <w:szCs w:val="24"/>
        </w:rPr>
        <w:t xml:space="preserve">Figure 24</w:t>
      </w:r>
      <w:bookmarkEnd w:id="41072"/>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2447925"/>
                    </a:xfrm>
                    <a:prstGeom prst="rect">
                      <a:avLst/>
                    </a:prstGeom>
                  </pic:spPr>
                </pic:pic>
              </a:graphicData>
            </a:graphic>
          </wp:inline>
        </w:drawing>
      </w:r>
    </w:p>
    <w:p>
      <w:pPr>
        <w:spacing w:after="0" w:before="240" w:line="240"/>
      </w:pPr>
      <w:bookmarkStart w:id="41073" w:name="_Fig25"/>
      <w:r>
        <w:rPr>
          <w:rFonts w:ascii="Times New Roman" w:cs="Times New Roman" w:eastAsia="Times New Roman" w:hAnsi="Times New Roman"/>
          <w:b/>
          <w:bCs/>
          <w:color w:val="000000"/>
          <w:sz w:val="24"/>
          <w:szCs w:val="24"/>
        </w:rPr>
        <w:t xml:space="preserve">Figure 25</w:t>
      </w:r>
      <w:bookmarkEnd w:id="41073"/>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 No respondent in any category rated youth involvement as high.</w:t>
      </w:r>
    </w:p>
    <w:p>
      <w:pPr>
        <w:pStyle w:val="Heading3"/>
        <w:spacing w:after="120" w:before="240" w:line="360"/>
        <w:outlineLvl w:val="2"/>
      </w:pPr>
      <w:bookmarkStart w:id="52080" w:name="_Toc_80"/>
      <w:r>
        <w:rPr>
          <w:rFonts w:ascii="Times New Roman" w:cs="Times New Roman" w:eastAsia="Times New Roman" w:hAnsi="Times New Roman"/>
          <w:b/>
          <w:bCs/>
          <w:color w:val="000000"/>
          <w:sz w:val="24"/>
          <w:szCs w:val="24"/>
        </w:rPr>
        <w:t xml:space="preserve">4.5.6 Summary of Objective Three</w:t>
      </w:r>
      <w:bookmarkEnd w:id="52080"/>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outlineLvl w:val="2"/>
      </w:pPr>
      <w:bookmarkStart w:id="52081" w:name="_Toc_81"/>
      <w:r>
        <w:rPr>
          <w:rFonts w:ascii="Times New Roman" w:cs="Times New Roman" w:eastAsia="Times New Roman" w:hAnsi="Times New Roman"/>
          <w:b/>
          <w:bCs/>
          <w:color w:val="000000"/>
          <w:sz w:val="24"/>
          <w:szCs w:val="24"/>
        </w:rPr>
        <w:t xml:space="preserve">4.5.7 Discussion of Findings in Relation to Previous Studies</w:t>
      </w:r>
      <w:bookmarkEnd w:id="52081"/>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outlineLvl w:val="1"/>
      </w:pPr>
      <w:bookmarkStart w:id="52082" w:name="_Toc_82"/>
      <w:r>
        <w:rPr>
          <w:rFonts w:ascii="Times New Roman" w:cs="Times New Roman" w:eastAsia="Times New Roman" w:hAnsi="Times New Roman"/>
          <w:b/>
          <w:bCs/>
          <w:color w:val="000000"/>
          <w:sz w:val="26"/>
          <w:szCs w:val="26"/>
        </w:rPr>
        <w:t xml:space="preserve">4.6 Actor-Specific Associations With BMU</w:t>
      </w:r>
      <w:bookmarkEnd w:id="52082"/>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bookmarkStart w:id="41074" w:name="_Tbl49"/>
      <w:r>
        <w:rPr>
          <w:rFonts w:ascii="Times New Roman" w:cs="Times New Roman" w:eastAsia="Times New Roman" w:hAnsi="Times New Roman"/>
          <w:b/>
          <w:bCs/>
          <w:color w:val="000000"/>
          <w:sz w:val="24"/>
          <w:szCs w:val="24"/>
        </w:rPr>
        <w:t xml:space="preserve">Table 49</w:t>
      </w:r>
      <w:bookmarkEnd w:id="41074"/>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49.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outlineLvl w:val="1"/>
      </w:pPr>
      <w:bookmarkStart w:id="52083" w:name="_Toc_83"/>
      <w:r>
        <w:rPr>
          <w:rFonts w:ascii="Times New Roman" w:cs="Times New Roman" w:eastAsia="Times New Roman" w:hAnsi="Times New Roman"/>
          <w:b/>
          <w:bCs/>
          <w:color w:val="000000"/>
          <w:sz w:val="26"/>
          <w:szCs w:val="26"/>
        </w:rPr>
        <w:t xml:space="preserve">4.7 Chapter Summary</w:t>
      </w:r>
      <w:bookmarkEnd w:id="52083"/>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outlineLvl w:val="0"/>
      </w:pPr>
      <w:bookmarkStart w:id="52084" w:name="_Toc_84"/>
      <w:r>
        <w:rPr>
          <w:rFonts w:ascii="Times New Roman" w:cs="Times New Roman" w:eastAsia="Times New Roman" w:hAnsi="Times New Roman"/>
          <w:b/>
          <w:bCs/>
          <w:color w:val="000000"/>
          <w:sz w:val="28"/>
          <w:szCs w:val="28"/>
        </w:rPr>
        <w:t xml:space="preserve">CHAPTER FIVE: DISCUSSION</w:t>
      </w:r>
      <w:bookmarkEnd w:id="52084"/>
    </w:p>
    <w:p>
      <w:pPr>
        <w:pStyle w:val="Heading2"/>
        <w:spacing w:after="140" w:before="280" w:line="360"/>
        <w:outlineLvl w:val="1"/>
      </w:pPr>
      <w:bookmarkStart w:id="52085" w:name="_Toc_85"/>
      <w:r>
        <w:rPr>
          <w:rFonts w:ascii="Times New Roman" w:cs="Times New Roman" w:eastAsia="Times New Roman" w:hAnsi="Times New Roman"/>
          <w:b/>
          <w:bCs/>
          <w:color w:val="000000"/>
          <w:sz w:val="26"/>
          <w:szCs w:val="26"/>
        </w:rPr>
        <w:t xml:space="preserve">5.1 Introduction</w:t>
      </w:r>
      <w:bookmarkEnd w:id="52085"/>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outlineLvl w:val="1"/>
      </w:pPr>
      <w:bookmarkStart w:id="52086" w:name="_Toc_86"/>
      <w:r>
        <w:rPr>
          <w:rFonts w:ascii="Times New Roman" w:cs="Times New Roman" w:eastAsia="Times New Roman" w:hAnsi="Times New Roman"/>
          <w:b/>
          <w:bCs/>
          <w:color w:val="000000"/>
          <w:sz w:val="26"/>
          <w:szCs w:val="26"/>
        </w:rPr>
        <w:t xml:space="preserve">5.2 Objective One: Profile of Mud Crab Actors</w:t>
      </w:r>
      <w:bookmarkEnd w:id="52086"/>
    </w:p>
    <w:p>
      <w:pPr>
        <w:pStyle w:val="Heading3"/>
        <w:spacing w:after="120" w:before="240" w:line="360"/>
        <w:outlineLvl w:val="2"/>
      </w:pPr>
      <w:bookmarkStart w:id="52087" w:name="_Toc_87"/>
      <w:r>
        <w:rPr>
          <w:rFonts w:ascii="Times New Roman" w:cs="Times New Roman" w:eastAsia="Times New Roman" w:hAnsi="Times New Roman"/>
          <w:b/>
          <w:bCs/>
          <w:color w:val="000000"/>
          <w:sz w:val="24"/>
          <w:szCs w:val="24"/>
        </w:rPr>
        <w:t xml:space="preserve">5.2.1 Key Findings</w:t>
      </w:r>
      <w:bookmarkEnd w:id="52087"/>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outlineLvl w:val="2"/>
      </w:pPr>
      <w:bookmarkStart w:id="52088" w:name="_Toc_88"/>
      <w:r>
        <w:rPr>
          <w:rFonts w:ascii="Times New Roman" w:cs="Times New Roman" w:eastAsia="Times New Roman" w:hAnsi="Times New Roman"/>
          <w:b/>
          <w:bCs/>
          <w:color w:val="000000"/>
          <w:sz w:val="24"/>
          <w:szCs w:val="24"/>
        </w:rPr>
        <w:t xml:space="preserve">5.2.2 Gender and the Limits of the Sampling Frame</w:t>
      </w:r>
      <w:bookmarkEnd w:id="52088"/>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outlineLvl w:val="2"/>
      </w:pPr>
      <w:bookmarkStart w:id="52089" w:name="_Toc_89"/>
      <w:r>
        <w:rPr>
          <w:rFonts w:ascii="Times New Roman" w:cs="Times New Roman" w:eastAsia="Times New Roman" w:hAnsi="Times New Roman"/>
          <w:b/>
          <w:bCs/>
          <w:color w:val="000000"/>
          <w:sz w:val="24"/>
          <w:szCs w:val="24"/>
        </w:rPr>
        <w:t xml:space="preserve">5.2.3 Experience, Licensing and the Absence of Collective Organisation</w:t>
      </w:r>
      <w:bookmarkEnd w:id="52089"/>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outlineLvl w:val="2"/>
      </w:pPr>
      <w:bookmarkStart w:id="52090" w:name="_Toc_90"/>
      <w:r>
        <w:rPr>
          <w:rFonts w:ascii="Times New Roman" w:cs="Times New Roman" w:eastAsia="Times New Roman" w:hAnsi="Times New Roman"/>
          <w:b/>
          <w:bCs/>
          <w:color w:val="000000"/>
          <w:sz w:val="24"/>
          <w:szCs w:val="24"/>
        </w:rPr>
        <w:t xml:space="preserve">5.2.4 Credit and Dependence Within the Chain</w:t>
      </w:r>
      <w:bookmarkEnd w:id="52090"/>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outlineLvl w:val="2"/>
      </w:pPr>
      <w:bookmarkStart w:id="52091" w:name="_Toc_91"/>
      <w:r>
        <w:rPr>
          <w:rFonts w:ascii="Times New Roman" w:cs="Times New Roman" w:eastAsia="Times New Roman" w:hAnsi="Times New Roman"/>
          <w:b/>
          <w:bCs/>
          <w:color w:val="000000"/>
          <w:sz w:val="24"/>
          <w:szCs w:val="24"/>
        </w:rPr>
        <w:t xml:space="preserve">5.2.5 Implications</w:t>
      </w:r>
      <w:bookmarkEnd w:id="52091"/>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outlineLvl w:val="1"/>
      </w:pPr>
      <w:bookmarkStart w:id="52092" w:name="_Toc_92"/>
      <w:r>
        <w:rPr>
          <w:rFonts w:ascii="Times New Roman" w:cs="Times New Roman" w:eastAsia="Times New Roman" w:hAnsi="Times New Roman"/>
          <w:b/>
          <w:bCs/>
          <w:color w:val="000000"/>
          <w:sz w:val="26"/>
          <w:szCs w:val="26"/>
        </w:rPr>
        <w:t xml:space="preserve">5.3 Objective Two: Functions at Each Market Node and the Distribution of Value</w:t>
      </w:r>
      <w:bookmarkEnd w:id="52092"/>
    </w:p>
    <w:p>
      <w:pPr>
        <w:pStyle w:val="Heading3"/>
        <w:spacing w:after="120" w:before="240" w:line="360"/>
        <w:outlineLvl w:val="2"/>
      </w:pPr>
      <w:bookmarkStart w:id="52093" w:name="_Toc_93"/>
      <w:r>
        <w:rPr>
          <w:rFonts w:ascii="Times New Roman" w:cs="Times New Roman" w:eastAsia="Times New Roman" w:hAnsi="Times New Roman"/>
          <w:b/>
          <w:bCs/>
          <w:color w:val="000000"/>
          <w:sz w:val="24"/>
          <w:szCs w:val="24"/>
        </w:rPr>
        <w:t xml:space="preserve">5.3.1 Key Findings</w:t>
      </w:r>
      <w:bookmarkEnd w:id="52093"/>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outlineLvl w:val="2"/>
      </w:pPr>
      <w:bookmarkStart w:id="52094" w:name="_Toc_94"/>
      <w:r>
        <w:rPr>
          <w:rFonts w:ascii="Times New Roman" w:cs="Times New Roman" w:eastAsia="Times New Roman" w:hAnsi="Times New Roman"/>
          <w:b/>
          <w:bCs/>
          <w:color w:val="000000"/>
          <w:sz w:val="24"/>
          <w:szCs w:val="24"/>
        </w:rPr>
        <w:t xml:space="preserve">5.3.2 Grading as a Mechanism of Value Capture</w:t>
      </w:r>
      <w:bookmarkEnd w:id="52094"/>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outlineLvl w:val="2"/>
      </w:pPr>
      <w:bookmarkStart w:id="52095" w:name="_Toc_95"/>
      <w:r>
        <w:rPr>
          <w:rFonts w:ascii="Times New Roman" w:cs="Times New Roman" w:eastAsia="Times New Roman" w:hAnsi="Times New Roman"/>
          <w:b/>
          <w:bCs/>
          <w:color w:val="000000"/>
          <w:sz w:val="24"/>
          <w:szCs w:val="24"/>
        </w:rPr>
        <w:t xml:space="preserve">5.3.3 Handling, Packaging and Loss</w:t>
      </w:r>
      <w:bookmarkEnd w:id="52095"/>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outlineLvl w:val="2"/>
      </w:pPr>
      <w:bookmarkStart w:id="52096" w:name="_Toc_96"/>
      <w:r>
        <w:rPr>
          <w:rFonts w:ascii="Times New Roman" w:cs="Times New Roman" w:eastAsia="Times New Roman" w:hAnsi="Times New Roman"/>
          <w:b/>
          <w:bCs/>
          <w:color w:val="000000"/>
          <w:sz w:val="24"/>
          <w:szCs w:val="24"/>
        </w:rPr>
        <w:t xml:space="preserve">5.3.4 Price Formation and the Distribution of Value</w:t>
      </w:r>
      <w:bookmarkEnd w:id="52096"/>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outlineLvl w:val="2"/>
      </w:pPr>
      <w:bookmarkStart w:id="52097" w:name="_Toc_97"/>
      <w:r>
        <w:rPr>
          <w:rFonts w:ascii="Times New Roman" w:cs="Times New Roman" w:eastAsia="Times New Roman" w:hAnsi="Times New Roman"/>
          <w:b/>
          <w:bCs/>
          <w:color w:val="000000"/>
          <w:sz w:val="24"/>
          <w:szCs w:val="24"/>
        </w:rPr>
        <w:t xml:space="preserve">5.3.5 Site Differences and What Drives Them</w:t>
      </w:r>
      <w:bookmarkEnd w:id="52097"/>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outlineLvl w:val="2"/>
      </w:pPr>
      <w:bookmarkStart w:id="52098" w:name="_Toc_98"/>
      <w:r>
        <w:rPr>
          <w:rFonts w:ascii="Times New Roman" w:cs="Times New Roman" w:eastAsia="Times New Roman" w:hAnsi="Times New Roman"/>
          <w:b/>
          <w:bCs/>
          <w:color w:val="000000"/>
          <w:sz w:val="24"/>
          <w:szCs w:val="24"/>
        </w:rPr>
        <w:t xml:space="preserve">5.3.6 The Hotelier Medium-Grade Anomaly</w:t>
      </w:r>
      <w:bookmarkEnd w:id="52098"/>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outlineLvl w:val="2"/>
      </w:pPr>
      <w:bookmarkStart w:id="52099" w:name="_Toc_99"/>
      <w:r>
        <w:rPr>
          <w:rFonts w:ascii="Times New Roman" w:cs="Times New Roman" w:eastAsia="Times New Roman" w:hAnsi="Times New Roman"/>
          <w:b/>
          <w:bCs/>
          <w:color w:val="000000"/>
          <w:sz w:val="24"/>
          <w:szCs w:val="24"/>
        </w:rPr>
        <w:t xml:space="preserve">5.3.7 Implications</w:t>
      </w:r>
      <w:bookmarkEnd w:id="52099"/>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outlineLvl w:val="1"/>
      </w:pPr>
      <w:bookmarkStart w:id="52100" w:name="_Toc_100"/>
      <w:r>
        <w:rPr>
          <w:rFonts w:ascii="Times New Roman" w:cs="Times New Roman" w:eastAsia="Times New Roman" w:hAnsi="Times New Roman"/>
          <w:b/>
          <w:bCs/>
          <w:color w:val="000000"/>
          <w:sz w:val="26"/>
          <w:szCs w:val="26"/>
        </w:rPr>
        <w:t xml:space="preserve">5.4 Objective Three: Constraints and Opportunities</w:t>
      </w:r>
      <w:bookmarkEnd w:id="52100"/>
    </w:p>
    <w:p>
      <w:pPr>
        <w:pStyle w:val="Heading3"/>
        <w:spacing w:after="120" w:before="240" w:line="360"/>
        <w:outlineLvl w:val="2"/>
      </w:pPr>
      <w:bookmarkStart w:id="52101" w:name="_Toc_101"/>
      <w:r>
        <w:rPr>
          <w:rFonts w:ascii="Times New Roman" w:cs="Times New Roman" w:eastAsia="Times New Roman" w:hAnsi="Times New Roman"/>
          <w:b/>
          <w:bCs/>
          <w:color w:val="000000"/>
          <w:sz w:val="24"/>
          <w:szCs w:val="24"/>
        </w:rPr>
        <w:t xml:space="preserve">5.4.1 Key Findings</w:t>
      </w:r>
      <w:bookmarkEnd w:id="52101"/>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outlineLvl w:val="2"/>
      </w:pPr>
      <w:bookmarkStart w:id="52102" w:name="_Toc_102"/>
      <w:r>
        <w:rPr>
          <w:rFonts w:ascii="Times New Roman" w:cs="Times New Roman" w:eastAsia="Times New Roman" w:hAnsi="Times New Roman"/>
          <w:b/>
          <w:bCs/>
          <w:color w:val="000000"/>
          <w:sz w:val="24"/>
          <w:szCs w:val="24"/>
        </w:rPr>
        <w:t xml:space="preserve">5.4.2 Constraints Follow Function</w:t>
      </w:r>
      <w:bookmarkEnd w:id="52102"/>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outlineLvl w:val="2"/>
      </w:pPr>
      <w:bookmarkStart w:id="52103" w:name="_Toc_103"/>
      <w:r>
        <w:rPr>
          <w:rFonts w:ascii="Times New Roman" w:cs="Times New Roman" w:eastAsia="Times New Roman" w:hAnsi="Times New Roman"/>
          <w:b/>
          <w:bCs/>
          <w:color w:val="000000"/>
          <w:sz w:val="24"/>
          <w:szCs w:val="24"/>
        </w:rPr>
        <w:t xml:space="preserve">5.4.3 Governance and the Direction Information Travels</w:t>
      </w:r>
      <w:bookmarkEnd w:id="52103"/>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outlineLvl w:val="2"/>
      </w:pPr>
      <w:bookmarkStart w:id="52104" w:name="_Toc_104"/>
      <w:r>
        <w:rPr>
          <w:rFonts w:ascii="Times New Roman" w:cs="Times New Roman" w:eastAsia="Times New Roman" w:hAnsi="Times New Roman"/>
          <w:b/>
          <w:bCs/>
          <w:color w:val="000000"/>
          <w:sz w:val="24"/>
          <w:szCs w:val="24"/>
        </w:rPr>
        <w:t xml:space="preserve">5.4.4 Opposing Priorities Within One Transaction</w:t>
      </w:r>
      <w:bookmarkEnd w:id="52104"/>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outlineLvl w:val="2"/>
      </w:pPr>
      <w:bookmarkStart w:id="52105" w:name="_Toc_105"/>
      <w:r>
        <w:rPr>
          <w:rFonts w:ascii="Times New Roman" w:cs="Times New Roman" w:eastAsia="Times New Roman" w:hAnsi="Times New Roman"/>
          <w:b/>
          <w:bCs/>
          <w:color w:val="000000"/>
          <w:sz w:val="24"/>
          <w:szCs w:val="24"/>
        </w:rPr>
        <w:t xml:space="preserve">5.4.5 Implications</w:t>
      </w:r>
      <w:bookmarkEnd w:id="52105"/>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outlineLvl w:val="1"/>
      </w:pPr>
      <w:bookmarkStart w:id="52106" w:name="_Toc_106"/>
      <w:r>
        <w:rPr>
          <w:rFonts w:ascii="Times New Roman" w:cs="Times New Roman" w:eastAsia="Times New Roman" w:hAnsi="Times New Roman"/>
          <w:b/>
          <w:bCs/>
          <w:color w:val="000000"/>
          <w:sz w:val="26"/>
          <w:szCs w:val="26"/>
        </w:rPr>
        <w:t xml:space="preserve">5.5 Synthesis Using the Structure-Conduct-Performance Framework</w:t>
      </w:r>
      <w:bookmarkEnd w:id="52106"/>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outlineLvl w:val="1"/>
      </w:pPr>
      <w:bookmarkStart w:id="52107" w:name="_Toc_107"/>
      <w:r>
        <w:rPr>
          <w:rFonts w:ascii="Times New Roman" w:cs="Times New Roman" w:eastAsia="Times New Roman" w:hAnsi="Times New Roman"/>
          <w:b/>
          <w:bCs/>
          <w:color w:val="000000"/>
          <w:sz w:val="26"/>
          <w:szCs w:val="26"/>
        </w:rPr>
        <w:t xml:space="preserve">5.6 What This Study Could Not Measure</w:t>
      </w:r>
      <w:bookmarkEnd w:id="52107"/>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42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outlineLvl w:val="1"/>
      </w:pPr>
      <w:bookmarkStart w:id="52108" w:name="_Toc_108"/>
      <w:r>
        <w:rPr>
          <w:rFonts w:ascii="Times New Roman" w:cs="Times New Roman" w:eastAsia="Times New Roman" w:hAnsi="Times New Roman"/>
          <w:b/>
          <w:bCs/>
          <w:color w:val="000000"/>
          <w:sz w:val="26"/>
          <w:szCs w:val="26"/>
        </w:rPr>
        <w:t xml:space="preserve">5.7 Study Limitations</w:t>
      </w:r>
      <w:bookmarkEnd w:id="52108"/>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outlineLvl w:val="0"/>
      </w:pPr>
      <w:bookmarkStart w:id="52109" w:name="_Toc_109"/>
      <w:r>
        <w:rPr>
          <w:rFonts w:ascii="Times New Roman" w:cs="Times New Roman" w:eastAsia="Times New Roman" w:hAnsi="Times New Roman"/>
          <w:b/>
          <w:bCs/>
          <w:color w:val="000000"/>
          <w:sz w:val="28"/>
          <w:szCs w:val="28"/>
        </w:rPr>
        <w:t xml:space="preserve">CHAPTER SIX: CONCLUSIONS AND RECOMMENDATIONS</w:t>
      </w:r>
      <w:bookmarkEnd w:id="52109"/>
    </w:p>
    <w:p>
      <w:pPr>
        <w:pStyle w:val="Heading2"/>
        <w:spacing w:after="140" w:before="280" w:line="360"/>
        <w:outlineLvl w:val="1"/>
      </w:pPr>
      <w:bookmarkStart w:id="52110" w:name="_Toc_110"/>
      <w:r>
        <w:rPr>
          <w:rFonts w:ascii="Times New Roman" w:cs="Times New Roman" w:eastAsia="Times New Roman" w:hAnsi="Times New Roman"/>
          <w:b/>
          <w:bCs/>
          <w:color w:val="000000"/>
          <w:sz w:val="26"/>
          <w:szCs w:val="26"/>
        </w:rPr>
        <w:t xml:space="preserve">6.1 Introduction</w:t>
      </w:r>
      <w:bookmarkEnd w:id="52110"/>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outlineLvl w:val="1"/>
      </w:pPr>
      <w:bookmarkStart w:id="52111" w:name="_Toc_111"/>
      <w:r>
        <w:rPr>
          <w:rFonts w:ascii="Times New Roman" w:cs="Times New Roman" w:eastAsia="Times New Roman" w:hAnsi="Times New Roman"/>
          <w:b/>
          <w:bCs/>
          <w:color w:val="000000"/>
          <w:sz w:val="26"/>
          <w:szCs w:val="26"/>
        </w:rPr>
        <w:t xml:space="preserve">6.2 Conclusions</w:t>
      </w:r>
      <w:bookmarkEnd w:id="52111"/>
    </w:p>
    <w:p>
      <w:pPr>
        <w:pStyle w:val="Heading3"/>
        <w:spacing w:after="120" w:before="240" w:line="360"/>
        <w:outlineLvl w:val="2"/>
      </w:pPr>
      <w:bookmarkStart w:id="52112" w:name="_Toc_112"/>
      <w:r>
        <w:rPr>
          <w:rFonts w:ascii="Times New Roman" w:cs="Times New Roman" w:eastAsia="Times New Roman" w:hAnsi="Times New Roman"/>
          <w:b/>
          <w:bCs/>
          <w:color w:val="000000"/>
          <w:sz w:val="24"/>
          <w:szCs w:val="24"/>
        </w:rPr>
        <w:t xml:space="preserve">6.2.1 Conclusion for Objective One</w:t>
      </w:r>
      <w:bookmarkEnd w:id="52112"/>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outlineLvl w:val="2"/>
      </w:pPr>
      <w:bookmarkStart w:id="52113" w:name="_Toc_113"/>
      <w:r>
        <w:rPr>
          <w:rFonts w:ascii="Times New Roman" w:cs="Times New Roman" w:eastAsia="Times New Roman" w:hAnsi="Times New Roman"/>
          <w:b/>
          <w:bCs/>
          <w:color w:val="000000"/>
          <w:sz w:val="24"/>
          <w:szCs w:val="24"/>
        </w:rPr>
        <w:t xml:space="preserve">6.2.2 Conclusion for Objective Two</w:t>
      </w:r>
      <w:bookmarkEnd w:id="52113"/>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outlineLvl w:val="2"/>
      </w:pPr>
      <w:bookmarkStart w:id="52114" w:name="_Toc_114"/>
      <w:r>
        <w:rPr>
          <w:rFonts w:ascii="Times New Roman" w:cs="Times New Roman" w:eastAsia="Times New Roman" w:hAnsi="Times New Roman"/>
          <w:b/>
          <w:bCs/>
          <w:color w:val="000000"/>
          <w:sz w:val="24"/>
          <w:szCs w:val="24"/>
        </w:rPr>
        <w:t xml:space="preserve">6.2.3 Conclusion for Objective Three</w:t>
      </w:r>
      <w:bookmarkEnd w:id="52114"/>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outlineLvl w:val="1"/>
      </w:pPr>
      <w:bookmarkStart w:id="52115" w:name="_Toc_115"/>
      <w:r>
        <w:rPr>
          <w:rFonts w:ascii="Times New Roman" w:cs="Times New Roman" w:eastAsia="Times New Roman" w:hAnsi="Times New Roman"/>
          <w:b/>
          <w:bCs/>
          <w:color w:val="000000"/>
          <w:sz w:val="26"/>
          <w:szCs w:val="26"/>
        </w:rPr>
        <w:t xml:space="preserve">6.3 Overall Conclusion</w:t>
      </w:r>
      <w:bookmarkEnd w:id="52115"/>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outlineLvl w:val="1"/>
      </w:pPr>
      <w:bookmarkStart w:id="52116" w:name="_Toc_116"/>
      <w:r>
        <w:rPr>
          <w:rFonts w:ascii="Times New Roman" w:cs="Times New Roman" w:eastAsia="Times New Roman" w:hAnsi="Times New Roman"/>
          <w:b/>
          <w:bCs/>
          <w:color w:val="000000"/>
          <w:sz w:val="26"/>
          <w:szCs w:val="26"/>
        </w:rPr>
        <w:t xml:space="preserve">6.4 Recommendations</w:t>
      </w:r>
      <w:bookmarkEnd w:id="52116"/>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outlineLvl w:val="2"/>
      </w:pPr>
      <w:bookmarkStart w:id="52117" w:name="_Toc_117"/>
      <w:r>
        <w:rPr>
          <w:rFonts w:ascii="Times New Roman" w:cs="Times New Roman" w:eastAsia="Times New Roman" w:hAnsi="Times New Roman"/>
          <w:b/>
          <w:bCs/>
          <w:color w:val="000000"/>
          <w:sz w:val="24"/>
          <w:szCs w:val="24"/>
        </w:rPr>
        <w:t xml:space="preserve">6.4.1 Recommendations From Objective One</w:t>
      </w:r>
      <w:bookmarkEnd w:id="52117"/>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outlineLvl w:val="2"/>
      </w:pPr>
      <w:bookmarkStart w:id="52118" w:name="_Toc_118"/>
      <w:r>
        <w:rPr>
          <w:rFonts w:ascii="Times New Roman" w:cs="Times New Roman" w:eastAsia="Times New Roman" w:hAnsi="Times New Roman"/>
          <w:b/>
          <w:bCs/>
          <w:color w:val="000000"/>
          <w:sz w:val="24"/>
          <w:szCs w:val="24"/>
        </w:rPr>
        <w:t xml:space="preserve">6.4.2 Recommendations From Objective Two</w:t>
      </w:r>
      <w:bookmarkEnd w:id="52118"/>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outlineLvl w:val="2"/>
      </w:pPr>
      <w:bookmarkStart w:id="52119" w:name="_Toc_119"/>
      <w:r>
        <w:rPr>
          <w:rFonts w:ascii="Times New Roman" w:cs="Times New Roman" w:eastAsia="Times New Roman" w:hAnsi="Times New Roman"/>
          <w:b/>
          <w:bCs/>
          <w:color w:val="000000"/>
          <w:sz w:val="24"/>
          <w:szCs w:val="24"/>
        </w:rPr>
        <w:t xml:space="preserve">6.4.3 Recommendations From Objective Three</w:t>
      </w:r>
      <w:bookmarkEnd w:id="52119"/>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outlineLvl w:val="1"/>
      </w:pPr>
      <w:bookmarkStart w:id="52120" w:name="_Toc_120"/>
      <w:r>
        <w:rPr>
          <w:rFonts w:ascii="Times New Roman" w:cs="Times New Roman" w:eastAsia="Times New Roman" w:hAnsi="Times New Roman"/>
          <w:b/>
          <w:bCs/>
          <w:color w:val="000000"/>
          <w:sz w:val="26"/>
          <w:szCs w:val="26"/>
        </w:rPr>
        <w:t xml:space="preserve">6.5 Recommendations for Further Research</w:t>
      </w:r>
      <w:bookmarkEnd w:id="52120"/>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7EA2968C" w14:textId="77777777" w:rsidR="00221112" w:rsidRPr="00DE5E47" w:rsidRDefault="00C14051">
      <w:pPr>
        <w:pStyle w:val="Heading1"/>
        <w:spacing w:line="480" w:lineRule="auto"/>
        <w:jc w:val="both"/>
        <w:outlineLvl w:val="0"/>
        <w:rPr>
          <w:rFonts w:eastAsia="Times New Roman" w:cs="Times New Roman"/>
          <w:szCs w:val="24"/>
        </w:rPr>
      </w:pPr>
      <w:bookmarkStart w:id="52121" w:name="_Toc_121"/>
      <w:bookmarkStart w:id="262" w:name="_Toc240214163"/>
      <w:bookmarkStart w:id="263" w:name="_Toc241432303"/>
      <w:r w:rsidRPr="00DE5E47">
        <w:rPr>
          <w:rFonts w:eastAsia="Times New Roman" w:cs="Times New Roman"/>
          <w:szCs w:val="24"/>
        </w:rPr>
        <w:t>REFERENCES</w:t>
      </w:r>
      <w:bookmarkEnd w:id="165"/>
      <w:bookmarkEnd w:id="262"/>
      <w:bookmarkEnd w:id="263"/>
      <w:bookmarkEnd w:id="52121"/>
    </w:p>
    <w:p w14:paraId="1B603EB4" w14:textId="77777777" w:rsidR="00221112" w:rsidRPr="00DE5E47" w:rsidRDefault="00221112">
      <w:pPr>
        <w:pStyle w:val="NormalWeb"/>
        <w:spacing w:line="480" w:lineRule="auto"/>
        <w:jc w:val="both"/>
        <w:rPr>
          <w:rFonts w:eastAsia="Calibri"/>
        </w:rPr>
      </w:pPr>
    </w:p>
    <w:p w14:paraId="56524CF1" w14:textId="77777777" w:rsidR="00221112" w:rsidRDefault="00221112">
      <w:pPr>
        <w:pStyle w:val="NormalWeb"/>
        <w:spacing w:line="480" w:lineRule="auto"/>
        <w:jc w:val="both"/>
      </w:pPr>
    </w:p>
    <w:p w14:paraId="2E5E9351" w14:textId="77777777" w:rsidR="00DE5E47" w:rsidRDefault="00DE5E47">
      <w:pPr>
        <w:pStyle w:val="NormalWeb"/>
        <w:spacing w:line="480" w:lineRule="auto"/>
        <w:jc w:val="both"/>
      </w:pPr>
    </w:p>
    <w:p w14:paraId="7D465520" w14:textId="77777777" w:rsidR="00DE5E47" w:rsidRDefault="00DE5E47">
      <w:pPr>
        <w:pStyle w:val="NormalWeb"/>
        <w:spacing w:line="480" w:lineRule="auto"/>
        <w:jc w:val="both"/>
      </w:pPr>
    </w:p>
    <w:p w14:paraId="0E3CB081" w14:textId="77777777" w:rsidR="00DE5E47" w:rsidRDefault="00DE5E47">
      <w:pPr>
        <w:pStyle w:val="NormalWeb"/>
        <w:spacing w:line="480" w:lineRule="auto"/>
        <w:jc w:val="both"/>
      </w:pPr>
    </w:p>
    <w:p w14:paraId="494BEC5A" w14:textId="77777777" w:rsidR="00DE5E47" w:rsidRDefault="00DE5E47">
      <w:pPr>
        <w:pStyle w:val="NormalWeb"/>
        <w:spacing w:line="480" w:lineRule="auto"/>
        <w:jc w:val="both"/>
      </w:pPr>
    </w:p>
    <w:p w14:paraId="00B707F9" w14:textId="77777777" w:rsidR="00DE5E47" w:rsidRPr="00DE5E47" w:rsidRDefault="00DE5E47">
      <w:pPr>
        <w:pStyle w:val="NormalWeb"/>
        <w:spacing w:line="480" w:lineRule="auto"/>
        <w:jc w:val="both"/>
      </w:pPr>
    </w:p>
    <w:p w14:paraId="3E76831A"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sz w:val="24"/>
          <w:szCs w:val="24"/>
          <w:color w:val="000000"/>
        </w:rPr>
        <w:t xml:space="preserve">ACDI/VOCA. (2005). Sub-sector and value chain analysis for mud crabs in the Tanga coastal belt (ACDI/VOCA project report, 58 pp.).</w:t>
      </w:r>
    </w:p>
    <w:p w14:paraId="63905B3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Allan, G., &amp; Fielder, D. (2003). Mud crab aquaculture in Australia and Southeast Asia. In Proceedings of the ACIAR crab aquaculture scoping study and workshop (pp. 28-29). Joondoburri Conference Centre, Bribie Island, Qld, Australia. ACIAR Working Paper No. 54, 70 pp.</w:t>
      </w:r>
    </w:p>
    <w:p w14:paraId="3408B7A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Allison, E. H., &amp; Ellis, F. (2001). The livelihoods approach and management of small-scale fisheries. Marine Policy, 25(5), 377-388.</w:t>
      </w:r>
    </w:p>
    <w:p w14:paraId="4D7A7DF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Béné, C., Macfadyen, G., &amp; Allison, E. H. (2007). Increasing the contribution of small-scale fisheries to poverty alleviation and food security. FAO Fisheries Technical Paper, 481.</w:t>
      </w:r>
    </w:p>
    <w:p w14:paraId="6F3FA06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Bonine, K. M., Bjorkstedt, E. P., Ewel, K. C., &amp; Palik, M. (2008). Population characteristics of the mangrove crab Scylla serrata (Decapoda: Portunidae) in Kosrae, Federated States of Micronesia: Effects of harvest and implications for management. Pacific Science, 62, 1-19.</w:t>
      </w:r>
    </w:p>
    <w:p w14:paraId="76F9A5A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Bowers, R. (2017). Mud Crab Fishers Statistics. Marine Fisheries Journal.</w:t>
      </w:r>
    </w:p>
    <w:p w14:paraId="6254B27C"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Cinner, J. E., Daw, T., &amp; McClanahan, T. R. (2012). Socioeconomic factors that affect artisanal fishers’ readiness to exit a declining fishery. Conservation Biology, 26(5), 830–837.</w:t>
      </w:r>
    </w:p>
    <w:p w14:paraId="2D3BA7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Crona, B., Nyström, M., Folke, C., &amp; Jiddawi, N. (2016). Middlemen, a critical social-ecological link in coastal communities of Kenya and Zanzibar. Marine Policy, 30(3), 251-268.</w:t>
      </w:r>
    </w:p>
    <w:p w14:paraId="648599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FAO. (2025). Status, technological innovations, and industry development needs of mud crab (Scylla spp.) aquaculture. FAO Fisheries and Aquaculture Proceedings No. 73. Rome: Food and Agriculture Organization of the United Nations.</w:t>
      </w:r>
    </w:p>
    <w:p w14:paraId="744EAD44" w14:textId="77777777" w:rsidR="00221112" w:rsidRPr="00DE5E47" w:rsidRDefault="00C14051">
      <w:pPr>
        <w:pStyle w:val="NormalWeb"/>
        <w:spacing w:line="480" w:lineRule="auto"/>
        <w:ind w:left="480" w:hangingChars="200" w:hanging="480"/>
        <w:jc w:val="both"/>
      </w:pPr>
      <w:r w:rsidRPr="00DE5E47">
        <w:t xml:space="preserve">Fisheries Management and Development Act, No. 35 of 2016 (Kenya). http://faolex.fao.org/docs/pdf/ken160880.pdf</w:t>
      </w:r>
    </w:p>
    <w:p w14:paraId="095A0676" w14:textId="77777777" w:rsidR="00221112" w:rsidRPr="00DE5E47" w:rsidRDefault="00C14051">
      <w:pPr>
        <w:pStyle w:val="NormalWeb"/>
        <w:spacing w:line="480" w:lineRule="auto"/>
        <w:ind w:left="480" w:hangingChars="200" w:hanging="480"/>
        <w:jc w:val="both"/>
      </w:pPr>
      <w:r w:rsidRPr="00DE5E47">
        <w:t xml:space="preserve">Fondo, E. N., &amp; Ogutu, B. (2021). Sustainable crab fishery for Blue Economy in Kenya. Aquatic Ecosystem Health &amp; Management, 24(1), 21–26.</w:t>
      </w:r>
    </w:p>
    <w:p w14:paraId="5DB6A0F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Fondo, E. N., Kimani, E. N., &amp; Odongo, D. O. (2020). The status of mangrove mud crab fishery in Kenya, East Africa. African Journal of Fisheries Science, 8(3), 1–9.</w:t>
      </w:r>
    </w:p>
    <w:p w14:paraId="424A74E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Fulanda, B. C., Munga, C., Ohtomi, J., Osore, M., Mugo, R., &amp; Hossain, M. Y. (2009). The structure and evolution of the coastal migrant fishery of Kenya. Ocean &amp; Coastal Management, 52, 459–466.</w:t>
      </w:r>
    </w:p>
    <w:p w14:paraId="3D74ADB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Green, D. R., &amp; Clark, J. R. (2021). Fisheries Economics and Market Dynamics. Oxford University Press.</w:t>
      </w:r>
    </w:p>
    <w:p w14:paraId="40385A5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Gutiérrez, N. L., Hilborn, R., &amp; Defeo, O. (2011). Leadership, social capital and incentives promote successful fisheries. Nature, 470(7334), 386-389.</w:t>
      </w:r>
    </w:p>
    <w:p w14:paraId="4CEE527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Jacinto, E. R. (2004). A research framework on value chain analysis in small-scale fisheries. Asian Fisheries Society.</w:t>
      </w:r>
    </w:p>
    <w:p w14:paraId="6DDE3BB3"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Kimani, E., Mirera, D., &amp; Wainaina, P. (2018). Mud Crab Fishery in Kenya. Fisheries Research Journal.</w:t>
      </w:r>
    </w:p>
    <w:p w14:paraId="3C0D21A1"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Lamm, A. J., &amp; Lamm, D. A. (2019). Understanding Research Populations. Research Methods Journal.</w:t>
      </w:r>
    </w:p>
    <w:p w14:paraId="5ECFF2C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Lowe, M. (2019). Pilot Studies in Research. Methodology Journal.</w:t>
      </w:r>
    </w:p>
    <w:p w14:paraId="6AA0D68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Mahmud, A. I., &amp; Mamun, A. A. (2013). Marketing of Mud Crab Scylla serrata (Forksal) from Khulna district to international markets. European Journal of Agricultural Sciences, 11, 61-67.</w:t>
      </w:r>
    </w:p>
    <w:p w14:paraId="375352B6" w14:textId="77777777" w:rsidR="00221112" w:rsidRPr="00DE5E47" w:rsidRDefault="00C14051">
      <w:pPr>
        <w:pStyle w:val="NormalWeb"/>
        <w:spacing w:line="480" w:lineRule="auto"/>
        <w:ind w:left="480" w:hangingChars="200" w:hanging="480"/>
        <w:jc w:val="both"/>
      </w:pPr>
      <w:r w:rsidRPr="00DE5E47">
        <w:t xml:space="preserve">Mirera, D. O. (2014a). Social and economic implications of small-scale mud crab (Scylla serrata) aquaculture: The case of organised community groups. Aquaculture International, 22, 1499–1514.</w:t>
      </w:r>
    </w:p>
    <w:p w14:paraId="1298DD26"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Mirera, D. O. (2014b). Capture-based mud crab (Scylla serrata) aquaculture and artisanal fishery in East Africa – Practical and ecological perspective. Ph.D thesis. Linnaeus University Dissertations No 159/2013, ISBN: 978-91-87427-70-1. Written in English</w:t>
      </w:r>
    </w:p>
    <w:p w14:paraId="026063F0" w14:textId="77777777" w:rsidR="00221112" w:rsidRPr="00DE5E47" w:rsidRDefault="00C14051">
      <w:pPr>
        <w:pStyle w:val="NormalWeb"/>
        <w:spacing w:line="480" w:lineRule="auto"/>
        <w:ind w:left="480" w:hangingChars="200" w:hanging="480"/>
        <w:jc w:val="both"/>
      </w:pPr>
      <w:r w:rsidRPr="00DE5E47">
        <w:t xml:space="preserve">Mirera, D. O. (2017a). Status of the mud crab fishery in Kenya: A review. Western Indian Ocean Journal of Marine Science, 16(1), 1–12.</w:t>
      </w:r>
    </w:p>
    <w:p w14:paraId="0D68A3CB" w14:textId="77777777" w:rsidR="00221112" w:rsidRPr="00DE5E47" w:rsidRDefault="00C14051">
      <w:pPr>
        <w:pStyle w:val="NormalWeb"/>
        <w:spacing w:line="480" w:lineRule="auto"/>
        <w:ind w:left="480" w:hangingChars="200" w:hanging="480"/>
        <w:jc w:val="both"/>
      </w:pPr>
      <w:r w:rsidRPr="00DE5E47">
        <w:t xml:space="preserve">Mirera, D. O. (2017b). Intertidal mangrove boundary zones are nursery grounds for the mud crab Scylla serrata (Forsskal-1775). African Journal of Marine Science, 39: pp. 3, 315-325</w:t>
      </w:r>
    </w:p>
    <w:p w14:paraId="46E6A2B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Mirera, D. O., &amp; Moksnes, P. O. (2015). Comparative performance of wild juvenile Scylla serrata (Forsskål) in different culture systems: Net cages, mangrove pens and earthen ponds. Aquaculture International, 23, 155–173.</w:t>
      </w:r>
    </w:p>
    <w:p w14:paraId="18FD06A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Mirera, D. O., Ochiewo, J., Munyi, F., &amp; Muriuki, T. (2013). Heredity or traditional knowledge: Fishing tactics and dynamics of artisanal mangrove crab (Scylla serrata) fishery. Ocean &amp; Coastal Management, 84, 119–129.</w:t>
      </w:r>
    </w:p>
    <w:p w14:paraId="4FB80F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Moser, S., Macintosh, D., Laoprasert, S., &amp; Tongdee, N. (2005). Population ecology of the mud crab Scylla olivacea: A study in the Andaman Sea, Satun Province, southern Thailand. Fisheries Research, 71, 27–41.</w:t>
      </w:r>
    </w:p>
    <w:p w14:paraId="55404E53"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Munga, C. N., &amp; Muthumbi, A. W. (2018). Economic analysis of mud crab (Scylla serrata) fisheries in Tana Delta, Kenya. African Journal of Marine Science, 40(1), 101–111.</w:t>
      </w:r>
    </w:p>
    <w:p w14:paraId="1F09BA4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Ndanga, L. Z. B., Quagrainie, K. K. &amp; Dennis, J. H. (2013). Economically feasible options for increased women participation in the Kenyan aquaculture value chain. Aquaculture, pp. 414–415, 183–190.</w:t>
      </w:r>
    </w:p>
    <w:p w14:paraId="533C978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Njiru, J. M., et al. (2021). Socioeconomic factors influencing the participation of fish traders in beach management units in Kenya: A case of Kwale County. International Journal of Fisheries and Aquatic Studies, 9(1), 91-97.</w:t>
      </w:r>
    </w:p>
    <w:p w14:paraId="568EE0E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Ochiewo, J., De La Torre-Castro, M., Muthama, C., Munyi, F., &amp; Nthuta, J. M. (2010). Socioeconomic features of sea cucumber fisheries in southern coast of Kenya. Ocean &amp; Coastal Management, 53, 192–202.</w:t>
      </w:r>
    </w:p>
    <w:p w14:paraId="4257C2B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Ogawa, C. Y., Hamasaki, K., Dan, S., &amp; Kitada, S. (2011). Fishery biology of mud crabs Scylla spp. at Iriomote Island, Japan: Species composition, catch, growth and size at sexual maturity. Fisheries Science, 77, 915–927.</w:t>
      </w:r>
    </w:p>
    <w:p w14:paraId="3BD6699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Pomeroy, R., &amp; Andrew, N. (Eds.). (2011). Small-scale fisheries management: frameworks and approaches for the developing world. CABI.</w:t>
      </w:r>
    </w:p>
    <w:p w14:paraId="2B9D575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Richmond, M. D., Mohamed, A., De Villiers, A. K., Esseen, M., &amp; Levay, L. (2006). Smallholder fisheries enterprises trials, Rufiji District, Tanzania. Rufiji Environment Management Project.</w:t>
      </w:r>
    </w:p>
    <w:p w14:paraId="4E2B7E4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Sultana, A., Raseduzzaman, M., Arafat, S. T., &amp; Begum, S. (2018). Value chain analysis of mud Crab (Scylla spp.) in the southwest region of Bangladesh.</w:t>
      </w:r>
    </w:p>
    <w:p w14:paraId="7597C7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Webley, J. A. C. (2008). The ecology of the mud crab (Scylla serrata): their colonization of estuaries and role as scavengers in ecosystem processes. PhD thesis, Griffith University, QLD, Australia</w:t>
      </w:r>
    </w:p>
    <w:p w14:paraId="5AC3C634"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Yamane, T. (1967). Statistics: An introductory analysis (2nd ed.). Harper and Row.</w:t>
      </w:r>
    </w:p>
    <w:p w14:paraId="08B995AE" w14:textId="77777777" w:rsidR="00221112" w:rsidRPr="00DE5E47" w:rsidRDefault="00C14051">
      <w:pPr>
        <w:pStyle w:val="Heading1"/>
        <w:spacing w:line="480" w:lineRule="auto"/>
        <w:jc w:val="both"/>
        <w:outlineLvl w:val="0"/>
        <w:rPr>
          <w:rFonts w:eastAsia="Times New Roman" w:cs="Times New Roman"/>
          <w:szCs w:val="24"/>
        </w:rPr>
      </w:pPr>
      <w:bookmarkStart w:id="52122" w:name="_Toc_122"/>
      <w:bookmarkStart w:id="264" w:name="_Toc240214164"/>
      <w:bookmarkStart w:id="265" w:name="_Toc241432304"/>
      <w:r w:rsidRPr="00DE5E47">
        <w:rPr>
          <w:rFonts w:eastAsia="Times New Roman" w:cs="Times New Roman"/>
          <w:szCs w:val="24"/>
        </w:rPr>
        <w:lastRenderedPageBreak/>
        <w:t>APPENDICES</w:t>
      </w:r>
      <w:bookmarkEnd w:id="264"/>
      <w:bookmarkEnd w:id="265"/>
      <w:bookmarkEnd w:id="52122"/>
    </w:p>
    <w:p w14:paraId="52AFECDB" w14:textId="77777777" w:rsidR="00221112" w:rsidRPr="00DE5E47" w:rsidRDefault="00221112">
      <w:pPr>
        <w:spacing w:line="360" w:lineRule="auto"/>
        <w:jc w:val="both"/>
        <w:rPr>
          <w:rFonts w:cs="Times New Roman"/>
          <w:b/>
          <w:bCs/>
          <w:sz w:val="24"/>
          <w:szCs w:val="24"/>
        </w:rPr>
      </w:pPr>
    </w:p>
    <w:p w14:paraId="421E7F3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27022CB4"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xmlns:w16cei="http://schemas.microsoft.com/office/word/2026/wordml/cei">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1979CE2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70E79DEA"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00A206BC"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The information that you give during this research will be kept confidential. Information about you collected during the study will be put away, and no one but the researcher (I) will see it. Any information you will have a number on it instead of your name for confidentiality purposes. You can ask any questions regarding the study or your participation in this study</w:t>
      </w:r>
      <w:r w:rsidRPr="00DE5E47">
        <w:rPr>
          <w:rFonts w:cs="Times New Roman"/>
          <w:sz w:val="24"/>
          <w:szCs w:val="24"/>
        </w:rPr>
        <w:t xml:space="preserve"> using this contact- Mercy Sangura on +254-717-588-132</w:t>
      </w:r>
    </w:p>
    <w:p w14:paraId="62E8FCFD"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1F3E539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3518EF4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18A0CF43"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6C3C0DF6"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56F0814A"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639CD583"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12B7F66F"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11DFDA7" w14:textId="77777777" w:rsidR="00221112" w:rsidRDefault="00C14051">
                            <w:pPr>
                              <w:jc w:val="both"/>
                              <w:rPr>
                                <w:b/>
                                <w:sz w:val="24"/>
                                <w:szCs w:val="24"/>
                              </w:rPr>
                            </w:pPr>
                            <w:r>
                              <w:rPr>
                                <w:b/>
                                <w:sz w:val="24"/>
                                <w:szCs w:val="24"/>
                              </w:rPr>
                              <w:t>SECTION B: PRELIMINARIES</w:t>
                            </w:r>
                          </w:p>
                          <w:p w14:paraId="3698D186"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3675ACC2"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2E3738B" w14:textId="77777777">
        <w:trPr>
          <w:trHeight w:val="273"/>
        </w:trPr>
        <w:tc>
          <w:tcPr>
            <w:tcW w:w="4847" w:type="dxa"/>
          </w:tcPr>
          <w:p w14:paraId="5B715D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lastRenderedPageBreak/>
              <w:t>Interview start time (hh: min):</w:t>
            </w:r>
          </w:p>
        </w:tc>
        <w:tc>
          <w:tcPr>
            <w:tcW w:w="4508" w:type="dxa"/>
          </w:tcPr>
          <w:p w14:paraId="2715301C"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334D789E" w14:textId="77777777">
        <w:trPr>
          <w:trHeight w:val="290"/>
        </w:trPr>
        <w:tc>
          <w:tcPr>
            <w:tcW w:w="4847" w:type="dxa"/>
          </w:tcPr>
          <w:p w14:paraId="1AD47F61"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652764A8"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3CD39A74" w14:textId="77777777">
        <w:trPr>
          <w:trHeight w:val="307"/>
        </w:trPr>
        <w:tc>
          <w:tcPr>
            <w:tcW w:w="4847" w:type="dxa"/>
          </w:tcPr>
          <w:p w14:paraId="3E191B57"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643ABF8E"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513F1557" w14:textId="77777777">
        <w:trPr>
          <w:trHeight w:val="273"/>
        </w:trPr>
        <w:tc>
          <w:tcPr>
            <w:tcW w:w="4847" w:type="dxa"/>
          </w:tcPr>
          <w:p w14:paraId="1CD93540"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53DC9B4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7C229D2B" w14:textId="77777777" w:rsidR="00221112" w:rsidRPr="00DE5E47" w:rsidRDefault="00221112">
      <w:pPr>
        <w:spacing w:line="360" w:lineRule="auto"/>
        <w:jc w:val="both"/>
        <w:rPr>
          <w:rFonts w:cs="Times New Roman"/>
          <w:b/>
          <w:bCs/>
          <w:sz w:val="24"/>
          <w:szCs w:val="24"/>
        </w:rPr>
      </w:pPr>
    </w:p>
    <w:p w14:paraId="56F47068"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7A89344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7CA844BC"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5E61EDAF"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6DE8497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357FE01"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61B82BD3"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Above 60</w:t>
      </w:r>
    </w:p>
    <w:p w14:paraId="71763815"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5F527630"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798CF35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2F5F4923"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75858DF7"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1FA43D29"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7ACB0E41"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5AEED4F0"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176BE8CF"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21CF1D13"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19B2D82"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592D924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45123D4"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7D84FC8" w14:textId="77777777" w:rsidR="00221112" w:rsidRPr="00DE5E47" w:rsidRDefault="00221112">
      <w:pPr>
        <w:spacing w:line="360" w:lineRule="auto"/>
        <w:ind w:left="-720" w:firstLine="720"/>
        <w:jc w:val="both"/>
        <w:rPr>
          <w:rFonts w:cs="Times New Roman"/>
          <w:sz w:val="24"/>
          <w:szCs w:val="24"/>
        </w:rPr>
      </w:pPr>
    </w:p>
    <w:p w14:paraId="4079AEB5"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lastRenderedPageBreak/>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173023C2"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2CD88053"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08BFC87F"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407B698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598C657D"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7A1E5981"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95C95AF" w14:textId="77777777" w:rsidR="00221112" w:rsidRPr="00DE5E47" w:rsidRDefault="00221112">
      <w:pPr>
        <w:spacing w:line="360" w:lineRule="auto"/>
        <w:jc w:val="both"/>
        <w:rPr>
          <w:rFonts w:cs="Times New Roman"/>
          <w:sz w:val="24"/>
          <w:szCs w:val="24"/>
        </w:rPr>
      </w:pPr>
    </w:p>
    <w:p w14:paraId="6FE7431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1605FEE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F10E8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crabbing, processing, marketing, or other activities related to mud crab fishery?</w:t>
      </w:r>
    </w:p>
    <w:p w14:paraId="46B8C32D"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9245DC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432F741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0E8652EE"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228387F"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6C0C3747"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2BB18226"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3DAC03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A0E25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5BD1C44C"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1964713A"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3D587AD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066D4980"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Contact</w:t>
      </w:r>
      <w:r w:rsidRPr="00DE5E47">
        <w:rPr>
          <w:rFonts w:cs="Times New Roman"/>
          <w:sz w:val="24"/>
          <w:szCs w:val="24"/>
        </w:rPr>
        <w:tab/>
        <w:t>[2] Through Intermediaries</w:t>
      </w:r>
    </w:p>
    <w:p w14:paraId="29A95A3D"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60F7AC7A"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18A0A7C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66504C03"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180F212"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3AD3745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5D239C67"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3A33F0F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75B0DE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1D4243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Knowledge and Skills:</w:t>
      </w:r>
      <w:r w:rsidRPr="00DE5E47">
        <w:rPr>
          <w:rFonts w:cs="Times New Roman"/>
          <w:sz w:val="24"/>
          <w:szCs w:val="24"/>
        </w:rPr>
        <w:t xml:space="preserve"> </w:t>
      </w:r>
    </w:p>
    <w:p w14:paraId="1234BA56"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0BDD238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DA99571"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2DD6D2E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5652934"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4EA8875"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2481BEC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2081B78F"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2B6BB0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5D6AB01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60F259B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4C68A8E2"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have licenses for the operation?</w:t>
      </w:r>
    </w:p>
    <w:p w14:paraId="6623B30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0298E879"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3F1B08E7"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0B316070"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004D5CFE"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32F52782"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01F978A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5A965909"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54E29B37"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146981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EA8094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F78A448"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24366E6"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7ECF726C"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7765968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0F4C146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4B79426"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41BB62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CC83DC9"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38F72049"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B9E694E"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073ADEE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788630A3"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4F04CC8F"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062860CC"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5616133A"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27EC7CD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367E767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C9265D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075A3AC2"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2B8CE0C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5698AE0D"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3A5A0E8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transport mud crabs to the market?</w:t>
      </w:r>
    </w:p>
    <w:p w14:paraId="2BED0B4B"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3FD70E71"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3851E8DB" w14:textId="77777777" w:rsidR="00221112" w:rsidRPr="00DE5E47" w:rsidRDefault="00221112">
      <w:pPr>
        <w:spacing w:line="360" w:lineRule="auto"/>
        <w:jc w:val="both"/>
        <w:rPr>
          <w:rFonts w:cs="Times New Roman"/>
          <w:sz w:val="24"/>
          <w:szCs w:val="24"/>
        </w:rPr>
      </w:pPr>
    </w:p>
    <w:p w14:paraId="395EF14D"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0A5BE55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027A6106"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2BE8E6EB"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20EF80A5" w14:textId="77777777" w:rsidR="00221112" w:rsidRPr="00DE5E47" w:rsidRDefault="00C14051">
      <w:pPr>
        <w:spacing w:line="360" w:lineRule="auto"/>
        <w:jc w:val="both"/>
        <w:rPr>
          <w:rFonts w:cs="Times New Roman"/>
          <w:sz w:val="24"/>
          <w:szCs w:val="24"/>
        </w:rPr>
      </w:pPr>
      <w:bookmarkStart w:id="266" w:name="OLE_LINK1"/>
      <w:r w:rsidRPr="00DE5E47">
        <w:rPr>
          <w:rFonts w:cs="Times New Roman"/>
          <w:sz w:val="24"/>
          <w:szCs w:val="24"/>
        </w:rPr>
        <w:t>What are the primary channels or markets where you sell mud crabs?</w:t>
      </w:r>
    </w:p>
    <w:bookmarkEnd w:id="266"/>
    <w:p w14:paraId="1F26F80F"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350721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6D90B15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62F0F3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50B9A69A"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7D393184"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162D9169"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D3037BE"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6DD762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7AEF252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3706C2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AF31107" w14:textId="77777777" w:rsidR="00221112" w:rsidRPr="00DE5E47" w:rsidRDefault="00C14051">
      <w:pPr>
        <w:spacing w:line="360" w:lineRule="auto"/>
        <w:jc w:val="both"/>
        <w:rPr>
          <w:rFonts w:cs="Times New Roman"/>
          <w:sz w:val="24"/>
          <w:szCs w:val="24"/>
        </w:rPr>
      </w:pPr>
      <w:r w:rsidRPr="00DE5E47">
        <w:rPr>
          <w:rFonts w:cs="Times New Roman"/>
          <w:sz w:val="24"/>
          <w:szCs w:val="24"/>
        </w:rPr>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69E11E18"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7C4C75C7"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1C4F4530"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4D0EE2E7" w14:textId="77777777">
        <w:tc>
          <w:tcPr>
            <w:tcW w:w="3116" w:type="dxa"/>
          </w:tcPr>
          <w:p w14:paraId="281DF98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20F9DD7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2CB23E5B"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6538FBE8" w14:textId="77777777">
        <w:tc>
          <w:tcPr>
            <w:tcW w:w="3116" w:type="dxa"/>
          </w:tcPr>
          <w:p w14:paraId="4F239A73" w14:textId="77777777" w:rsidR="00221112" w:rsidRPr="00DE5E47" w:rsidRDefault="00221112">
            <w:pPr>
              <w:spacing w:after="0" w:line="360" w:lineRule="auto"/>
              <w:jc w:val="both"/>
              <w:rPr>
                <w:rFonts w:cs="Times New Roman"/>
                <w:sz w:val="24"/>
                <w:szCs w:val="24"/>
              </w:rPr>
            </w:pPr>
          </w:p>
        </w:tc>
        <w:tc>
          <w:tcPr>
            <w:tcW w:w="3117" w:type="dxa"/>
          </w:tcPr>
          <w:p w14:paraId="23E90226" w14:textId="77777777" w:rsidR="00221112" w:rsidRPr="00DE5E47" w:rsidRDefault="00221112">
            <w:pPr>
              <w:spacing w:after="0" w:line="360" w:lineRule="auto"/>
              <w:jc w:val="both"/>
              <w:rPr>
                <w:rFonts w:cs="Times New Roman"/>
                <w:sz w:val="24"/>
                <w:szCs w:val="24"/>
              </w:rPr>
            </w:pPr>
          </w:p>
        </w:tc>
        <w:tc>
          <w:tcPr>
            <w:tcW w:w="3117" w:type="dxa"/>
          </w:tcPr>
          <w:p w14:paraId="3D043383" w14:textId="77777777" w:rsidR="00221112" w:rsidRPr="00DE5E47" w:rsidRDefault="00221112">
            <w:pPr>
              <w:spacing w:after="0" w:line="360" w:lineRule="auto"/>
              <w:jc w:val="both"/>
              <w:rPr>
                <w:rFonts w:cs="Times New Roman"/>
                <w:sz w:val="24"/>
                <w:szCs w:val="24"/>
              </w:rPr>
            </w:pPr>
          </w:p>
        </w:tc>
      </w:tr>
      <w:tr w:rsidR="00221112" w:rsidRPr="00DE5E47" w14:paraId="47F05B66" w14:textId="77777777">
        <w:tc>
          <w:tcPr>
            <w:tcW w:w="3116" w:type="dxa"/>
          </w:tcPr>
          <w:p w14:paraId="5624F2E2" w14:textId="77777777" w:rsidR="00221112" w:rsidRPr="00DE5E47" w:rsidRDefault="00221112">
            <w:pPr>
              <w:spacing w:after="0" w:line="360" w:lineRule="auto"/>
              <w:jc w:val="both"/>
              <w:rPr>
                <w:rFonts w:cs="Times New Roman"/>
                <w:sz w:val="24"/>
                <w:szCs w:val="24"/>
              </w:rPr>
            </w:pPr>
          </w:p>
        </w:tc>
        <w:tc>
          <w:tcPr>
            <w:tcW w:w="3117" w:type="dxa"/>
          </w:tcPr>
          <w:p w14:paraId="6286AEC0" w14:textId="77777777" w:rsidR="00221112" w:rsidRPr="00DE5E47" w:rsidRDefault="00221112">
            <w:pPr>
              <w:spacing w:after="0" w:line="360" w:lineRule="auto"/>
              <w:jc w:val="both"/>
              <w:rPr>
                <w:rFonts w:cs="Times New Roman"/>
                <w:sz w:val="24"/>
                <w:szCs w:val="24"/>
              </w:rPr>
            </w:pPr>
          </w:p>
        </w:tc>
        <w:tc>
          <w:tcPr>
            <w:tcW w:w="3117" w:type="dxa"/>
          </w:tcPr>
          <w:p w14:paraId="63EAF61B" w14:textId="77777777" w:rsidR="00221112" w:rsidRPr="00DE5E47" w:rsidRDefault="00221112">
            <w:pPr>
              <w:spacing w:after="0" w:line="360" w:lineRule="auto"/>
              <w:jc w:val="both"/>
              <w:rPr>
                <w:rFonts w:cs="Times New Roman"/>
                <w:sz w:val="24"/>
                <w:szCs w:val="24"/>
              </w:rPr>
            </w:pPr>
          </w:p>
        </w:tc>
      </w:tr>
      <w:tr w:rsidR="00221112" w:rsidRPr="00DE5E47" w14:paraId="13A3C303" w14:textId="77777777">
        <w:tc>
          <w:tcPr>
            <w:tcW w:w="3116" w:type="dxa"/>
          </w:tcPr>
          <w:p w14:paraId="6AEF3FFA" w14:textId="77777777" w:rsidR="00221112" w:rsidRPr="00DE5E47" w:rsidRDefault="00221112">
            <w:pPr>
              <w:spacing w:after="0" w:line="360" w:lineRule="auto"/>
              <w:jc w:val="both"/>
              <w:rPr>
                <w:rFonts w:cs="Times New Roman"/>
                <w:sz w:val="24"/>
                <w:szCs w:val="24"/>
              </w:rPr>
            </w:pPr>
          </w:p>
        </w:tc>
        <w:tc>
          <w:tcPr>
            <w:tcW w:w="3117" w:type="dxa"/>
          </w:tcPr>
          <w:p w14:paraId="7776578C" w14:textId="77777777" w:rsidR="00221112" w:rsidRPr="00DE5E47" w:rsidRDefault="00221112">
            <w:pPr>
              <w:spacing w:after="0" w:line="360" w:lineRule="auto"/>
              <w:jc w:val="both"/>
              <w:rPr>
                <w:rFonts w:cs="Times New Roman"/>
                <w:sz w:val="24"/>
                <w:szCs w:val="24"/>
              </w:rPr>
            </w:pPr>
          </w:p>
        </w:tc>
        <w:tc>
          <w:tcPr>
            <w:tcW w:w="3117" w:type="dxa"/>
          </w:tcPr>
          <w:p w14:paraId="12098E46" w14:textId="77777777" w:rsidR="00221112" w:rsidRPr="00DE5E47" w:rsidRDefault="00221112">
            <w:pPr>
              <w:spacing w:after="0" w:line="360" w:lineRule="auto"/>
              <w:jc w:val="both"/>
              <w:rPr>
                <w:rFonts w:cs="Times New Roman"/>
                <w:sz w:val="24"/>
                <w:szCs w:val="24"/>
              </w:rPr>
            </w:pPr>
          </w:p>
        </w:tc>
      </w:tr>
    </w:tbl>
    <w:p w14:paraId="0C7D0AAE" w14:textId="77777777" w:rsidR="00221112" w:rsidRPr="00DE5E47" w:rsidRDefault="00221112">
      <w:pPr>
        <w:spacing w:line="360" w:lineRule="auto"/>
        <w:jc w:val="both"/>
        <w:rPr>
          <w:rFonts w:cs="Times New Roman"/>
          <w:sz w:val="24"/>
          <w:szCs w:val="24"/>
        </w:rPr>
      </w:pPr>
    </w:p>
    <w:p w14:paraId="340F7EB7"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D91F66F" w14:textId="77777777">
        <w:trPr>
          <w:tblHeader/>
          <w:jc w:val="center"/>
        </w:trPr>
        <w:tc>
          <w:tcPr>
            <w:tcW w:w="3024" w:type="dxa"/>
            <w:tcMar>
              <w:top w:w="20" w:type="dxa"/>
              <w:left w:w="30" w:type="dxa"/>
              <w:bottom w:w="20" w:type="dxa"/>
              <w:right w:w="30" w:type="dxa"/>
            </w:tcMar>
            <w:vAlign w:val="center"/>
          </w:tcPr>
          <w:p w14:paraId="517D1396"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46654AEB"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36F7E2A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5EBEECD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54CC82D4" w14:textId="77777777">
        <w:trPr>
          <w:jc w:val="center"/>
        </w:trPr>
        <w:tc>
          <w:tcPr>
            <w:tcW w:w="3024" w:type="dxa"/>
            <w:tcMar>
              <w:top w:w="20" w:type="dxa"/>
              <w:left w:w="30" w:type="dxa"/>
              <w:bottom w:w="20" w:type="dxa"/>
              <w:right w:w="30" w:type="dxa"/>
            </w:tcMar>
            <w:vAlign w:val="center"/>
          </w:tcPr>
          <w:p w14:paraId="43A7EED8"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1C82AB3D"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5BF003AC"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1C9C663" w14:textId="77777777" w:rsidR="00221112" w:rsidRPr="00DE5E47" w:rsidRDefault="00221112">
            <w:pPr>
              <w:spacing w:after="0" w:line="240" w:lineRule="auto"/>
              <w:jc w:val="both"/>
              <w:rPr>
                <w:rFonts w:cs="Times New Roman"/>
                <w:sz w:val="24"/>
                <w:szCs w:val="24"/>
              </w:rPr>
            </w:pPr>
          </w:p>
        </w:tc>
      </w:tr>
      <w:tr w:rsidR="00221112" w:rsidRPr="00DE5E47" w14:paraId="62E33E78" w14:textId="77777777">
        <w:trPr>
          <w:jc w:val="center"/>
        </w:trPr>
        <w:tc>
          <w:tcPr>
            <w:tcW w:w="3024" w:type="dxa"/>
            <w:tcMar>
              <w:top w:w="20" w:type="dxa"/>
              <w:left w:w="30" w:type="dxa"/>
              <w:bottom w:w="20" w:type="dxa"/>
              <w:right w:w="30" w:type="dxa"/>
            </w:tcMar>
            <w:vAlign w:val="center"/>
          </w:tcPr>
          <w:p w14:paraId="44C3E81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AAAA0F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EEE77A0"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D70290A" w14:textId="77777777" w:rsidR="00221112" w:rsidRPr="00DE5E47" w:rsidRDefault="00221112">
            <w:pPr>
              <w:spacing w:after="0" w:line="240" w:lineRule="auto"/>
              <w:jc w:val="both"/>
              <w:rPr>
                <w:rFonts w:cs="Times New Roman"/>
                <w:sz w:val="24"/>
                <w:szCs w:val="24"/>
              </w:rPr>
            </w:pPr>
          </w:p>
        </w:tc>
      </w:tr>
      <w:tr w:rsidR="00221112" w:rsidRPr="00DE5E47" w14:paraId="7ADBA719" w14:textId="77777777">
        <w:trPr>
          <w:jc w:val="center"/>
        </w:trPr>
        <w:tc>
          <w:tcPr>
            <w:tcW w:w="3024" w:type="dxa"/>
            <w:tcMar>
              <w:top w:w="20" w:type="dxa"/>
              <w:left w:w="30" w:type="dxa"/>
              <w:bottom w:w="20" w:type="dxa"/>
              <w:right w:w="30" w:type="dxa"/>
            </w:tcMar>
            <w:vAlign w:val="center"/>
          </w:tcPr>
          <w:p w14:paraId="42E079A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8A6EEE1"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7726FBF6"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D9CFE7C" w14:textId="77777777" w:rsidR="00221112" w:rsidRPr="00DE5E47" w:rsidRDefault="00221112">
            <w:pPr>
              <w:spacing w:after="0" w:line="240" w:lineRule="auto"/>
              <w:jc w:val="both"/>
              <w:rPr>
                <w:rFonts w:cs="Times New Roman"/>
                <w:sz w:val="24"/>
                <w:szCs w:val="24"/>
              </w:rPr>
            </w:pPr>
          </w:p>
        </w:tc>
      </w:tr>
      <w:tr w:rsidR="00221112" w:rsidRPr="00DE5E47" w14:paraId="05FBA8C8" w14:textId="77777777">
        <w:trPr>
          <w:jc w:val="center"/>
        </w:trPr>
        <w:tc>
          <w:tcPr>
            <w:tcW w:w="3024" w:type="dxa"/>
            <w:tcMar>
              <w:top w:w="20" w:type="dxa"/>
              <w:left w:w="30" w:type="dxa"/>
              <w:bottom w:w="20" w:type="dxa"/>
              <w:right w:w="30" w:type="dxa"/>
            </w:tcMar>
            <w:vAlign w:val="center"/>
          </w:tcPr>
          <w:p w14:paraId="57A651E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2A20E60"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3E0E3677"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24C58E9" w14:textId="77777777" w:rsidR="00221112" w:rsidRPr="00DE5E47" w:rsidRDefault="00221112">
            <w:pPr>
              <w:spacing w:after="0" w:line="240" w:lineRule="auto"/>
              <w:jc w:val="both"/>
              <w:rPr>
                <w:rFonts w:cs="Times New Roman"/>
                <w:sz w:val="24"/>
                <w:szCs w:val="24"/>
              </w:rPr>
            </w:pPr>
          </w:p>
        </w:tc>
      </w:tr>
      <w:tr w:rsidR="00221112" w:rsidRPr="00DE5E47" w14:paraId="7D0DC767" w14:textId="77777777">
        <w:trPr>
          <w:jc w:val="center"/>
        </w:trPr>
        <w:tc>
          <w:tcPr>
            <w:tcW w:w="3024" w:type="dxa"/>
            <w:tcMar>
              <w:top w:w="20" w:type="dxa"/>
              <w:left w:w="30" w:type="dxa"/>
              <w:bottom w:w="20" w:type="dxa"/>
              <w:right w:w="30" w:type="dxa"/>
            </w:tcMar>
            <w:vAlign w:val="center"/>
          </w:tcPr>
          <w:p w14:paraId="2286B4B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4D04CFE"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62664B1"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69F1D1E2" w14:textId="77777777" w:rsidR="00221112" w:rsidRPr="00DE5E47" w:rsidRDefault="00221112">
            <w:pPr>
              <w:spacing w:after="0" w:line="240" w:lineRule="auto"/>
              <w:jc w:val="both"/>
              <w:rPr>
                <w:rFonts w:cs="Times New Roman"/>
                <w:sz w:val="24"/>
                <w:szCs w:val="24"/>
              </w:rPr>
            </w:pPr>
          </w:p>
        </w:tc>
      </w:tr>
    </w:tbl>
    <w:p w14:paraId="14A7C7BC" w14:textId="77777777" w:rsidR="00221112" w:rsidRPr="00DE5E47" w:rsidRDefault="00221112">
      <w:pPr>
        <w:spacing w:line="360" w:lineRule="auto"/>
        <w:jc w:val="both"/>
        <w:rPr>
          <w:rFonts w:cs="Times New Roman"/>
          <w:sz w:val="24"/>
          <w:szCs w:val="24"/>
        </w:rPr>
      </w:pPr>
    </w:p>
    <w:p w14:paraId="03A640F5"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1C16995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2A04BFF9"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13457D7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6BEBE991"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546C529D"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5AAA437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standard pricing mechanisms or guidelines followed by all actors in the mud crab trade?</w:t>
      </w:r>
    </w:p>
    <w:p w14:paraId="50EA7AA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E6F42E3"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1D65D47C"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6695609A"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0BA7DFB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23D6AC8"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4936608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62328F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4DE83FF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61EB8AB9"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2435D5C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participate in any marketing events or trade fairs?</w:t>
      </w:r>
    </w:p>
    <w:p w14:paraId="4057868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0518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6AD40D71"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641495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04C477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001CC3A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A8BA4E1"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0A412E33"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01960FF5"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74EECAAB"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07E209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Product Quality Control:</w:t>
      </w:r>
      <w:r w:rsidRPr="00DE5E47">
        <w:rPr>
          <w:rFonts w:cs="Times New Roman"/>
          <w:sz w:val="24"/>
          <w:szCs w:val="24"/>
        </w:rPr>
        <w:t xml:space="preserve"> </w:t>
      </w:r>
    </w:p>
    <w:p w14:paraId="059F7A8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522B901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C42908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50B049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160B98D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55F3040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6EEB3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E5F59E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5B08702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6DC3201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71B22A34"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Have you adopted any technology or modern equipment to enhance your mud crab fishing and marketing activities?</w:t>
      </w:r>
    </w:p>
    <w:p w14:paraId="5B09FA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28E7C30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5E317F4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2BEC357C"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1FCCB176"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0AC0C66D"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2088ECC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3FF1974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245E6C6" w14:textId="77777777" w:rsidR="00221112" w:rsidRPr="00DE5E47" w:rsidRDefault="00C14051">
      <w:pPr>
        <w:spacing w:line="360" w:lineRule="auto"/>
        <w:jc w:val="both"/>
        <w:rPr>
          <w:rFonts w:cs="Times New Roman"/>
          <w:sz w:val="24"/>
          <w:szCs w:val="24"/>
        </w:rPr>
      </w:pPr>
      <w:r w:rsidRPr="00DE5E47">
        <w:rPr>
          <w:rFonts w:cs="Times New Roman"/>
          <w:sz w:val="24"/>
          <w:szCs w:val="24"/>
        </w:rPr>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3EB2FB3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735B68A8"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14CAD76A"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44B6C404"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328AA45F"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0BD09EF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D6F2406" w14:textId="77777777" w:rsidR="00221112" w:rsidRPr="00DE5E47" w:rsidRDefault="00221112">
      <w:pPr>
        <w:spacing w:line="360" w:lineRule="auto"/>
        <w:jc w:val="both"/>
        <w:rPr>
          <w:rFonts w:cs="Times New Roman"/>
          <w:sz w:val="24"/>
          <w:szCs w:val="24"/>
        </w:rPr>
      </w:pPr>
    </w:p>
    <w:p w14:paraId="0BC5E029" w14:textId="77777777" w:rsidR="00221112" w:rsidRPr="00DE5E47" w:rsidRDefault="00221112">
      <w:pPr>
        <w:spacing w:line="360" w:lineRule="auto"/>
        <w:jc w:val="both"/>
        <w:rPr>
          <w:rFonts w:cs="Times New Roman"/>
          <w:sz w:val="24"/>
          <w:szCs w:val="24"/>
        </w:rPr>
      </w:pPr>
    </w:p>
    <w:p w14:paraId="4135408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32F9B81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3118088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Constraints in Marketing:</w:t>
      </w:r>
    </w:p>
    <w:p w14:paraId="020CB39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3C51407A"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142365C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2D03A15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F52371C"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0193492" w14:textId="77777777" w:rsidR="00221112" w:rsidRPr="00DE5E47" w:rsidRDefault="00C14051">
      <w:pPr>
        <w:spacing w:line="360" w:lineRule="auto"/>
        <w:jc w:val="both"/>
        <w:rPr>
          <w:rFonts w:cs="Times New Roman"/>
          <w:sz w:val="24"/>
          <w:szCs w:val="24"/>
        </w:rPr>
      </w:pPr>
      <w:bookmarkStart w:id="267" w:name="OLE_LINK2"/>
      <w:r w:rsidRPr="00DE5E47">
        <w:rPr>
          <w:rFonts w:cs="Times New Roman"/>
          <w:sz w:val="24"/>
          <w:szCs w:val="24"/>
        </w:rPr>
        <w:t>Do you feel the crab market is well structured (level-ground) for all actors?</w:t>
      </w:r>
    </w:p>
    <w:bookmarkEnd w:id="267"/>
    <w:p w14:paraId="3202813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2523A2A0"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63229BD4"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41C10DB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know any policy framework for enhancing crab markets in this area currently?</w:t>
      </w:r>
    </w:p>
    <w:p w14:paraId="2637654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3634C85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21F71F0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206F275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63440FFC"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45263447"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65B059B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96DA33C"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3E1BF6A9"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51D27E4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134304D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Location/site of sale?</w:t>
      </w:r>
    </w:p>
    <w:p w14:paraId="0D1D9BE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3F2A0B2"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E0B93D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D33B4B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33A9866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99541A2"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3E03AA2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2DA2C2B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5815346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877323"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758CFE5"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152C574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611D763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24D0EFF"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1451F8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73D69404"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09F95CD6"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3E6B292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301590FC"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4667DDA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9AF1BC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can the current marketing system be enhanced to benefit mud crab actors?</w:t>
      </w:r>
    </w:p>
    <w:p w14:paraId="6DCA2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7FA96BF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219F462F"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76544B1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1AD2BA22"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213B642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E7CD4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15FD7B2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386A01D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55D5BFA4"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0425E04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4C1CFFC6" w14:textId="77777777">
        <w:trPr>
          <w:tblHeader/>
          <w:jc w:val="center"/>
        </w:trPr>
        <w:tc>
          <w:tcPr>
            <w:tcW w:w="1944" w:type="dxa"/>
            <w:tcMar>
              <w:top w:w="20" w:type="dxa"/>
              <w:left w:w="30" w:type="dxa"/>
              <w:bottom w:w="20" w:type="dxa"/>
              <w:right w:w="30" w:type="dxa"/>
            </w:tcMar>
            <w:vAlign w:val="center"/>
          </w:tcPr>
          <w:p w14:paraId="3C1ACF2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6B88E0B4"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7D2150AC"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0220DD49"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41D5E44E"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45A4535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51B60D4D" w14:textId="77777777">
        <w:trPr>
          <w:jc w:val="center"/>
        </w:trPr>
        <w:tc>
          <w:tcPr>
            <w:tcW w:w="1944" w:type="dxa"/>
            <w:tcMar>
              <w:top w:w="20" w:type="dxa"/>
              <w:left w:w="30" w:type="dxa"/>
              <w:bottom w:w="20" w:type="dxa"/>
              <w:right w:w="30" w:type="dxa"/>
            </w:tcMar>
            <w:vAlign w:val="center"/>
          </w:tcPr>
          <w:p w14:paraId="0F8D355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3744C983"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64F37E2E"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6C3C918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6AA7308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AFD47BE"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480F8B87" w14:textId="77777777">
        <w:trPr>
          <w:jc w:val="center"/>
        </w:trPr>
        <w:tc>
          <w:tcPr>
            <w:tcW w:w="1944" w:type="dxa"/>
            <w:tcMar>
              <w:top w:w="20" w:type="dxa"/>
              <w:left w:w="30" w:type="dxa"/>
              <w:bottom w:w="20" w:type="dxa"/>
              <w:right w:w="30" w:type="dxa"/>
            </w:tcMar>
            <w:vAlign w:val="center"/>
          </w:tcPr>
          <w:p w14:paraId="5029358A"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57F7BE8E"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6563C1B"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454CAE9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29D2244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7DC6A0B0"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6E2438D3" w14:textId="77777777">
        <w:trPr>
          <w:jc w:val="center"/>
        </w:trPr>
        <w:tc>
          <w:tcPr>
            <w:tcW w:w="1944" w:type="dxa"/>
            <w:tcMar>
              <w:top w:w="20" w:type="dxa"/>
              <w:left w:w="30" w:type="dxa"/>
              <w:bottom w:w="20" w:type="dxa"/>
              <w:right w:w="30" w:type="dxa"/>
            </w:tcMar>
            <w:vAlign w:val="center"/>
          </w:tcPr>
          <w:p w14:paraId="1768A32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24487C65"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0BD8E505"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1AD69862"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5A0977B"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6CE02625" w14:textId="77777777" w:rsidR="00221112" w:rsidRPr="00DE5E47" w:rsidRDefault="00221112">
            <w:pPr>
              <w:spacing w:after="0" w:line="240" w:lineRule="auto"/>
              <w:jc w:val="both"/>
              <w:rPr>
                <w:rFonts w:eastAsia="Calibri" w:cs="Times New Roman"/>
                <w:sz w:val="24"/>
                <w:szCs w:val="24"/>
                <w:lang w:val="en-GB"/>
              </w:rPr>
            </w:pPr>
          </w:p>
        </w:tc>
      </w:tr>
    </w:tbl>
    <w:p w14:paraId="7EA4D954" w14:textId="77777777" w:rsidR="00221112" w:rsidRPr="00DE5E47" w:rsidRDefault="00221112">
      <w:pPr>
        <w:spacing w:line="360" w:lineRule="auto"/>
        <w:jc w:val="both"/>
        <w:rPr>
          <w:rFonts w:cs="Times New Roman"/>
          <w:b/>
          <w:bCs/>
          <w:sz w:val="24"/>
          <w:szCs w:val="24"/>
        </w:rPr>
      </w:pPr>
    </w:p>
    <w:p w14:paraId="1532744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Value Addition and Diversification:</w:t>
      </w:r>
      <w:r w:rsidRPr="00DE5E47">
        <w:rPr>
          <w:rFonts w:cs="Times New Roman"/>
          <w:sz w:val="24"/>
          <w:szCs w:val="24"/>
        </w:rPr>
        <w:t xml:space="preserve"> </w:t>
      </w:r>
    </w:p>
    <w:p w14:paraId="4BA2F4D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597FF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33B3732"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41C1802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375F7134" w14:textId="77777777" w:rsidR="00221112" w:rsidRPr="00DE5E47" w:rsidRDefault="00221112">
      <w:pPr>
        <w:spacing w:line="360" w:lineRule="auto"/>
        <w:jc w:val="both"/>
        <w:rPr>
          <w:rFonts w:cs="Times New Roman"/>
          <w:sz w:val="24"/>
          <w:szCs w:val="24"/>
        </w:rPr>
      </w:pPr>
    </w:p>
    <w:p w14:paraId="6386A178" w14:textId="77777777" w:rsidR="00221112" w:rsidRPr="00DE5E47" w:rsidRDefault="00221112">
      <w:pPr>
        <w:jc w:val="both"/>
        <w:rPr>
          <w:rFonts w:cs="Times New Roman"/>
          <w:sz w:val="24"/>
          <w:szCs w:val="24"/>
        </w:rPr>
      </w:pPr>
    </w:p>
    <w:p w14:paraId="3EED60AB" w14:textId="77777777" w:rsidR="00221112" w:rsidRPr="00DE5E47" w:rsidRDefault="00221112">
      <w:pPr>
        <w:pStyle w:val="NormalWeb"/>
        <w:spacing w:line="480" w:lineRule="auto"/>
        <w:jc w:val="both"/>
      </w:pPr>
    </w:p>
    <w:p w14:paraId="33A2656D" w14:textId="77777777" w:rsidR="00221112" w:rsidRPr="00DE5E47" w:rsidRDefault="00221112">
      <w:pPr>
        <w:spacing w:line="480" w:lineRule="auto"/>
        <w:jc w:val="both"/>
        <w:rPr>
          <w:rFonts w:cs="Times New Roman"/>
          <w:sz w:val="24"/>
          <w:szCs w:val="24"/>
        </w:rPr>
      </w:pPr>
    </w:p>
    <w:p w14:paraId="7819D040"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1157164C"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4FF1C94" w14:textId="77777777" w:rsidR="00221112" w:rsidRPr="00DE5E47" w:rsidRDefault="00221112">
      <w:pPr>
        <w:pStyle w:val="Heading1"/>
        <w:spacing w:line="480" w:lineRule="auto"/>
        <w:jc w:val="both"/>
        <w:rPr>
          <w:rFonts w:eastAsia="Times New Roman" w:cs="Times New Roman"/>
          <w:szCs w:val="24"/>
        </w:rPr>
      </w:pPr>
    </w:p>
    <w:p w14:paraId="59F831BB"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198B637"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A93294E" w14:textId="77777777" w:rsidR="00221112" w:rsidRPr="00DE5E47" w:rsidRDefault="00221112">
      <w:pPr>
        <w:spacing w:line="480" w:lineRule="auto"/>
        <w:jc w:val="both"/>
        <w:rPr>
          <w:rFonts w:cs="Times New Roman"/>
          <w:sz w:val="24"/>
          <w:szCs w:val="24"/>
        </w:rPr>
      </w:pPr>
    </w:p>
    <w:p w14:paraId="7AA4808E" w14:textId="77777777" w:rsidR="00221112" w:rsidRPr="00DE5E47" w:rsidRDefault="00221112">
      <w:pPr>
        <w:spacing w:line="480" w:lineRule="auto"/>
        <w:jc w:val="both"/>
        <w:rPr>
          <w:rFonts w:cs="Times New Roman"/>
          <w:sz w:val="24"/>
          <w:szCs w:val="24"/>
        </w:rPr>
      </w:pPr>
    </w:p>
    <w:p w14:paraId="13E4C518"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9DD1" w14:textId="77777777" w:rsidR="00C247CF" w:rsidRDefault="00C247CF">
      <w:pPr>
        <w:spacing w:line="240" w:lineRule="auto"/>
      </w:pPr>
      <w:r>
        <w:separator/>
      </w:r>
    </w:p>
  </w:endnote>
  <w:endnote w:type="continuationSeparator" w:id="0">
    <w:p w14:paraId="7690712E" w14:textId="77777777" w:rsidR="00C247CF" w:rsidRDefault="00C2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EndPr/>
    <w:sdtContent>
      <w:p w14:paraId="6AD9CCE9"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4096FB75"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EndPr/>
    <w:sdtContent>
      <w:p w14:paraId="6B9222BE"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604BB10F"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EndPr/>
    <w:sdtContent>
      <w:p w14:paraId="6944C6FD"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E92C3BC"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EndPr/>
    <w:sdtContent>
      <w:p w14:paraId="54802262"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52B3E503"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1C08" w14:textId="77777777" w:rsidR="00C247CF" w:rsidRDefault="00C247CF">
      <w:pPr>
        <w:spacing w:after="0"/>
      </w:pPr>
      <w:r>
        <w:separator/>
      </w:r>
    </w:p>
  </w:footnote>
  <w:footnote w:type="continuationSeparator" w:id="0">
    <w:p w14:paraId="624B3D0C" w14:textId="77777777" w:rsidR="00C247CF" w:rsidRDefault="00C247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7924" w14:textId="77777777" w:rsidR="00221112" w:rsidRDefault="00C14051">
    <w:pPr>
      <w:pStyle w:val="Header"/>
      <w:tabs>
        <w:tab w:val="clear" w:pos="4680"/>
        <w:tab w:val="clear" w:pos="9360"/>
        <w:tab w:val="left" w:pos="190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C134C3"/>
    <w:multiLevelType w:val="multilevel"/>
    <w:tmpl w:val="42C134C3"/>
    <w:lvl w:ilvl="0">
      <w:start w:val="5"/>
      <w:numFmt w:val="decimal"/>
      <w:pStyle w:val="Heading1"/>
      <w:suff w:val="space"/>
      <w:lvlText w:val="CHAPTER %1:"/>
      <w:lvlJc w:val="left"/>
      <w:pPr>
        <w:ind w:left="4112" w:firstLine="0"/>
      </w:pPr>
      <w:rPr>
        <w:rFonts w:ascii="Times New Roman" w:hAnsi="Times New Roman" w:hint="default"/>
        <w:caps/>
        <w:sz w:val="24"/>
      </w:rPr>
    </w:lvl>
    <w:lvl w:ilvl="1">
      <w:start w:val="4"/>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0"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bullet"/>
      <w:lvlText w:val="•"/>
      <w:lvlJc w:val="star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bullet"/>
      <w:lvlText w:val="•"/>
      <w:lvlJc w:val="start"/>
      <w:pPr>
        <w:ind w:left="720" w:hanging="360"/>
      </w:pPr>
    </w:lvl>
  </w:abstractNum>
  <w:num w:numId="1" w16cid:durableId="1801146686">
    <w:abstractNumId w:val="9"/>
  </w:num>
  <w:num w:numId="2" w16cid:durableId="2127583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4"/>
  </w:num>
  <w:num w:numId="4" w16cid:durableId="947850487">
    <w:abstractNumId w:val="10"/>
  </w:num>
  <w:num w:numId="5" w16cid:durableId="17080161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2"/>
  </w:num>
  <w:num w:numId="7" w16cid:durableId="699665662">
    <w:abstractNumId w:val="6"/>
  </w:num>
  <w:num w:numId="8" w16cid:durableId="579022194">
    <w:abstractNumId w:val="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7"/>
  </w:num>
  <w:num w:numId="10" w16cid:durableId="442775034">
    <w:abstractNumId w:val="5"/>
  </w:num>
  <w:num w:numId="11" w16cid:durableId="1905752065">
    <w:abstractNumId w:val="0"/>
  </w:num>
  <w:num w:numId="12" w16cid:durableId="49037479">
    <w:abstractNumId w:val="3"/>
  </w:num>
  <w:num w:numId="13" w16cid:durableId="1355425724">
    <w:abstractNumId w:val="1"/>
  </w:num>
  <w:num w:numId="14" w16cid:durableId="1380931410">
    <w:abstractNumId w:val="8"/>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29E2464"/>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www.fao.org/fishery/statistics/en" TargetMode="External"/><Relationship Id="rId55" Type="http://schemas.openxmlformats.org/officeDocument/2006/relationships/hyperlink" Target="https://hadoop.apache.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faolex.fao.org/docs/pdf/ken160882.pdf" TargetMode="Externa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bluelifehub.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faolex.fao.org/docs/pdf/ken160880.pdf"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faolex.fao.org/docs/pdf/ken160882.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blueventures.org/"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faolex.fao.org/docs/pdf/ken160880.pdf" TargetMode="External"/><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124</Pages>
  <Words>27629</Words>
  <Characters>157486</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3</cp:revision>
  <cp:lastPrinted>2026-09-13T14:48:00Z</cp:lastPrinted>
  <dcterms:created xsi:type="dcterms:W3CDTF">2026-09-13T16:21:00Z</dcterms:created>
  <dcterms:modified xsi:type="dcterms:W3CDTF">2026-09-27T17:08:00Z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