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240" w:before="240" w:line="360"/>
        <w:jc w:val="center"/>
      </w:pPr>
      <w:r>
        <w:rPr>
          <w:rFonts w:ascii="Times New Roman" w:cs="Times New Roman" w:eastAsia="Times New Roman" w:hAnsi="Times New Roman"/>
          <w:b/>
          <w:bCs/>
          <w:color w:val="000000"/>
          <w:sz w:val="28"/>
          <w:szCs w:val="28"/>
        </w:rPr>
        <w:t xml:space="preserve">REVISION CHECKLIST</w:t>
      </w:r>
    </w:p>
    <w:p>
      <w:pPr>
        <w:spacing w:after="120" w:before="0" w:line="360"/>
        <w:jc w:val="both"/>
      </w:pPr>
      <w:r>
        <w:rPr>
          <w:rFonts w:ascii="Times New Roman" w:cs="Times New Roman" w:eastAsia="Times New Roman" w:hAnsi="Times New Roman"/>
          <w:color w:val="000000"/>
          <w:sz w:val="24"/>
          <w:szCs w:val="24"/>
        </w:rPr>
        <w:t xml:space="preserve">This checklist records how the revised thesis answers each numbered issue in the reviewer’s report, where in the document the answer sits, and how the figure or statement was verified. Every number quoted in Chapters Four to Six was re-derived from Mud_crab_BMU_final_corrected.sav and compared against the printed document; the counts of those checks are given in the last section.</w:t>
      </w:r>
    </w:p>
    <w:p>
      <w:pPr>
        <w:pStyle w:val="Heading2"/>
        <w:spacing w:after="140" w:before="280" w:line="360"/>
      </w:pPr>
      <w:r>
        <w:rPr>
          <w:rFonts w:ascii="Times New Roman" w:cs="Times New Roman" w:eastAsia="Times New Roman" w:hAnsi="Times New Roman"/>
          <w:b/>
          <w:bCs/>
          <w:color w:val="000000"/>
          <w:sz w:val="26"/>
          <w:szCs w:val="26"/>
        </w:rPr>
        <w:t xml:space="preserve">A. The Reviewer’s Thirteen Issues</w:t>
      </w:r>
    </w:p>
    <w:p>
      <w:pPr>
        <w:spacing w:after="120" w:before="240" w:line="240"/>
      </w:pPr>
      <w:r>
        <w:rPr>
          <w:rFonts w:ascii="Times New Roman" w:cs="Times New Roman" w:eastAsia="Times New Roman" w:hAnsi="Times New Roman"/>
          <w:b/>
          <w:bCs/>
          <w:i w:val="false"/>
          <w:iCs w:val="false"/>
          <w:color w:val="000000"/>
          <w:sz w:val="24"/>
          <w:szCs w:val="24"/>
        </w:rPr>
        <w:t xml:space="preserve">Reviewer Issues and Where They Are Answered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586"/>
        <w:gridCol w:w="1883"/>
        <w:gridCol w:w="4499"/>
        <w:gridCol w:w="2058"/>
      </w:tblGrid>
      <w:tr>
        <w:trPr>
          <w:tblHeader/>
        </w:trPr>
        <w:tc>
          <w:tcPr>
            <w:tcW w:type="dxa" w:w="58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9"/>
                <w:szCs w:val="19"/>
              </w:rPr>
              <w:t xml:space="preserve">No.</w:t>
            </w:r>
          </w:p>
        </w:tc>
        <w:tc>
          <w:tcPr>
            <w:tcW w:type="dxa" w:w="1883"/>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9"/>
                <w:szCs w:val="19"/>
              </w:rPr>
              <w:t xml:space="preserve">Issue raised</w:t>
            </w:r>
          </w:p>
        </w:tc>
        <w:tc>
          <w:tcPr>
            <w:tcW w:type="dxa" w:w="4499"/>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9"/>
                <w:szCs w:val="19"/>
              </w:rPr>
              <w:t xml:space="preserve">What the revised thesis does</w:t>
            </w:r>
          </w:p>
        </w:tc>
        <w:tc>
          <w:tcPr>
            <w:tcW w:type="dxa" w:w="2058"/>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9"/>
                <w:szCs w:val="19"/>
              </w:rPr>
              <w:t xml:space="preserve">Where</w:t>
            </w:r>
          </w:p>
        </w:tc>
      </w:tr>
      <w:tr>
        <w:tc>
          <w:tcPr>
            <w:tcW w:type="dxa" w:w="58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dxa" w:w="188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Mismatch between the conceptual framework and the data</w:t>
            </w:r>
          </w:p>
        </w:tc>
        <w:tc>
          <w:tcPr>
            <w:tcW w:type="dxa" w:w="449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Figure 3 is now a descriptive framework that names only what was measured and tested. §2.11 states that structure–conduct–performance is the single guiding framework and that value-chain and livelihood concepts play a supporting, non-causal role. §5.6 states which structural dimensions could not be measured.</w:t>
            </w:r>
          </w:p>
        </w:tc>
        <w:tc>
          <w:tcPr>
            <w:tcW w:type="dxa" w:w="205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§2.11, §2.12, Figure 3, §5.6</w:t>
            </w:r>
          </w:p>
        </w:tc>
      </w:tr>
      <w:tr>
        <w:tc>
          <w:tcPr>
            <w:tcW w:type="dxa" w:w="58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2</w:t>
            </w:r>
          </w:p>
        </w:tc>
        <w:tc>
          <w:tcPr>
            <w:tcW w:type="dxa" w:w="188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Weakness in the market structure analysis</w:t>
            </w:r>
          </w:p>
        </w:tc>
        <w:tc>
          <w:tcPr>
            <w:tcW w:type="dxa" w:w="449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Sixteen Kruskal–Wallis statistics compare prices across actor categories and across BMUs within actor. Table 38 gives gross marketing margins and each node’s share of the end-of-chain price for three chains. Table 40 gives the first-sale spread between fishers and middlemen within each BMU. Table 49 lists every significant actor-specific association with BMU.</w:t>
            </w:r>
          </w:p>
        </w:tc>
        <w:tc>
          <w:tcPr>
            <w:tcW w:type="dxa" w:w="205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§4.4.8–§4.4.10, Tables 36–40, Table 49, §5.3.4</w:t>
            </w:r>
          </w:p>
        </w:tc>
      </w:tr>
      <w:tr>
        <w:tc>
          <w:tcPr>
            <w:tcW w:type="dxa" w:w="58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3</w:t>
            </w:r>
          </w:p>
        </w:tc>
        <w:tc>
          <w:tcPr>
            <w:tcW w:type="dxa" w:w="188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Sampling and methodological concerns</w:t>
            </w:r>
          </w:p>
        </w:tc>
        <w:tc>
          <w:tcPr>
            <w:tcW w:type="dxa" w:w="449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Yamane’s formula and the computed sample size are shown in §3.5. §3.6 is a new section on non-response and sampling limitations covering the achieved sample, the shortfall, snowball sampling for middlemen, hoteliers and exporters, and what the shortfall does and does not allow the study to claim.</w:t>
            </w:r>
          </w:p>
        </w:tc>
        <w:tc>
          <w:tcPr>
            <w:tcW w:type="dxa" w:w="205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§3.5, §3.6</w:t>
            </w:r>
          </w:p>
        </w:tc>
      </w:tr>
      <w:tr>
        <w:tc>
          <w:tcPr>
            <w:tcW w:type="dxa" w:w="58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4</w:t>
            </w:r>
          </w:p>
        </w:tc>
        <w:tc>
          <w:tcPr>
            <w:tcW w:type="dxa" w:w="188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Weak justification of the study population</w:t>
            </w:r>
          </w:p>
        </w:tc>
        <w:tc>
          <w:tcPr>
            <w:tcW w:type="dxa" w:w="449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Section 3.4 defines the target population, cites Lamm and Lamm (2019), names the groups excluded from the survey and states what that exclusion costs the study.</w:t>
            </w:r>
          </w:p>
        </w:tc>
        <w:tc>
          <w:tcPr>
            <w:tcW w:type="dxa" w:w="205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§3.4</w:t>
            </w:r>
          </w:p>
        </w:tc>
      </w:tr>
      <w:tr>
        <w:tc>
          <w:tcPr>
            <w:tcW w:type="dxa" w:w="58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5</w:t>
            </w:r>
          </w:p>
        </w:tc>
        <w:tc>
          <w:tcPr>
            <w:tcW w:type="dxa" w:w="188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Research design and analytical alignment</w:t>
            </w:r>
          </w:p>
        </w:tc>
        <w:tc>
          <w:tcPr>
            <w:tcW w:type="dxa" w:w="449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A research design section was added at §3.3. Table 1 in §3.9 maps each objective to its variables, the analysis applied and the exact tables and figures that report it.</w:t>
            </w:r>
          </w:p>
        </w:tc>
        <w:tc>
          <w:tcPr>
            <w:tcW w:type="dxa" w:w="205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§3.3, §3.9, Table 1</w:t>
            </w:r>
          </w:p>
        </w:tc>
      </w:tr>
      <w:tr>
        <w:tc>
          <w:tcPr>
            <w:tcW w:type="dxa" w:w="58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6</w:t>
            </w:r>
          </w:p>
        </w:tc>
        <w:tc>
          <w:tcPr>
            <w:tcW w:type="dxa" w:w="188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Theoretical framework weakness</w:t>
            </w:r>
          </w:p>
        </w:tc>
        <w:tc>
          <w:tcPr>
            <w:tcW w:type="dxa" w:w="449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Section 2.11 names structure–conduct–performance as the main framework, explains the supporting role of value-chain analysis and livelihood concepts, and says plainly that they are not treated as a second causal theory.</w:t>
            </w:r>
          </w:p>
        </w:tc>
        <w:tc>
          <w:tcPr>
            <w:tcW w:type="dxa" w:w="205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§2.11</w:t>
            </w:r>
          </w:p>
        </w:tc>
      </w:tr>
      <w:tr>
        <w:tc>
          <w:tcPr>
            <w:tcW w:type="dxa" w:w="58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7</w:t>
            </w:r>
          </w:p>
        </w:tc>
        <w:tc>
          <w:tcPr>
            <w:tcW w:type="dxa" w:w="188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Literature review weakness</w:t>
            </w:r>
          </w:p>
        </w:tc>
        <w:tc>
          <w:tcPr>
            <w:tcW w:type="dxa" w:w="449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Section 2.10 was added: where the literature agrees; two named study-versus-study conflicts (the role of the middleman, and what grading does); four methodological limitations of earlier work; a section on what is and is not known for the South Coast and Kwale County; and the research gap. Kwale is now named seventeen times in the thesis.</w:t>
            </w:r>
          </w:p>
        </w:tc>
        <w:tc>
          <w:tcPr>
            <w:tcW w:type="dxa" w:w="205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§2.10.1–§2.10.6</w:t>
            </w:r>
          </w:p>
        </w:tc>
      </w:tr>
      <w:tr>
        <w:tc>
          <w:tcPr>
            <w:tcW w:type="dxa" w:w="58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8</w:t>
            </w:r>
          </w:p>
        </w:tc>
        <w:tc>
          <w:tcPr>
            <w:tcW w:type="dxa" w:w="188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Results chapter weakness</w:t>
            </w:r>
          </w:p>
        </w:tc>
        <w:tc>
          <w:tcPr>
            <w:tcW w:type="dxa" w:w="449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Every results table and every figure is followed by a findings paragraph, and all twenty subsections that hold tables close with at least one interpretive paragraph that states what the finding means and links it to the objective. Each objective ends with a section comparing the findings with previous studies.</w:t>
            </w:r>
          </w:p>
        </w:tc>
        <w:tc>
          <w:tcPr>
            <w:tcW w:type="dxa" w:w="205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§4.3.5, §4.4.12, §4.5.7</w:t>
            </w:r>
          </w:p>
        </w:tc>
      </w:tr>
      <w:tr>
        <w:tc>
          <w:tcPr>
            <w:tcW w:type="dxa" w:w="58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9</w:t>
            </w:r>
          </w:p>
        </w:tc>
        <w:tc>
          <w:tcPr>
            <w:tcW w:type="dxa" w:w="188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Discussion chapter weakness</w:t>
            </w:r>
          </w:p>
        </w:tc>
        <w:tc>
          <w:tcPr>
            <w:tcW w:type="dxa" w:w="449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Chapter Five runs objective by objective with Key Findings, mechanism sections and Implications, then §5.5 synthesises everything through the SCP framework, §5.6 states what the study could not measure and §5.7 sets out the limitations.</w:t>
            </w:r>
          </w:p>
        </w:tc>
        <w:tc>
          <w:tcPr>
            <w:tcW w:type="dxa" w:w="205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§5.2–§5.7</w:t>
            </w:r>
          </w:p>
        </w:tc>
      </w:tr>
      <w:tr>
        <w:tc>
          <w:tcPr>
            <w:tcW w:type="dxa" w:w="58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10</w:t>
            </w:r>
          </w:p>
        </w:tc>
        <w:tc>
          <w:tcPr>
            <w:tcW w:type="dxa" w:w="188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Conclusions and recommendations weakness</w:t>
            </w:r>
          </w:p>
        </w:tc>
        <w:tc>
          <w:tcPr>
            <w:tcW w:type="dxa" w:w="449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Conclusions §6.2.1 to §6.2.3 and recommendations §6.4.1 to §6.4.3 are written objective by objective, each recommendation naming the finding it rests on. §6.5 sets out further research.</w:t>
            </w:r>
          </w:p>
        </w:tc>
        <w:tc>
          <w:tcPr>
            <w:tcW w:type="dxa" w:w="205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§6.2–§6.5</w:t>
            </w:r>
          </w:p>
        </w:tc>
      </w:tr>
      <w:tr>
        <w:tc>
          <w:tcPr>
            <w:tcW w:type="dxa" w:w="58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11</w:t>
            </w:r>
          </w:p>
        </w:tc>
        <w:tc>
          <w:tcPr>
            <w:tcW w:type="dxa" w:w="188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Terminology and conceptual consistency</w:t>
            </w:r>
          </w:p>
        </w:tc>
        <w:tc>
          <w:tcPr>
            <w:tcW w:type="dxa" w:w="449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A list of abbreviations was added. The four actor names — fisher, middleman, hotelier, exporter — are used in every table and every chart. Margins are called gross throughout and the absence of cost data is stated wherever a margin is reported.</w:t>
            </w:r>
          </w:p>
        </w:tc>
        <w:tc>
          <w:tcPr>
            <w:tcW w:type="dxa" w:w="205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List of Abbreviations, Tables 2–49, §4.4.9, §5.6</w:t>
            </w:r>
          </w:p>
        </w:tc>
      </w:tr>
      <w:tr>
        <w:tc>
          <w:tcPr>
            <w:tcW w:type="dxa" w:w="58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12</w:t>
            </w:r>
          </w:p>
        </w:tc>
        <w:tc>
          <w:tcPr>
            <w:tcW w:type="dxa" w:w="188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Formatting and presentation</w:t>
            </w:r>
          </w:p>
        </w:tc>
        <w:tc>
          <w:tcPr>
            <w:tcW w:type="dxa" w:w="449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Chapter Three now runs 3.1 to 3.11; the report had flagged it starting at 3.4. Tables are numbered 1 to 49 and figures 1 to 25 in one sequence. Captions follow APA 7. Table headers are plain, the body is Times New Roman 12 in black, and no table carries a note. A separate defect was found after the first revision was circulated and is now fixed: the Heading 1 to 4 styles inherited an automatic numbering list whose first level read "CHAPTER %1:" starting at 5, so Word painted that list on top of the typed heading text and rendered "CHAPTER 5: CHAPTER ONE: INTRODUCTION" and "5.4 1.1 Background information". Removing the numbering from a heading paragraph is not enough, because the list is inherited from the style; it has been removed from the style definitions. Three cross-reference fields in the contents also pointed at bookmarks deleted with the old contents rows and would have read "Error! Reference source not found."; they now resolve.</w:t>
            </w:r>
          </w:p>
        </w:tc>
        <w:tc>
          <w:tcPr>
            <w:tcW w:type="dxa" w:w="205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Throughout</w:t>
            </w:r>
          </w:p>
        </w:tc>
      </w:tr>
      <w:tr>
        <w:tc>
          <w:tcPr>
            <w:tcW w:type="dxa" w:w="58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13</w:t>
            </w:r>
          </w:p>
        </w:tc>
        <w:tc>
          <w:tcPr>
            <w:tcW w:type="dxa" w:w="1883"/>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Defence question 1: why call this a market structure study</w:t>
            </w:r>
          </w:p>
        </w:tc>
        <w:tc>
          <w:tcPr>
            <w:tcW w:type="dxa" w:w="4499"/>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Section 5.6 states which dimensions of market structure were measured — actor composition, functions, price dispersion, gross margins and the distribution of the end-of-chain price — and which were not: concentration, net margins and efficiency, with the reason for each.</w:t>
            </w:r>
          </w:p>
        </w:tc>
        <w:tc>
          <w:tcPr>
            <w:tcW w:type="dxa" w:w="2058"/>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§5.6</w:t>
            </w:r>
          </w:p>
        </w:tc>
      </w:tr>
    </w:tbl>
    <w:p>
      <w:pPr>
        <w:pStyle w:val="Heading2"/>
        <w:spacing w:after="140" w:before="280" w:line="360"/>
      </w:pPr>
      <w:r>
        <w:rPr>
          <w:rFonts w:ascii="Times New Roman" w:cs="Times New Roman" w:eastAsia="Times New Roman" w:hAnsi="Times New Roman"/>
          <w:b/>
          <w:bCs/>
          <w:color w:val="000000"/>
          <w:sz w:val="26"/>
          <w:szCs w:val="26"/>
        </w:rPr>
        <w:t xml:space="preserve">B. Supervisor Instructions</w:t>
      </w:r>
    </w:p>
    <w:p>
      <w:pPr>
        <w:spacing w:after="120" w:before="240" w:line="240"/>
      </w:pPr>
      <w:r>
        <w:rPr>
          <w:rFonts w:ascii="Times New Roman" w:cs="Times New Roman" w:eastAsia="Times New Roman" w:hAnsi="Times New Roman"/>
          <w:b/>
          <w:bCs/>
          <w:i w:val="false"/>
          <w:iCs w:val="false"/>
          <w:color w:val="000000"/>
          <w:sz w:val="24"/>
          <w:szCs w:val="24"/>
        </w:rPr>
        <w:t xml:space="preserve">Supervisor Instructions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151"/>
        <w:gridCol w:w="2616"/>
        <w:gridCol w:w="5259"/>
      </w:tblGrid>
      <w:tr>
        <w:trPr>
          <w:tblHeader/>
        </w:trPr>
        <w:tc>
          <w:tcPr>
            <w:tcW w:type="dxa" w:w="1151"/>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9"/>
                <w:szCs w:val="19"/>
              </w:rPr>
              <w:t xml:space="preserve">From</w:t>
            </w:r>
          </w:p>
        </w:tc>
        <w:tc>
          <w:tcPr>
            <w:tcW w:type="dxa" w:w="261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9"/>
                <w:szCs w:val="19"/>
              </w:rPr>
              <w:t xml:space="preserve">Instruction</w:t>
            </w:r>
          </w:p>
        </w:tc>
        <w:tc>
          <w:tcPr>
            <w:tcW w:type="dxa" w:w="5259"/>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9"/>
                <w:szCs w:val="19"/>
              </w:rPr>
              <w:t xml:space="preserve">How it is met</w:t>
            </w:r>
          </w:p>
        </w:tc>
      </w:tr>
      <w:tr>
        <w:tc>
          <w:tcPr>
            <w:tcW w:type="dxa" w:w="11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Dr Mirera</w:t>
            </w:r>
          </w:p>
        </w:tc>
        <w:tc>
          <w:tcPr>
            <w:tcW w:type="dxa" w:w="26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Vertical axis in percentages, not counts</w:t>
            </w:r>
          </w:p>
        </w:tc>
        <w:tc>
          <w:tcPr>
            <w:tcW w:type="dxa" w:w="525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Every chart plots percentages and every percentage axis runs the full 0–100%, whatever the tallest bar.</w:t>
            </w:r>
          </w:p>
        </w:tc>
      </w:tr>
      <w:tr>
        <w:tc>
          <w:tcPr>
            <w:tcW w:type="dxa" w:w="11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Dr Mirera</w:t>
            </w:r>
          </w:p>
        </w:tc>
        <w:tc>
          <w:tcPr>
            <w:tcW w:type="dxa" w:w="26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Price variation by actor level and by grade, with site comparison</w:t>
            </w:r>
          </w:p>
        </w:tc>
        <w:tc>
          <w:tcPr>
            <w:tcW w:type="dxa" w:w="525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Table 36 gives price by actor and grade; Table 37 the Kruskal–Wallis comparisons; Table 39 the mean price by actor, BMU and grade; Table 40 the first-sale spread by BMU.</w:t>
            </w:r>
          </w:p>
        </w:tc>
      </w:tr>
      <w:tr>
        <w:tc>
          <w:tcPr>
            <w:tcW w:type="dxa" w:w="11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Dr Mirera</w:t>
            </w:r>
          </w:p>
        </w:tc>
        <w:tc>
          <w:tcPr>
            <w:tcW w:type="dxa" w:w="26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Give the argument behind the observation</w:t>
            </w:r>
          </w:p>
        </w:tc>
        <w:tc>
          <w:tcPr>
            <w:tcW w:type="dxa" w:w="525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Each subsection of Chapter Four closes with an interpretive paragraph, and each objective ends with a comparison against previous studies.</w:t>
            </w:r>
          </w:p>
        </w:tc>
      </w:tr>
      <w:tr>
        <w:tc>
          <w:tcPr>
            <w:tcW w:type="dxa" w:w="11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Prof. Wamukota</w:t>
            </w:r>
          </w:p>
        </w:tc>
        <w:tc>
          <w:tcPr>
            <w:tcW w:type="dxa" w:w="26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Break very long tables</w:t>
            </w:r>
          </w:p>
        </w:tc>
        <w:tc>
          <w:tcPr>
            <w:tcW w:type="dxa" w:w="525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The longest table carries 33 data rows; the sixty results tables were split so that no table runs beyond a page and a half.</w:t>
            </w:r>
          </w:p>
        </w:tc>
      </w:tr>
      <w:tr>
        <w:tc>
          <w:tcPr>
            <w:tcW w:type="dxa" w:w="11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Prof. Wamukota</w:t>
            </w:r>
          </w:p>
        </w:tc>
        <w:tc>
          <w:tcPr>
            <w:tcW w:type="dxa" w:w="26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Diversify tables, graphs and figures</w:t>
            </w:r>
          </w:p>
        </w:tc>
        <w:tc>
          <w:tcPr>
            <w:tcW w:type="dxa" w:w="525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Forty-nine tables of six different shapes and twenty-five figures drawn six ways: clustered vertical bars, hundred-percent stacked vertical bars, grouped horizontal bars, hundred-percent stacked horizontal bars, grouped bars with error bars, and grouped bars by BMU. No line charts.</w:t>
            </w:r>
          </w:p>
        </w:tc>
      </w:tr>
      <w:tr>
        <w:tc>
          <w:tcPr>
            <w:tcW w:type="dxa" w:w="11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Prof. Wamukota</w:t>
            </w:r>
          </w:p>
        </w:tc>
        <w:tc>
          <w:tcPr>
            <w:tcW w:type="dxa" w:w="26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Report by objective and by site</w:t>
            </w:r>
          </w:p>
        </w:tc>
        <w:tc>
          <w:tcPr>
            <w:tcW w:type="dxa" w:w="525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Chapter Four is organised by objective, and every categorical table carries the four actors against the five BMUs with a p-value column.</w:t>
            </w:r>
          </w:p>
        </w:tc>
      </w:tr>
      <w:tr>
        <w:tc>
          <w:tcPr>
            <w:tcW w:type="dxa" w:w="11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Prof. Wamukota</w:t>
            </w:r>
          </w:p>
        </w:tc>
        <w:tc>
          <w:tcPr>
            <w:tcW w:type="dxa" w:w="26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Where there is no data, do not present it — explain why</w:t>
            </w:r>
          </w:p>
        </w:tc>
        <w:tc>
          <w:tcPr>
            <w:tcW w:type="dxa" w:w="525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A dash marks an actor that was not sampled at a BMU, distinct from a zero. Tables 37 and 49 end with a line explaining why hoteliers and exporters could not be tested against BMU, and §5.6 explains the rest.</w:t>
            </w:r>
          </w:p>
        </w:tc>
      </w:tr>
      <w:tr>
        <w:tc>
          <w:tcPr>
            <w:tcW w:type="dxa" w:w="1151"/>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Formatting</w:t>
            </w:r>
          </w:p>
        </w:tc>
        <w:tc>
          <w:tcPr>
            <w:tcW w:type="dxa" w:w="261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APA 7, Times New Roman 12, black, plain headers, no table notes</w:t>
            </w:r>
          </w:p>
        </w:tc>
        <w:tc>
          <w:tcPr>
            <w:tcW w:type="dxa" w:w="5259"/>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Verified mechanically: one font, one colour, no shading anywhere, and no note under any table.</w:t>
            </w:r>
          </w:p>
        </w:tc>
      </w:tr>
    </w:tbl>
    <w:p>
      <w:pPr>
        <w:pStyle w:val="Heading2"/>
        <w:spacing w:after="140" w:before="280" w:line="360"/>
      </w:pPr>
      <w:r>
        <w:rPr>
          <w:rFonts w:ascii="Times New Roman" w:cs="Times New Roman" w:eastAsia="Times New Roman" w:hAnsi="Times New Roman"/>
          <w:b/>
          <w:bCs/>
          <w:color w:val="000000"/>
          <w:sz w:val="26"/>
          <w:szCs w:val="26"/>
        </w:rPr>
        <w:t xml:space="preserve">C. What Was Checked, and How</w:t>
      </w:r>
    </w:p>
    <w:p>
      <w:pPr>
        <w:spacing w:after="120" w:before="0" w:line="360"/>
        <w:jc w:val="both"/>
      </w:pPr>
      <w:r>
        <w:rPr>
          <w:rFonts w:ascii="Times New Roman" w:cs="Times New Roman" w:eastAsia="Times New Roman" w:hAnsi="Times New Roman"/>
          <w:color w:val="000000"/>
          <w:sz w:val="24"/>
          <w:szCs w:val="24"/>
        </w:rPr>
        <w:t xml:space="preserve">One presentation per variable. Chapter Four had shown 27 of its figures beside a table of the same numbers. Where a variable’s association with BMU is significant the table was kept, because it carries all four actors, the site pattern, chi-square, df, p and the 99% confidence interval, and the figure was removed; otherwise the figure was kept and that variable’s block was removed from the table. Five further figures were superseded by a table carrying strictly more: exact counts, standard deviations, medians, quartiles or the margins in shillings. Nothing was lost: every variable still appears once, every significant result is still in a table, and every table and figure is now named in the text.</w:t>
      </w:r>
    </w:p>
    <w:p>
      <w:pPr>
        <w:spacing w:after="120" w:before="0" w:line="360"/>
        <w:jc w:val="both"/>
      </w:pPr>
      <w:r>
        <w:rPr>
          <w:rFonts w:ascii="Times New Roman" w:cs="Times New Roman" w:eastAsia="Times New Roman" w:hAnsi="Times New Roman"/>
          <w:color w:val="000000"/>
          <w:sz w:val="24"/>
          <w:szCs w:val="24"/>
        </w:rPr>
        <w:t xml:space="preserve">Tables fell from 61 to 49 and figures from 37 to 25. No table or figure carries a note, and no row is labelled Unknown, Missing or Not stated.</w:t>
      </w:r>
    </w:p>
    <w:p>
      <w:pPr>
        <w:spacing w:after="120" w:before="240" w:line="240"/>
      </w:pPr>
      <w:r>
        <w:rPr>
          <w:rFonts w:ascii="Times New Roman" w:cs="Times New Roman" w:eastAsia="Times New Roman" w:hAnsi="Times New Roman"/>
          <w:b/>
          <w:bCs/>
          <w:i w:val="false"/>
          <w:iCs w:val="false"/>
          <w:color w:val="000000"/>
          <w:sz w:val="24"/>
          <w:szCs w:val="24"/>
        </w:rPr>
        <w:t xml:space="preserve">Verification Performed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511"/>
        <w:gridCol w:w="942"/>
        <w:gridCol w:w="5573"/>
      </w:tblGrid>
      <w:tr>
        <w:trPr>
          <w:tblHeader/>
        </w:trPr>
        <w:tc>
          <w:tcPr>
            <w:tcW w:type="dxa" w:w="2511"/>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9"/>
                <w:szCs w:val="19"/>
              </w:rPr>
              <w:t xml:space="preserve">What</w:t>
            </w:r>
          </w:p>
        </w:tc>
        <w:tc>
          <w:tcPr>
            <w:tcW w:type="dxa" w:w="942"/>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9"/>
                <w:szCs w:val="19"/>
              </w:rPr>
              <w:t xml:space="preserve">Count</w:t>
            </w:r>
          </w:p>
        </w:tc>
        <w:tc>
          <w:tcPr>
            <w:tcW w:type="dxa" w:w="5573"/>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9"/>
                <w:szCs w:val="19"/>
              </w:rPr>
              <w:t xml:space="preserve">Method</w:t>
            </w:r>
          </w:p>
        </w:tc>
      </w:tr>
      <w:tr>
        <w:tc>
          <w:tcPr>
            <w:tcW w:type="dxa" w:w="25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Categorical table cells</w:t>
            </w:r>
          </w:p>
        </w:tc>
        <w:tc>
          <w:tcPr>
            <w:tcW w:type="dxa" w:w="94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3,720</w:t>
            </w:r>
          </w:p>
        </w:tc>
        <w:tc>
          <w:tcPr>
            <w:tcW w:type="dxa" w:w="557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Every cell of every actor-by-BMU table re-derived from the .sav with pandas and compared against the printed document.</w:t>
            </w:r>
          </w:p>
        </w:tc>
      </w:tr>
      <w:tr>
        <w:tc>
          <w:tcPr>
            <w:tcW w:type="dxa" w:w="25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Price and margin figures</w:t>
            </w:r>
          </w:p>
        </w:tc>
        <w:tc>
          <w:tcPr>
            <w:tcW w:type="dxa" w:w="94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207</w:t>
            </w:r>
          </w:p>
        </w:tc>
        <w:tc>
          <w:tcPr>
            <w:tcW w:type="dxa" w:w="557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Tables 45, 47, 48 and 49 recomputed from the raw price variables, including every margin, share and spread.</w:t>
            </w:r>
          </w:p>
        </w:tc>
      </w:tr>
      <w:tr>
        <w:tc>
          <w:tcPr>
            <w:tcW w:type="dxa" w:w="25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Sample, income, age and association figures</w:t>
            </w:r>
          </w:p>
        </w:tc>
        <w:tc>
          <w:tcPr>
            <w:tcW w:type="dxa" w:w="94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67</w:t>
            </w:r>
          </w:p>
        </w:tc>
        <w:tc>
          <w:tcPr>
            <w:tcW w:type="dxa" w:w="557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Tables 2, 10 and 49 recomputed, and every significant Monte Carlo result checked for presence.</w:t>
            </w:r>
          </w:p>
        </w:tc>
      </w:tr>
      <w:tr>
        <w:tc>
          <w:tcPr>
            <w:tcW w:type="dxa" w:w="25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Appendix A output cells</w:t>
            </w:r>
          </w:p>
        </w:tc>
        <w:tc>
          <w:tcPr>
            <w:tcW w:type="dxa" w:w="94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924</w:t>
            </w:r>
          </w:p>
        </w:tc>
        <w:tc>
          <w:tcPr>
            <w:tcW w:type="dxa" w:w="557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Every crosstabulation cell in the appendix re-derived from the .sav.</w:t>
            </w:r>
          </w:p>
        </w:tc>
      </w:tr>
      <w:tr>
        <w:tc>
          <w:tcPr>
            <w:tcW w:type="dxa" w:w="25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Prose count and percentage claims</w:t>
            </w:r>
          </w:p>
        </w:tc>
        <w:tc>
          <w:tcPr>
            <w:tcW w:type="dxa" w:w="94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110</w:t>
            </w:r>
          </w:p>
        </w:tc>
        <w:tc>
          <w:tcPr>
            <w:tcW w:type="dxa" w:w="557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Every “n (p%)” and “k of n” claim in Chapters Four to Six matched against a real table cell or valid n.</w:t>
            </w:r>
          </w:p>
        </w:tc>
      </w:tr>
      <w:tr>
        <w:tc>
          <w:tcPr>
            <w:tcW w:type="dxa" w:w="25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Kruskal–Wallis statistics</w:t>
            </w:r>
          </w:p>
        </w:tc>
        <w:tc>
          <w:tcPr>
            <w:tcW w:type="dxa" w:w="94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16</w:t>
            </w:r>
          </w:p>
        </w:tc>
        <w:tc>
          <w:tcPr>
            <w:tcW w:type="dxa" w:w="557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All recomputed with scipy and matched to three decimal places.</w:t>
            </w:r>
          </w:p>
        </w:tc>
      </w:tr>
      <w:tr>
        <w:tc>
          <w:tcPr>
            <w:tcW w:type="dxa" w:w="25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Figures</w:t>
            </w:r>
          </w:p>
        </w:tc>
        <w:tc>
          <w:tcPr>
            <w:tcW w:type="dxa" w:w="94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33</w:t>
            </w:r>
          </w:p>
        </w:tc>
        <w:tc>
          <w:tcPr>
            <w:tcW w:type="dxa" w:w="557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All regenerate byte-identically from the current .sav.</w:t>
            </w:r>
          </w:p>
        </w:tc>
      </w:tr>
      <w:tr>
        <w:tc>
          <w:tcPr>
            <w:tcW w:type="dxa" w:w="25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Citations</w:t>
            </w:r>
          </w:p>
        </w:tc>
        <w:tc>
          <w:tcPr>
            <w:tcW w:type="dxa" w:w="94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35</w:t>
            </w:r>
          </w:p>
        </w:tc>
        <w:tc>
          <w:tcPr>
            <w:tcW w:type="dxa" w:w="557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Every in-text citation has a reference entry; every reference entry is cited.</w:t>
            </w:r>
          </w:p>
        </w:tc>
      </w:tr>
      <w:tr>
        <w:tc>
          <w:tcPr>
            <w:tcW w:type="dxa" w:w="25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SPSS syntax</w:t>
            </w:r>
          </w:p>
        </w:tc>
        <w:tc>
          <w:tcPr>
            <w:tcW w:type="dxa" w:w="94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137 commands</w:t>
            </w:r>
          </w:p>
        </w:tc>
        <w:tc>
          <w:tcPr>
            <w:tcW w:type="dxa" w:w="557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All commands well formed, all 91 variables present in the .sav, all 49 tables indexed to the command that produces them.</w:t>
            </w:r>
          </w:p>
        </w:tc>
      </w:tr>
      <w:tr>
        <w:tc>
          <w:tcPr>
            <w:tcW w:type="dxa" w:w="251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Headings as Word paints them</w:t>
            </w:r>
          </w:p>
        </w:tc>
        <w:tc>
          <w:tcPr>
            <w:tcW w:type="dxa" w:w="94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125</w:t>
            </w:r>
          </w:p>
        </w:tc>
        <w:tc>
          <w:tcPr>
            <w:tcW w:type="dxa" w:w="557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Each heading resolved through the style chain and the numbering definitions and printed as it will render. Nothing is painted in front of the typed text.</w:t>
            </w:r>
          </w:p>
        </w:tc>
      </w:tr>
      <w:tr>
        <w:tc>
          <w:tcPr>
            <w:tcW w:type="dxa" w:w="2511"/>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Cross-reference fields</w:t>
            </w:r>
          </w:p>
        </w:tc>
        <w:tc>
          <w:tcPr>
            <w:tcW w:type="dxa" w:w="942"/>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196</w:t>
            </w:r>
          </w:p>
        </w:tc>
        <w:tc>
          <w:tcPr>
            <w:tcW w:type="dxa" w:w="5573"/>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Every PAGEREF target resolved to a bookmark that exists, every bookmark closed, no duplicate bookmark ids.</w:t>
            </w:r>
          </w:p>
        </w:tc>
      </w:tr>
    </w:tbl>
    <w:p>
      <w:pPr>
        <w:spacing w:after="120" w:before="0" w:line="360"/>
        <w:jc w:val="both"/>
      </w:pPr>
      <w:r>
        <w:rPr>
          <w:rFonts w:ascii="Times New Roman" w:cs="Times New Roman" w:eastAsia="Times New Roman" w:hAnsi="Times New Roman"/>
          <w:color w:val="000000"/>
          <w:sz w:val="24"/>
          <w:szCs w:val="24"/>
        </w:rPr>
        <w:t xml:space="preserve">Mismatches found and corrected during verification: the first-buyer and second-buyer distributions in the text of Tables 25 and 26, the single-buyer share at Shimoni in the buyer-count table, a stale cross-reference in the price-factors table, an IQR column whose header did not match its contents, and one citation that had no reference entry.</w:t>
      </w:r>
    </w:p>
    <w:p>
      <w:pPr>
        <w:spacing w:after="120" w:before="0" w:line="360"/>
        <w:jc w:val="both"/>
      </w:pPr>
      <w:r>
        <w:rPr>
          <w:rFonts w:ascii="Times New Roman" w:cs="Times New Roman" w:eastAsia="Times New Roman" w:hAnsi="Times New Roman"/>
          <w:color w:val="000000"/>
          <w:sz w:val="24"/>
          <w:szCs w:val="24"/>
        </w:rPr>
        <w:t xml:space="preserve">Found after the first revision was circulated, and now fixed: automatic numbering inherited from the heading styles, which Word painted on top of 119 headings, and three broken cross-reference fields in the contents. Both had passed the earlier checks because those checks read the paragraph text, and neither a painted list number nor a field result is stored in the text. The checks listed above now resolve the numbering and the fields themselves, so the same defect cannot pass again.</w:t>
      </w:r>
    </w:p>
    <w:p>
      <w:pPr>
        <w:spacing w:after="120" w:before="0" w:line="360"/>
        <w:jc w:val="both"/>
      </w:pPr>
      <w:r>
        <w:rPr>
          <w:rFonts w:ascii="Times New Roman" w:cs="Times New Roman" w:eastAsia="Times New Roman" w:hAnsi="Times New Roman"/>
          <w:color w:val="000000"/>
          <w:sz w:val="24"/>
          <w:szCs w:val="24"/>
        </w:rPr>
        <w:t xml:space="preserve">Every check listed in this section currently reports zero mismatches. What the checks do not cover is page layout: where a table or figure falls on the page, and the page numbers themselves, which only Word can compute.</w:t>
      </w:r>
    </w:p>
    <w:p>
      <w:pPr>
        <w:pStyle w:val="Heading2"/>
        <w:spacing w:after="140" w:before="280" w:line="360"/>
      </w:pPr>
      <w:r>
        <w:rPr>
          <w:rFonts w:ascii="Times New Roman" w:cs="Times New Roman" w:eastAsia="Times New Roman" w:hAnsi="Times New Roman"/>
          <w:b/>
          <w:bCs/>
          <w:color w:val="000000"/>
          <w:sz w:val="26"/>
          <w:szCs w:val="26"/>
        </w:rPr>
        <w:t xml:space="preserve">D. What Changed Since Draft 10</w:t>
      </w:r>
    </w:p>
    <w:p>
      <w:pPr>
        <w:spacing w:after="120" w:before="240" w:line="240"/>
      </w:pPr>
      <w:r>
        <w:rPr>
          <w:rFonts w:ascii="Times New Roman" w:cs="Times New Roman" w:eastAsia="Times New Roman" w:hAnsi="Times New Roman"/>
          <w:b/>
          <w:bCs/>
          <w:i w:val="false"/>
          <w:iCs w:val="false"/>
          <w:color w:val="000000"/>
          <w:sz w:val="24"/>
          <w:szCs w:val="24"/>
        </w:rPr>
        <w:t xml:space="preserve">Changes From Draft 10</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83"/>
        <w:gridCol w:w="7143"/>
      </w:tblGrid>
      <w:tr>
        <w:trPr>
          <w:tblHeader/>
        </w:trPr>
        <w:tc>
          <w:tcPr>
            <w:tcW w:type="dxa" w:w="1883"/>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9"/>
                <w:szCs w:val="19"/>
              </w:rPr>
              <w:t xml:space="preserve">Area</w:t>
            </w:r>
          </w:p>
        </w:tc>
        <w:tc>
          <w:tcPr>
            <w:tcW w:type="dxa" w:w="7143"/>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9"/>
                <w:szCs w:val="19"/>
              </w:rPr>
              <w:t xml:space="preserve">Change</w:t>
            </w:r>
          </w:p>
        </w:tc>
      </w:tr>
      <w:tr>
        <w:tc>
          <w:tcPr>
            <w:tcW w:type="dxa" w:w="188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Tables</w:t>
            </w:r>
          </w:p>
        </w:tc>
        <w:tc>
          <w:tcPr>
            <w:tcW w:type="dxa" w:w="714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Draft 10 carried 46 tables with duplicate numbers 21, 22 and 23, nine missing numbers and two tables with no caption. The thesis now carries 49 tables numbered in one sequence, all captioned.</w:t>
            </w:r>
          </w:p>
        </w:tc>
      </w:tr>
      <w:tr>
        <w:tc>
          <w:tcPr>
            <w:tcW w:type="dxa" w:w="188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Actors</w:t>
            </w:r>
          </w:p>
        </w:tc>
        <w:tc>
          <w:tcPr>
            <w:tcW w:type="dxa" w:w="714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Every categorical table now carries all four actor categories against all five BMUs, in the nine-column layout draft 10 used for its best tables.</w:t>
            </w:r>
          </w:p>
        </w:tc>
      </w:tr>
      <w:tr>
        <w:tc>
          <w:tcPr>
            <w:tcW w:type="dxa" w:w="188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New tables</w:t>
            </w:r>
          </w:p>
        </w:tc>
        <w:tc>
          <w:tcPr>
            <w:tcW w:type="dxa" w:w="714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Six variables draft 10 reported but the earlier rebuild had dropped are back: number of buyers and state of crabs sold, location of sale and knowledge of the onward sale, first and second buyer location, tied depot owners and the arrangements used with them.</w:t>
            </w:r>
          </w:p>
        </w:tc>
      </w:tr>
      <w:tr>
        <w:tc>
          <w:tcPr>
            <w:tcW w:type="dxa" w:w="188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Chapter numbering</w:t>
            </w:r>
          </w:p>
        </w:tc>
        <w:tc>
          <w:tcPr>
            <w:tcW w:type="dxa" w:w="714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Draft 10 numbered its front matter as chapters — “CHAPTER 5: ABSTRACT” — began Chapter Three at 3.4, and carried a doubled “4.4 4.1”. All are corrected.</w:t>
            </w:r>
          </w:p>
        </w:tc>
      </w:tr>
      <w:tr>
        <w:tc>
          <w:tcPr>
            <w:tcW w:type="dxa" w:w="188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Front matter</w:t>
            </w:r>
          </w:p>
        </w:tc>
        <w:tc>
          <w:tcPr>
            <w:tcW w:type="dxa" w:w="714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The list of abbreviations was carried over from draft 10 and extended to nineteen entries. The lists of tables and figures and the table of contents are rebuilt from the actual captions.</w:t>
            </w:r>
          </w:p>
        </w:tc>
      </w:tr>
      <w:tr>
        <w:tc>
          <w:tcPr>
            <w:tcW w:type="dxa" w:w="1883"/>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References</w:t>
            </w:r>
          </w:p>
        </w:tc>
        <w:tc>
          <w:tcPr>
            <w:tcW w:type="dxa" w:w="7143"/>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9"/>
                <w:szCs w:val="19"/>
              </w:rPr>
              <w:t xml:space="preserve">The list went from 88 entries to 37. Forty-nine entries were never cited in any draft and were removed, twenty-one were put into APA 7 form, and two citations draft 10 carried were restored where the rebuild had dropped them.</w:t>
            </w:r>
          </w:p>
        </w:tc>
      </w:tr>
    </w:tbl>
    <w:p>
      <w:pPr>
        <w:pStyle w:val="Heading2"/>
        <w:spacing w:after="140" w:before="280" w:line="360"/>
      </w:pPr>
      <w:r>
        <w:rPr>
          <w:rFonts w:ascii="Times New Roman" w:cs="Times New Roman" w:eastAsia="Times New Roman" w:hAnsi="Times New Roman"/>
          <w:b/>
          <w:bCs/>
          <w:color w:val="000000"/>
          <w:sz w:val="26"/>
          <w:szCs w:val="26"/>
        </w:rPr>
        <w:t xml:space="preserve">E. Before Printing</w:t>
      </w:r>
    </w:p>
    <w:p>
      <w:pPr>
        <w:spacing w:after="120" w:before="0" w:line="360"/>
        <w:jc w:val="both"/>
      </w:pPr>
      <w:r>
        <w:rPr>
          <w:rFonts w:ascii="Times New Roman" w:cs="Times New Roman" w:eastAsia="Times New Roman" w:hAnsi="Times New Roman"/>
          <w:color w:val="000000"/>
          <w:sz w:val="24"/>
          <w:szCs w:val="24"/>
        </w:rPr>
        <w:t xml:space="preserve">Two things still need doing in Word, because page numbers cannot be computed outside it. Open the thesis, press Ctrl+A then F9, and choose “Update entire table” when asked. That fills the page numbers in the table of contents, the list of tables and the list of figures. Then check that no table breaks awkwardly across a page and add a page break where one does.</w:t>
      </w:r>
    </w:p>
    <w:p>
      <w:pPr>
        <w:spacing w:after="120" w:before="0" w:line="360"/>
        <w:jc w:val="both"/>
      </w:pPr>
      <w:r>
        <w:rPr>
          <w:rFonts w:ascii="Times New Roman" w:cs="Times New Roman" w:eastAsia="Times New Roman" w:hAnsi="Times New Roman"/>
          <w:color w:val="000000"/>
          <w:sz w:val="24"/>
          <w:szCs w:val="24"/>
        </w:rPr>
        <w:t xml:space="preserve">The heading numbering needs nothing further. The automatic numbering has been removed from the styles, so pressing F9 will not bring it back. If a heading is ever retyped or its style reapplied by hand, check the Home tab and confirm no multilevel list is active on it.</w:t>
      </w:r>
    </w:p>
    <w:p>
      <w:pPr>
        <w:spacing w:after="120" w:before="0" w:line="360"/>
        <w:jc w:val="both"/>
      </w:pPr>
      <w:r>
        <w:rPr>
          <w:rFonts w:ascii="Times New Roman" w:cs="Times New Roman" w:eastAsia="Times New Roman" w:hAnsi="Times New Roman"/>
          <w:color w:val="000000"/>
          <w:sz w:val="24"/>
          <w:szCs w:val="24"/>
        </w:rPr>
        <w:t xml:space="preserve">The SPSS syntax file expects the dataset at C:\MudCrab\. Edit the path on the GET command at the top of the file before running it.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 Checklist</dc:title>
  <dc:creator>Mercy Sangura</dc:creator>
  <cp:lastModifiedBy>Un-named</cp:lastModifiedBy>
  <cp:revision>1</cp:revision>
  <dcterms:created xsi:type="dcterms:W3CDTF">2026-09-28T17:01:28.238Z</dcterms:created>
  <dcterms:modified xsi:type="dcterms:W3CDTF">2026-09-28T17:01:28.238Z</dcterms:modified>
</cp:coreProperties>
</file>

<file path=docProps/custom.xml><?xml version="1.0" encoding="utf-8"?>
<Properties xmlns="http://schemas.openxmlformats.org/officeDocument/2006/custom-properties" xmlns:vt="http://schemas.openxmlformats.org/officeDocument/2006/docPropsVTypes"/>
</file>