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CHANGE LOG</w:t>
      </w:r>
    </w:p>
    <w:p>
      <w:pPr>
        <w:spacing w:before="0" w:after="40"/>
        <w:jc w:val="center"/>
      </w:pPr>
      <w:r>
        <w:rPr>
          <w:rFonts w:ascii="Calibri" w:hAnsi="Calibri"/>
          <w:b/>
          <w:i w:val="0"/>
          <w:color w:val="1F4D78"/>
          <w:sz w:val="25"/>
        </w:rPr>
        <w:t>Every change made to the trader questionnaire, and why</w:t>
      </w:r>
    </w:p>
    <w:p>
      <w:pPr>
        <w:spacing w:before="0" w:after="280"/>
        <w:jc w:val="center"/>
      </w:pPr>
      <w:r>
        <w:rPr>
          <w:rFonts w:ascii="Calibri" w:hAnsi="Calibri"/>
          <w:b w:val="0"/>
          <w:i/>
          <w:color w:val="595959"/>
          <w:sz w:val="20"/>
        </w:rPr>
        <w:t>Gender-Responsive Childcare Services in Uasin Gishu County Markets  ·  From the reviewed draft through to the field-ready version</w:t>
      </w:r>
    </w:p>
    <w:p>
      <w:pPr>
        <w:pStyle w:val="Heading2"/>
      </w:pPr>
      <w:r>
        <w:t>Verdict on the current version</w:t>
      </w:r>
    </w:p>
    <w:p>
      <w:pPr>
        <w:spacing w:before="120" w:after="160"/>
        <w:ind w:left="283"/>
        <w:pBdr>
          <w:left w:val="single" w:sz="18" w:space="8" w:color="1F4D78"/>
        </w:pBdr>
      </w:pPr>
      <w:r>
        <w:rPr>
          <w:rFonts w:ascii="Calibri" w:hAnsi="Calibri"/>
          <w:b/>
          <w:color w:val="1F4D78"/>
          <w:sz w:val="21"/>
        </w:rPr>
        <w:t xml:space="preserve">Ready for full collection:  </w:t>
      </w:r>
      <w:r>
        <w:rPr>
          <w:rFonts w:ascii="Calibri" w:hAnsi="Calibri"/>
          <w:sz w:val="21"/>
        </w:rPr>
        <w:t>Yes — the document is now sound. Every change below has been applied and checked. One thing is outside the document and must still be done: the four tablet settings in Section F0e have to be programmed into the Kobo form. The document instructs them; it cannot enforce them.</w:t>
      </w:r>
    </w:p>
    <w:p>
      <w:pPr>
        <w:spacing w:before="120" w:after="160"/>
        <w:ind w:left="283"/>
        <w:pBdr>
          <w:left w:val="single" w:sz="18" w:space="8" w:color="C00000"/>
        </w:pBdr>
      </w:pPr>
      <w:r>
        <w:rPr>
          <w:rFonts w:ascii="Calibri" w:hAnsi="Calibri"/>
          <w:b/>
          <w:color w:val="C00000"/>
          <w:sz w:val="21"/>
        </w:rPr>
        <w:t xml:space="preserve">What to do:  </w:t>
      </w:r>
      <w:r>
        <w:rPr>
          <w:rFonts w:ascii="Calibri" w:hAnsi="Calibri"/>
          <w:sz w:val="21"/>
        </w:rPr>
        <w:t>Because the re-test has been dropped, a first-day check has been added at F0f. It uses the first 20 real interviews to confirm the tablet is shuffling the options. This is the only way left to catch a broken shuffle before it costs the whole survey, and it must be run before day two begins.</w:t>
      </w:r>
    </w:p>
    <w:p>
      <w:pPr>
        <w:pStyle w:val="Heading2"/>
      </w:pPr>
      <w:r>
        <w:t>How the versions run</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1814"/>
            <w:shd w:val="clear" w:color="auto" w:fill="DEEAF6"/>
          </w:tcPr>
          <w:p>
            <w:pPr>
              <w:spacing w:before="20" w:after="20"/>
              <w:jc w:val="center"/>
            </w:pPr>
            <w:r/>
            <w:r>
              <w:rPr>
                <w:rFonts w:ascii="Calibri" w:hAnsi="Calibri"/>
                <w:b/>
                <w:color w:val="000000"/>
                <w:sz w:val="18"/>
              </w:rPr>
              <w:t>Version</w:t>
            </w:r>
          </w:p>
        </w:tc>
        <w:tc>
          <w:tcPr>
            <w:tcW w:type="dxa" w:w="5329"/>
            <w:shd w:val="clear" w:color="auto" w:fill="DEEAF6"/>
          </w:tcPr>
          <w:p>
            <w:pPr>
              <w:spacing w:before="20" w:after="20"/>
              <w:jc w:val="center"/>
            </w:pPr>
            <w:r/>
            <w:r>
              <w:rPr>
                <w:rFonts w:ascii="Calibri" w:hAnsi="Calibri"/>
                <w:b/>
                <w:color w:val="000000"/>
                <w:sz w:val="18"/>
              </w:rPr>
              <w:t>What it was</w:t>
            </w:r>
          </w:p>
        </w:tc>
        <w:tc>
          <w:tcPr>
            <w:tcW w:type="dxa" w:w="2041"/>
            <w:shd w:val="clear" w:color="auto" w:fill="DEEAF6"/>
          </w:tcPr>
          <w:p>
            <w:pPr>
              <w:spacing w:before="20" w:after="20"/>
              <w:jc w:val="center"/>
            </w:pPr>
            <w:r/>
            <w:r>
              <w:rPr>
                <w:rFonts w:ascii="Calibri" w:hAnsi="Calibri"/>
                <w:b/>
                <w:color w:val="000000"/>
                <w:sz w:val="18"/>
              </w:rPr>
              <w:t>Status</w:t>
            </w:r>
          </w:p>
        </w:tc>
      </w:tr>
      <w:tr>
        <w:tc>
          <w:tcPr>
            <w:tcW w:type="dxa" w:w="1814"/>
          </w:tcPr>
          <w:p>
            <w:pPr>
              <w:spacing w:before="20" w:after="20"/>
            </w:pPr>
            <w:r/>
            <w:r>
              <w:rPr>
                <w:rFonts w:ascii="Calibri" w:hAnsi="Calibri"/>
                <w:b/>
                <w:color w:val="000000"/>
                <w:sz w:val="18"/>
              </w:rPr>
              <w:t>Reviewed draft</w:t>
            </w:r>
          </w:p>
        </w:tc>
        <w:tc>
          <w:tcPr>
            <w:tcW w:type="dxa" w:w="5329"/>
          </w:tcPr>
          <w:p>
            <w:pPr>
              <w:spacing w:before="20" w:after="20"/>
            </w:pPr>
            <w:r/>
            <w:r>
              <w:rPr>
                <w:rFonts w:ascii="Calibri" w:hAnsi="Calibri"/>
                <w:b w:val="0"/>
                <w:color w:val="000000"/>
                <w:sz w:val="18"/>
              </w:rPr>
              <w:t>Original questionnaire with reviewer comments in red and yellow</w:t>
            </w:r>
          </w:p>
        </w:tc>
        <w:tc>
          <w:tcPr>
            <w:tcW w:type="dxa" w:w="2041"/>
          </w:tcPr>
          <w:p>
            <w:pPr>
              <w:spacing w:before="20" w:after="20"/>
            </w:pPr>
            <w:r/>
            <w:r>
              <w:rPr>
                <w:rFonts w:ascii="Calibri" w:hAnsi="Calibri"/>
                <w:b w:val="0"/>
                <w:color w:val="000000"/>
                <w:sz w:val="18"/>
              </w:rPr>
              <w:t>Superseded</w:t>
            </w:r>
          </w:p>
        </w:tc>
      </w:tr>
      <w:tr>
        <w:tc>
          <w:tcPr>
            <w:tcW w:type="dxa" w:w="1814"/>
          </w:tcPr>
          <w:p>
            <w:pPr>
              <w:spacing w:before="20" w:after="20"/>
            </w:pPr>
            <w:r/>
            <w:r>
              <w:rPr>
                <w:rFonts w:ascii="Calibri" w:hAnsi="Calibri"/>
                <w:b/>
                <w:color w:val="000000"/>
                <w:sz w:val="18"/>
              </w:rPr>
              <w:t>v2</w:t>
            </w:r>
          </w:p>
        </w:tc>
        <w:tc>
          <w:tcPr>
            <w:tcW w:type="dxa" w:w="5329"/>
          </w:tcPr>
          <w:p>
            <w:pPr>
              <w:spacing w:before="20" w:after="20"/>
            </w:pPr>
            <w:r/>
            <w:r>
              <w:rPr>
                <w:rFonts w:ascii="Calibri" w:hAnsi="Calibri"/>
                <w:b w:val="0"/>
                <w:color w:val="000000"/>
                <w:sz w:val="18"/>
              </w:rPr>
              <w:t>Reviewer recommendations resolved; sequential numbering</w:t>
            </w:r>
          </w:p>
        </w:tc>
        <w:tc>
          <w:tcPr>
            <w:tcW w:type="dxa" w:w="2041"/>
          </w:tcPr>
          <w:p>
            <w:pPr>
              <w:spacing w:before="20" w:after="20"/>
            </w:pPr>
            <w:r/>
            <w:r>
              <w:rPr>
                <w:rFonts w:ascii="Calibri" w:hAnsi="Calibri"/>
                <w:b w:val="0"/>
                <w:color w:val="000000"/>
                <w:sz w:val="18"/>
              </w:rPr>
              <w:t>Superseded</w:t>
            </w:r>
          </w:p>
        </w:tc>
      </w:tr>
      <w:tr>
        <w:tc>
          <w:tcPr>
            <w:tcW w:type="dxa" w:w="1814"/>
          </w:tcPr>
          <w:p>
            <w:pPr>
              <w:spacing w:before="20" w:after="20"/>
            </w:pPr>
            <w:r/>
            <w:r>
              <w:rPr>
                <w:rFonts w:ascii="Calibri" w:hAnsi="Calibri"/>
                <w:b/>
                <w:color w:val="000000"/>
                <w:sz w:val="18"/>
              </w:rPr>
              <w:t>v3</w:t>
            </w:r>
          </w:p>
        </w:tc>
        <w:tc>
          <w:tcPr>
            <w:tcW w:type="dxa" w:w="5329"/>
          </w:tcPr>
          <w:p>
            <w:pPr>
              <w:spacing w:before="20" w:after="20"/>
            </w:pPr>
            <w:r/>
            <w:r>
              <w:rPr>
                <w:rFonts w:ascii="Calibri" w:hAnsi="Calibri"/>
                <w:b w:val="0"/>
                <w:color w:val="000000"/>
                <w:sz w:val="18"/>
              </w:rPr>
              <w:t>Supplementary questions, wellbeing section, costing template, rebuilt choice cards</w:t>
            </w:r>
          </w:p>
        </w:tc>
        <w:tc>
          <w:tcPr>
            <w:tcW w:type="dxa" w:w="2041"/>
          </w:tcPr>
          <w:p>
            <w:pPr>
              <w:spacing w:before="20" w:after="20"/>
            </w:pPr>
            <w:r/>
            <w:r>
              <w:rPr>
                <w:rFonts w:ascii="Calibri" w:hAnsi="Calibri"/>
                <w:b w:val="0"/>
                <w:color w:val="000000"/>
                <w:sz w:val="18"/>
              </w:rPr>
              <w:t>Superseded</w:t>
            </w:r>
          </w:p>
        </w:tc>
      </w:tr>
      <w:tr>
        <w:tc>
          <w:tcPr>
            <w:tcW w:type="dxa" w:w="1814"/>
          </w:tcPr>
          <w:p>
            <w:pPr>
              <w:spacing w:before="20" w:after="20"/>
            </w:pPr>
            <w:r/>
            <w:r>
              <w:rPr>
                <w:rFonts w:ascii="Calibri" w:hAnsi="Calibri"/>
                <w:b/>
                <w:color w:val="000000"/>
                <w:sz w:val="18"/>
              </w:rPr>
              <w:t>v4</w:t>
            </w:r>
          </w:p>
        </w:tc>
        <w:tc>
          <w:tcPr>
            <w:tcW w:type="dxa" w:w="5329"/>
          </w:tcPr>
          <w:p>
            <w:pPr>
              <w:spacing w:before="20" w:after="20"/>
            </w:pPr>
            <w:r/>
            <w:r>
              <w:rPr>
                <w:rFonts w:ascii="Calibri" w:hAnsi="Calibri"/>
                <w:b w:val="0"/>
                <w:color w:val="000000"/>
                <w:sz w:val="18"/>
              </w:rPr>
              <w:t>Pilot corrections to the choice experiment</w:t>
            </w:r>
          </w:p>
        </w:tc>
        <w:tc>
          <w:tcPr>
            <w:tcW w:type="dxa" w:w="2041"/>
          </w:tcPr>
          <w:p>
            <w:pPr>
              <w:spacing w:before="20" w:after="20"/>
            </w:pPr>
            <w:r/>
            <w:r>
              <w:rPr>
                <w:rFonts w:ascii="Calibri" w:hAnsi="Calibri"/>
                <w:b w:val="0"/>
                <w:color w:val="000000"/>
                <w:sz w:val="18"/>
              </w:rPr>
              <w:t>Superseded</w:t>
            </w:r>
          </w:p>
        </w:tc>
      </w:tr>
      <w:tr>
        <w:tc>
          <w:tcPr>
            <w:tcW w:type="dxa" w:w="1814"/>
          </w:tcPr>
          <w:p>
            <w:pPr>
              <w:spacing w:before="20" w:after="20"/>
            </w:pPr>
            <w:r/>
            <w:r>
              <w:rPr>
                <w:rFonts w:ascii="Calibri" w:hAnsi="Calibri"/>
                <w:b/>
                <w:color w:val="000000"/>
                <w:sz w:val="18"/>
              </w:rPr>
              <w:t>v5 — FIELD READY</w:t>
            </w:r>
          </w:p>
        </w:tc>
        <w:tc>
          <w:tcPr>
            <w:tcW w:type="dxa" w:w="5329"/>
          </w:tcPr>
          <w:p>
            <w:pPr>
              <w:spacing w:before="20" w:after="20"/>
            </w:pPr>
            <w:r/>
            <w:r>
              <w:rPr>
                <w:rFonts w:ascii="Calibri" w:hAnsi="Calibri"/>
                <w:b w:val="0"/>
                <w:color w:val="000000"/>
                <w:sz w:val="18"/>
              </w:rPr>
              <w:t>Numbering conflicts removed, timing restored, data-name annex added</w:t>
            </w:r>
          </w:p>
        </w:tc>
        <w:tc>
          <w:tcPr>
            <w:tcW w:type="dxa" w:w="2041"/>
          </w:tcPr>
          <w:p>
            <w:pPr>
              <w:spacing w:before="20" w:after="20"/>
            </w:pPr>
            <w:r/>
            <w:r>
              <w:rPr>
                <w:rFonts w:ascii="Calibri" w:hAnsi="Calibri"/>
                <w:b w:val="0"/>
                <w:color w:val="000000"/>
                <w:sz w:val="18"/>
              </w:rPr>
              <w:t>Use this one</w:t>
            </w:r>
          </w:p>
        </w:tc>
      </w:tr>
    </w:tbl>
    <w:p>
      <w:r>
        <w:br w:type="page"/>
      </w:r>
    </w:p>
    <w:p>
      <w:pPr>
        <w:pStyle w:val="Heading1"/>
        <w:pBdr>
          <w:bottom w:val="single" w:sz="6" w:space="4" w:color="1F3864"/>
        </w:pBdr>
      </w:pPr>
      <w:r>
        <w:t>Part 1 — Changes made before the pilot</w:t>
      </w:r>
    </w:p>
    <w:p>
      <w:pPr>
        <w:spacing w:before="0" w:after="120"/>
      </w:pPr>
      <w:r>
        <w:rPr>
          <w:rFonts w:ascii="Calibri" w:hAnsi="Calibri"/>
          <w:b w:val="0"/>
          <w:i w:val="0"/>
          <w:color w:val="000000"/>
          <w:sz w:val="22"/>
        </w:rPr>
        <w:t>These came from reviewing the questionnaire against the study objectives. They were in place for the pilot.</w:t>
      </w:r>
    </w:p>
    <w:p>
      <w:pPr>
        <w:pStyle w:val="Heading2"/>
      </w:pPr>
      <w:r>
        <w:t>1.1  Structure and numbering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742"/>
            <w:shd w:val="clear" w:color="auto" w:fill="DEEAF6"/>
          </w:tcPr>
          <w:p>
            <w:pPr>
              <w:spacing w:before="20" w:after="20"/>
              <w:jc w:val="center"/>
            </w:pPr>
            <w:r/>
            <w:r>
              <w:rPr>
                <w:rFonts w:ascii="Calibri" w:hAnsi="Calibri"/>
                <w:b/>
                <w:color w:val="000000"/>
                <w:sz w:val="18"/>
              </w:rPr>
              <w:t>Change</w:t>
            </w:r>
          </w:p>
        </w:tc>
        <w:tc>
          <w:tcPr>
            <w:tcW w:type="dxa" w:w="5443"/>
            <w:shd w:val="clear" w:color="auto" w:fill="DEEAF6"/>
          </w:tcPr>
          <w:p>
            <w:pPr>
              <w:spacing w:before="20" w:after="20"/>
              <w:jc w:val="center"/>
            </w:pPr>
            <w:r/>
            <w:r>
              <w:rPr>
                <w:rFonts w:ascii="Calibri" w:hAnsi="Calibri"/>
                <w:b/>
                <w:color w:val="000000"/>
                <w:sz w:val="18"/>
              </w:rPr>
              <w:t>Why</w:t>
            </w:r>
          </w:p>
        </w:tc>
      </w:tr>
      <w:tr>
        <w:tc>
          <w:tcPr>
            <w:tcW w:type="dxa" w:w="3742"/>
          </w:tcPr>
          <w:p>
            <w:pPr>
              <w:spacing w:before="20" w:after="20"/>
            </w:pPr>
            <w:r/>
            <w:r>
              <w:rPr>
                <w:rFonts w:ascii="Calibri" w:hAnsi="Calibri"/>
                <w:b/>
                <w:color w:val="000000"/>
                <w:sz w:val="18"/>
              </w:rPr>
              <w:t>Every question numbered in sequence within its section</w:t>
            </w:r>
          </w:p>
        </w:tc>
        <w:tc>
          <w:tcPr>
            <w:tcW w:type="dxa" w:w="5443"/>
          </w:tcPr>
          <w:p>
            <w:pPr>
              <w:spacing w:before="20" w:after="20"/>
            </w:pPr>
            <w:r/>
            <w:r>
              <w:rPr>
                <w:rFonts w:ascii="Calibri" w:hAnsi="Calibri"/>
                <w:b w:val="0"/>
                <w:color w:val="000000"/>
                <w:sz w:val="18"/>
              </w:rPr>
              <w:t>The draft had gaps, repeats and items with no number at all. Skip instructions pointed at numbers that no longer existed.</w:t>
            </w:r>
          </w:p>
        </w:tc>
      </w:tr>
      <w:tr>
        <w:tc>
          <w:tcPr>
            <w:tcW w:type="dxa" w:w="3742"/>
          </w:tcPr>
          <w:p>
            <w:pPr>
              <w:spacing w:before="20" w:after="20"/>
            </w:pPr>
            <w:r/>
            <w:r>
              <w:rPr>
                <w:rFonts w:ascii="Calibri" w:hAnsi="Calibri"/>
                <w:b/>
                <w:color w:val="000000"/>
                <w:sz w:val="18"/>
              </w:rPr>
              <w:t>One coding convention throughout: 1 = Yes, 2 = No, 3 = Don't know, 4 = Refused</w:t>
            </w:r>
          </w:p>
        </w:tc>
        <w:tc>
          <w:tcPr>
            <w:tcW w:type="dxa" w:w="5443"/>
          </w:tcPr>
          <w:p>
            <w:pPr>
              <w:spacing w:before="20" w:after="20"/>
            </w:pPr>
            <w:r/>
            <w:r>
              <w:rPr>
                <w:rFonts w:ascii="Calibri" w:hAnsi="Calibri"/>
                <w:b w:val="0"/>
                <w:color w:val="000000"/>
                <w:sz w:val="18"/>
              </w:rPr>
              <w:t>The draft mixed 0/1 with 98/99 in different places, which produces two conventions in one dataset.</w:t>
            </w:r>
          </w:p>
        </w:tc>
      </w:tr>
      <w:tr>
        <w:tc>
          <w:tcPr>
            <w:tcW w:type="dxa" w:w="3742"/>
          </w:tcPr>
          <w:p>
            <w:pPr>
              <w:spacing w:before="20" w:after="20"/>
            </w:pPr>
            <w:r/>
            <w:r>
              <w:rPr>
                <w:rFonts w:ascii="Calibri" w:hAnsi="Calibri"/>
                <w:b/>
                <w:color w:val="000000"/>
                <w:sz w:val="18"/>
              </w:rPr>
              <w:t>All reviewer recommendations resolved into single questions</w:t>
            </w:r>
          </w:p>
        </w:tc>
        <w:tc>
          <w:tcPr>
            <w:tcW w:type="dxa" w:w="5443"/>
          </w:tcPr>
          <w:p>
            <w:pPr>
              <w:spacing w:before="20" w:after="20"/>
            </w:pPr>
            <w:r/>
            <w:r>
              <w:rPr>
                <w:rFonts w:ascii="Calibri" w:hAnsi="Calibri"/>
                <w:b w:val="0"/>
                <w:color w:val="000000"/>
                <w:sz w:val="18"/>
              </w:rPr>
              <w:t>The draft carried both the original and the proposed replacement for many items. A field instrument cannot ask both.</w:t>
            </w:r>
          </w:p>
        </w:tc>
      </w:tr>
      <w:tr>
        <w:tc>
          <w:tcPr>
            <w:tcW w:type="dxa" w:w="3742"/>
          </w:tcPr>
          <w:p>
            <w:pPr>
              <w:spacing w:before="20" w:after="20"/>
            </w:pPr>
            <w:r/>
            <w:r>
              <w:rPr>
                <w:rFonts w:ascii="Calibri" w:hAnsi="Calibri"/>
                <w:b/>
                <w:color w:val="000000"/>
                <w:sz w:val="18"/>
              </w:rPr>
              <w:t>Two overlapping child rosters merged into one</w:t>
            </w:r>
          </w:p>
        </w:tc>
        <w:tc>
          <w:tcPr>
            <w:tcW w:type="dxa" w:w="5443"/>
          </w:tcPr>
          <w:p>
            <w:pPr>
              <w:spacing w:before="20" w:after="20"/>
            </w:pPr>
            <w:r/>
            <w:r>
              <w:rPr>
                <w:rFonts w:ascii="Calibri" w:hAnsi="Calibri"/>
                <w:b w:val="0"/>
                <w:color w:val="000000"/>
                <w:sz w:val="18"/>
              </w:rPr>
              <w:t>A child qualifying on both criteria would have been entered twice.</w:t>
            </w:r>
          </w:p>
        </w:tc>
      </w:tr>
    </w:tbl>
    <w:p>
      <w:pPr>
        <w:pStyle w:val="Heading2"/>
      </w:pPr>
      <w:r>
        <w:t>1.2  Questions added to close gaps against the objectives</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1361"/>
            <w:shd w:val="clear" w:color="auto" w:fill="DEEAF6"/>
          </w:tcPr>
          <w:p>
            <w:pPr>
              <w:spacing w:before="20" w:after="20"/>
              <w:jc w:val="center"/>
            </w:pPr>
            <w:r/>
            <w:r>
              <w:rPr>
                <w:rFonts w:ascii="Calibri" w:hAnsi="Calibri"/>
                <w:b/>
                <w:color w:val="000000"/>
                <w:sz w:val="18"/>
              </w:rPr>
              <w:t>Added</w:t>
            </w:r>
          </w:p>
        </w:tc>
        <w:tc>
          <w:tcPr>
            <w:tcW w:type="dxa" w:w="3628"/>
            <w:shd w:val="clear" w:color="auto" w:fill="DEEAF6"/>
          </w:tcPr>
          <w:p>
            <w:pPr>
              <w:spacing w:before="20" w:after="20"/>
              <w:jc w:val="center"/>
            </w:pPr>
            <w:r/>
            <w:r>
              <w:rPr>
                <w:rFonts w:ascii="Calibri" w:hAnsi="Calibri"/>
                <w:b/>
                <w:color w:val="000000"/>
                <w:sz w:val="18"/>
              </w:rPr>
              <w:t>What it covers</w:t>
            </w:r>
          </w:p>
        </w:tc>
        <w:tc>
          <w:tcPr>
            <w:tcW w:type="dxa" w:w="4195"/>
            <w:shd w:val="clear" w:color="auto" w:fill="DEEAF6"/>
          </w:tcPr>
          <w:p>
            <w:pPr>
              <w:spacing w:before="20" w:after="20"/>
              <w:jc w:val="center"/>
            </w:pPr>
            <w:r/>
            <w:r>
              <w:rPr>
                <w:rFonts w:ascii="Calibri" w:hAnsi="Calibri"/>
                <w:b/>
                <w:color w:val="000000"/>
                <w:sz w:val="18"/>
              </w:rPr>
              <w:t>Why it was needed</w:t>
            </w:r>
          </w:p>
        </w:tc>
      </w:tr>
      <w:tr>
        <w:tc>
          <w:tcPr>
            <w:tcW w:type="dxa" w:w="1361"/>
          </w:tcPr>
          <w:p>
            <w:pPr>
              <w:spacing w:before="20" w:after="20"/>
            </w:pPr>
            <w:r/>
            <w:r>
              <w:rPr>
                <w:rFonts w:ascii="Calibri" w:hAnsi="Calibri"/>
                <w:b/>
                <w:color w:val="000000"/>
                <w:sz w:val="18"/>
              </w:rPr>
              <w:t>B31–B34</w:t>
            </w:r>
          </w:p>
        </w:tc>
        <w:tc>
          <w:tcPr>
            <w:tcW w:type="dxa" w:w="3628"/>
          </w:tcPr>
          <w:p>
            <w:pPr>
              <w:spacing w:before="20" w:after="20"/>
            </w:pPr>
            <w:r/>
            <w:r>
              <w:rPr>
                <w:rFonts w:ascii="Calibri" w:hAnsi="Calibri"/>
                <w:b w:val="0"/>
                <w:color w:val="000000"/>
                <w:sz w:val="18"/>
              </w:rPr>
              <w:t>Where the trader lives, how they travel, journey time, whether a child travels with them</w:t>
            </w:r>
          </w:p>
        </w:tc>
        <w:tc>
          <w:tcPr>
            <w:tcW w:type="dxa" w:w="4195"/>
          </w:tcPr>
          <w:p>
            <w:pPr>
              <w:spacing w:before="20" w:after="20"/>
            </w:pPr>
            <w:r/>
            <w:r>
              <w:rPr>
                <w:rFonts w:ascii="Calibri" w:hAnsi="Calibri"/>
                <w:b w:val="0"/>
                <w:color w:val="000000"/>
                <w:sz w:val="18"/>
              </w:rPr>
              <w:t>The study asked how far a centre could be from the stall but never where the trader starts from.</w:t>
            </w:r>
          </w:p>
        </w:tc>
      </w:tr>
      <w:tr>
        <w:tc>
          <w:tcPr>
            <w:tcW w:type="dxa" w:w="1361"/>
          </w:tcPr>
          <w:p>
            <w:pPr>
              <w:spacing w:before="20" w:after="20"/>
            </w:pPr>
            <w:r/>
            <w:r>
              <w:rPr>
                <w:rFonts w:ascii="Calibri" w:hAnsi="Calibri"/>
                <w:b/>
                <w:color w:val="000000"/>
                <w:sz w:val="18"/>
              </w:rPr>
              <w:t>C14, C15</w:t>
            </w:r>
          </w:p>
        </w:tc>
        <w:tc>
          <w:tcPr>
            <w:tcW w:type="dxa" w:w="3628"/>
          </w:tcPr>
          <w:p>
            <w:pPr>
              <w:spacing w:before="20" w:after="20"/>
            </w:pPr>
            <w:r/>
            <w:r>
              <w:rPr>
                <w:rFonts w:ascii="Calibri" w:hAnsi="Calibri"/>
                <w:b w:val="0"/>
                <w:color w:val="000000"/>
                <w:sz w:val="18"/>
              </w:rPr>
              <w:t>Whether they have ever paid for childcare; hours of care needed per week</w:t>
            </w:r>
          </w:p>
        </w:tc>
        <w:tc>
          <w:tcPr>
            <w:tcW w:type="dxa" w:w="4195"/>
          </w:tcPr>
          <w:p>
            <w:pPr>
              <w:spacing w:before="20" w:after="20"/>
            </w:pPr>
            <w:r/>
            <w:r>
              <w:rPr>
                <w:rFonts w:ascii="Calibri" w:hAnsi="Calibri"/>
                <w:b w:val="0"/>
                <w:color w:val="000000"/>
                <w:sz w:val="18"/>
              </w:rPr>
              <w:t>Past payment is the strongest anchor for what someone will pay. Hours convert a building's capacity into actual places.</w:t>
            </w:r>
          </w:p>
        </w:tc>
      </w:tr>
      <w:tr>
        <w:tc>
          <w:tcPr>
            <w:tcW w:type="dxa" w:w="1361"/>
          </w:tcPr>
          <w:p>
            <w:pPr>
              <w:spacing w:before="20" w:after="20"/>
            </w:pPr>
            <w:r/>
            <w:r>
              <w:rPr>
                <w:rFonts w:ascii="Calibri" w:hAnsi="Calibri"/>
                <w:b/>
                <w:color w:val="000000"/>
                <w:sz w:val="18"/>
              </w:rPr>
              <w:t>E6</w:t>
            </w:r>
          </w:p>
        </w:tc>
        <w:tc>
          <w:tcPr>
            <w:tcW w:type="dxa" w:w="3628"/>
          </w:tcPr>
          <w:p>
            <w:pPr>
              <w:spacing w:before="20" w:after="20"/>
            </w:pPr>
            <w:r/>
            <w:r>
              <w:rPr>
                <w:rFonts w:ascii="Calibri" w:hAnsi="Calibri"/>
                <w:b w:val="0"/>
                <w:color w:val="000000"/>
                <w:sz w:val="18"/>
              </w:rPr>
              <w:t>Seven statements on norms and attitudes</w:t>
            </w:r>
          </w:p>
        </w:tc>
        <w:tc>
          <w:tcPr>
            <w:tcW w:type="dxa" w:w="4195"/>
          </w:tcPr>
          <w:p>
            <w:pPr>
              <w:spacing w:before="20" w:after="20"/>
            </w:pPr>
            <w:r/>
            <w:r>
              <w:rPr>
                <w:rFonts w:ascii="Calibri" w:hAnsi="Calibri"/>
                <w:b w:val="0"/>
                <w:color w:val="000000"/>
                <w:sz w:val="18"/>
              </w:rPr>
              <w:t>The methodology promised to examine norms around childcare and women working. Only the focus groups touched it.</w:t>
            </w:r>
          </w:p>
        </w:tc>
      </w:tr>
      <w:tr>
        <w:tc>
          <w:tcPr>
            <w:tcW w:type="dxa" w:w="1361"/>
          </w:tcPr>
          <w:p>
            <w:pPr>
              <w:spacing w:before="20" w:after="20"/>
            </w:pPr>
            <w:r/>
            <w:r>
              <w:rPr>
                <w:rFonts w:ascii="Calibri" w:hAnsi="Calibri"/>
                <w:b/>
                <w:color w:val="000000"/>
                <w:sz w:val="18"/>
              </w:rPr>
              <w:t>G8–G12</w:t>
            </w:r>
          </w:p>
        </w:tc>
        <w:tc>
          <w:tcPr>
            <w:tcW w:type="dxa" w:w="3628"/>
          </w:tcPr>
          <w:p>
            <w:pPr>
              <w:spacing w:before="20" w:after="20"/>
            </w:pPr>
            <w:r/>
            <w:r>
              <w:rPr>
                <w:rFonts w:ascii="Calibri" w:hAnsi="Calibri"/>
                <w:b w:val="0"/>
                <w:color w:val="000000"/>
                <w:sz w:val="18"/>
              </w:rPr>
              <w:t>Expected change in trading, preferred payment method, and a market-levy option</w:t>
            </w:r>
          </w:p>
        </w:tc>
        <w:tc>
          <w:tcPr>
            <w:tcW w:type="dxa" w:w="4195"/>
          </w:tcPr>
          <w:p>
            <w:pPr>
              <w:spacing w:before="20" w:after="20"/>
            </w:pPr>
            <w:r/>
            <w:r>
              <w:rPr>
                <w:rFonts w:ascii="Calibri" w:hAnsi="Calibri"/>
                <w:b w:val="0"/>
                <w:color w:val="000000"/>
                <w:sz w:val="18"/>
              </w:rPr>
              <w:t>The study measured what childcare costs but never what it returns, and tested only one way of paying for it.</w:t>
            </w:r>
          </w:p>
        </w:tc>
      </w:tr>
      <w:tr>
        <w:tc>
          <w:tcPr>
            <w:tcW w:type="dxa" w:w="1361"/>
          </w:tcPr>
          <w:p>
            <w:pPr>
              <w:spacing w:before="20" w:after="20"/>
            </w:pPr>
            <w:r/>
            <w:r>
              <w:rPr>
                <w:rFonts w:ascii="Calibri" w:hAnsi="Calibri"/>
                <w:b/>
                <w:color w:val="000000"/>
                <w:sz w:val="18"/>
              </w:rPr>
              <w:t>H15–H18</w:t>
            </w:r>
          </w:p>
        </w:tc>
        <w:tc>
          <w:tcPr>
            <w:tcW w:type="dxa" w:w="3628"/>
          </w:tcPr>
          <w:p>
            <w:pPr>
              <w:spacing w:before="20" w:after="20"/>
            </w:pPr>
            <w:r/>
            <w:r>
              <w:rPr>
                <w:rFonts w:ascii="Calibri" w:hAnsi="Calibri"/>
                <w:b w:val="0"/>
                <w:color w:val="000000"/>
                <w:sz w:val="18"/>
              </w:rPr>
              <w:t>Whether inclusion should be mandatory, who pays for accessibility, NCPWD registration, drop-off support</w:t>
            </w:r>
          </w:p>
        </w:tc>
        <w:tc>
          <w:tcPr>
            <w:tcW w:type="dxa" w:w="4195"/>
          </w:tcPr>
          <w:p>
            <w:pPr>
              <w:spacing w:before="20" w:after="20"/>
            </w:pPr>
            <w:r/>
            <w:r>
              <w:rPr>
                <w:rFonts w:ascii="Calibri" w:hAnsi="Calibri"/>
                <w:b w:val="0"/>
                <w:color w:val="000000"/>
                <w:sz w:val="18"/>
              </w:rPr>
              <w:t>The objective asks how models should be structured for inclusion. Officials were asked; traders were not.</w:t>
            </w:r>
          </w:p>
        </w:tc>
      </w:tr>
      <w:tr>
        <w:tc>
          <w:tcPr>
            <w:tcW w:type="dxa" w:w="1361"/>
          </w:tcPr>
          <w:p>
            <w:pPr>
              <w:spacing w:before="20" w:after="20"/>
            </w:pPr>
            <w:r/>
            <w:r>
              <w:rPr>
                <w:rFonts w:ascii="Calibri" w:hAnsi="Calibri"/>
                <w:b/>
                <w:color w:val="000000"/>
                <w:sz w:val="18"/>
              </w:rPr>
              <w:t>Section J</w:t>
            </w:r>
          </w:p>
        </w:tc>
        <w:tc>
          <w:tcPr>
            <w:tcW w:type="dxa" w:w="3628"/>
          </w:tcPr>
          <w:p>
            <w:pPr>
              <w:spacing w:before="20" w:after="20"/>
            </w:pPr>
            <w:r/>
            <w:r>
              <w:rPr>
                <w:rFonts w:ascii="Calibri" w:hAnsi="Calibri"/>
                <w:b w:val="0"/>
                <w:color w:val="000000"/>
                <w:sz w:val="18"/>
              </w:rPr>
              <w:t>WHO-5 wellbeing, five items</w:t>
            </w:r>
          </w:p>
        </w:tc>
        <w:tc>
          <w:tcPr>
            <w:tcW w:type="dxa" w:w="4195"/>
          </w:tcPr>
          <w:p>
            <w:pPr>
              <w:spacing w:before="20" w:after="20"/>
            </w:pPr>
            <w:r/>
            <w:r>
              <w:rPr>
                <w:rFonts w:ascii="Calibri" w:hAnsi="Calibri"/>
                <w:b w:val="0"/>
                <w:color w:val="000000"/>
                <w:sz w:val="18"/>
              </w:rPr>
              <w:t>The only benefit measured was trading days recovered. Wellbeing is part of the return.</w:t>
            </w:r>
          </w:p>
        </w:tc>
      </w:tr>
      <w:tr>
        <w:tc>
          <w:tcPr>
            <w:tcW w:type="dxa" w:w="1361"/>
          </w:tcPr>
          <w:p>
            <w:pPr>
              <w:spacing w:before="20" w:after="20"/>
            </w:pPr>
            <w:r/>
            <w:r>
              <w:rPr>
                <w:rFonts w:ascii="Calibri" w:hAnsi="Calibri"/>
                <w:b/>
                <w:color w:val="000000"/>
                <w:sz w:val="18"/>
              </w:rPr>
              <w:t>Section L</w:t>
            </w:r>
          </w:p>
        </w:tc>
        <w:tc>
          <w:tcPr>
            <w:tcW w:type="dxa" w:w="3628"/>
          </w:tcPr>
          <w:p>
            <w:pPr>
              <w:spacing w:before="20" w:after="20"/>
            </w:pPr>
            <w:r/>
            <w:r>
              <w:rPr>
                <w:rFonts w:ascii="Calibri" w:hAnsi="Calibri"/>
                <w:b w:val="0"/>
                <w:color w:val="000000"/>
                <w:sz w:val="18"/>
              </w:rPr>
              <w:t>Costing template</w:t>
            </w:r>
          </w:p>
        </w:tc>
        <w:tc>
          <w:tcPr>
            <w:tcW w:type="dxa" w:w="4195"/>
          </w:tcPr>
          <w:p>
            <w:pPr>
              <w:spacing w:before="20" w:after="20"/>
            </w:pPr>
            <w:r/>
            <w:r>
              <w:rPr>
                <w:rFonts w:ascii="Calibri" w:hAnsi="Calibri"/>
                <w:b w:val="0"/>
                <w:color w:val="000000"/>
                <w:sz w:val="18"/>
              </w:rPr>
              <w:t>Nothing in the study collected what any of the four models costs to run.</w:t>
            </w:r>
          </w:p>
        </w:tc>
      </w:tr>
    </w:tbl>
    <w:p>
      <w:pPr>
        <w:pStyle w:val="Heading2"/>
      </w:pPr>
      <w:r>
        <w:t>1.3  The choice cards were rebuilt</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608"/>
            <w:shd w:val="clear" w:color="auto" w:fill="DEEAF6"/>
          </w:tcPr>
          <w:p>
            <w:pPr>
              <w:spacing w:before="20" w:after="20"/>
              <w:jc w:val="center"/>
            </w:pPr>
            <w:r/>
            <w:r>
              <w:rPr>
                <w:rFonts w:ascii="Calibri" w:hAnsi="Calibri"/>
                <w:b/>
                <w:color w:val="000000"/>
                <w:sz w:val="18"/>
              </w:rPr>
              <w:t>Old</w:t>
            </w:r>
          </w:p>
        </w:tc>
        <w:tc>
          <w:tcPr>
            <w:tcW w:type="dxa" w:w="3061"/>
            <w:shd w:val="clear" w:color="auto" w:fill="DEEAF6"/>
          </w:tcPr>
          <w:p>
            <w:pPr>
              <w:spacing w:before="20" w:after="20"/>
              <w:jc w:val="center"/>
            </w:pPr>
            <w:r/>
            <w:r>
              <w:rPr>
                <w:rFonts w:ascii="Calibri" w:hAnsi="Calibri"/>
                <w:b/>
                <w:color w:val="000000"/>
                <w:sz w:val="18"/>
              </w:rPr>
              <w:t>New</w:t>
            </w:r>
          </w:p>
        </w:tc>
        <w:tc>
          <w:tcPr>
            <w:tcW w:type="dxa" w:w="3515"/>
            <w:shd w:val="clear" w:color="auto" w:fill="DEEAF6"/>
          </w:tcPr>
          <w:p>
            <w:pPr>
              <w:spacing w:before="20" w:after="20"/>
              <w:jc w:val="center"/>
            </w:pPr>
            <w:r/>
            <w:r>
              <w:rPr>
                <w:rFonts w:ascii="Calibri" w:hAnsi="Calibri"/>
                <w:b/>
                <w:color w:val="000000"/>
                <w:sz w:val="18"/>
              </w:rPr>
              <w:t>Why</w:t>
            </w:r>
          </w:p>
        </w:tc>
      </w:tr>
      <w:tr>
        <w:tc>
          <w:tcPr>
            <w:tcW w:type="dxa" w:w="2608"/>
          </w:tcPr>
          <w:p>
            <w:pPr>
              <w:spacing w:before="20" w:after="20"/>
            </w:pPr>
            <w:r/>
            <w:r>
              <w:rPr>
                <w:rFonts w:ascii="Calibri" w:hAnsi="Calibri"/>
                <w:b/>
                <w:color w:val="000000"/>
                <w:sz w:val="18"/>
              </w:rPr>
              <w:t>12 cards, 2 blocks</w:t>
            </w:r>
          </w:p>
        </w:tc>
        <w:tc>
          <w:tcPr>
            <w:tcW w:type="dxa" w:w="3061"/>
          </w:tcPr>
          <w:p>
            <w:pPr>
              <w:spacing w:before="20" w:after="20"/>
            </w:pPr>
            <w:r/>
            <w:r>
              <w:rPr>
                <w:rFonts w:ascii="Calibri" w:hAnsi="Calibri"/>
                <w:b w:val="0"/>
                <w:color w:val="000000"/>
                <w:sz w:val="18"/>
              </w:rPr>
              <w:t>18 cards, 3 blocks, still 6 per trader</w:t>
            </w:r>
          </w:p>
        </w:tc>
        <w:tc>
          <w:tcPr>
            <w:tcW w:type="dxa" w:w="3515"/>
          </w:tcPr>
          <w:p>
            <w:pPr>
              <w:spacing w:before="20" w:after="20"/>
            </w:pPr>
            <w:r/>
            <w:r>
              <w:rPr>
                <w:rFonts w:ascii="Calibri" w:hAnsi="Calibri"/>
                <w:b w:val="0"/>
                <w:color w:val="000000"/>
                <w:sz w:val="18"/>
              </w:rPr>
              <w:t>The software rejects a design with fewer cards than parameters. Respondent burden is unchanged.</w:t>
            </w:r>
          </w:p>
        </w:tc>
      </w:tr>
      <w:tr>
        <w:tc>
          <w:tcPr>
            <w:tcW w:type="dxa" w:w="2608"/>
          </w:tcPr>
          <w:p>
            <w:pPr>
              <w:spacing w:before="20" w:after="20"/>
            </w:pPr>
            <w:r/>
            <w:r>
              <w:rPr>
                <w:rFonts w:ascii="Calibri" w:hAnsi="Calibri"/>
                <w:b/>
                <w:color w:val="000000"/>
                <w:sz w:val="18"/>
              </w:rPr>
              <w:t>6 of 12 cards differed on all 7 features</w:t>
            </w:r>
          </w:p>
        </w:tc>
        <w:tc>
          <w:tcPr>
            <w:tcW w:type="dxa" w:w="3061"/>
          </w:tcPr>
          <w:p>
            <w:pPr>
              <w:spacing w:before="20" w:after="20"/>
            </w:pPr>
            <w:r/>
            <w:r>
              <w:rPr>
                <w:rFonts w:ascii="Calibri" w:hAnsi="Calibri"/>
                <w:b w:val="0"/>
                <w:color w:val="000000"/>
                <w:sz w:val="18"/>
              </w:rPr>
              <w:t>All 18 differ on all 7</w:t>
            </w:r>
          </w:p>
        </w:tc>
        <w:tc>
          <w:tcPr>
            <w:tcW w:type="dxa" w:w="3515"/>
          </w:tcPr>
          <w:p>
            <w:pPr>
              <w:spacing w:before="20" w:after="20"/>
            </w:pPr>
            <w:r/>
            <w:r>
              <w:rPr>
                <w:rFonts w:ascii="Calibri" w:hAnsi="Calibri"/>
                <w:b w:val="0"/>
                <w:color w:val="000000"/>
                <w:sz w:val="18"/>
              </w:rPr>
              <w:t>One old card differed on only four features; another had the same price on both sides.</w:t>
            </w:r>
          </w:p>
        </w:tc>
      </w:tr>
      <w:tr>
        <w:tc>
          <w:tcPr>
            <w:tcW w:type="dxa" w:w="2608"/>
          </w:tcPr>
          <w:p>
            <w:pPr>
              <w:spacing w:before="20" w:after="20"/>
            </w:pPr>
            <w:r/>
            <w:r>
              <w:rPr>
                <w:rFonts w:ascii="Calibri" w:hAnsi="Calibri"/>
                <w:b/>
                <w:color w:val="000000"/>
                <w:sz w:val="18"/>
              </w:rPr>
              <w:t>Trader-committee option on 2 of 12 cards</w:t>
            </w:r>
          </w:p>
        </w:tc>
        <w:tc>
          <w:tcPr>
            <w:tcW w:type="dxa" w:w="3061"/>
          </w:tcPr>
          <w:p>
            <w:pPr>
              <w:spacing w:before="20" w:after="20"/>
            </w:pPr>
            <w:r/>
            <w:r>
              <w:rPr>
                <w:rFonts w:ascii="Calibri" w:hAnsi="Calibri"/>
                <w:b w:val="0"/>
                <w:color w:val="000000"/>
                <w:sz w:val="18"/>
              </w:rPr>
              <w:t>3 times in every block</w:t>
            </w:r>
          </w:p>
        </w:tc>
        <w:tc>
          <w:tcPr>
            <w:tcW w:type="dxa" w:w="3515"/>
          </w:tcPr>
          <w:p>
            <w:pPr>
              <w:spacing w:before="20" w:after="20"/>
            </w:pPr>
            <w:r/>
            <w:r>
              <w:rPr>
                <w:rFonts w:ascii="Calibri" w:hAnsi="Calibri"/>
                <w:b w:val="0"/>
                <w:color w:val="000000"/>
                <w:sz w:val="18"/>
              </w:rPr>
              <w:t>Two appearances cannot support an estimate, and comparing the four models is a main purpose of the study.</w:t>
            </w:r>
          </w:p>
        </w:tc>
      </w:tr>
      <w:tr>
        <w:tc>
          <w:tcPr>
            <w:tcW w:type="dxa" w:w="2608"/>
          </w:tcPr>
          <w:p>
            <w:pPr>
              <w:spacing w:before="20" w:after="20"/>
            </w:pPr>
            <w:r/>
            <w:r>
              <w:rPr>
                <w:rFonts w:ascii="Calibri" w:hAnsi="Calibri"/>
                <w:b/>
                <w:color w:val="000000"/>
                <w:sz w:val="18"/>
              </w:rPr>
              <w:t>No check on one-sided cards</w:t>
            </w:r>
          </w:p>
        </w:tc>
        <w:tc>
          <w:tcPr>
            <w:tcW w:type="dxa" w:w="3061"/>
          </w:tcPr>
          <w:p>
            <w:pPr>
              <w:spacing w:before="20" w:after="20"/>
            </w:pPr>
            <w:r/>
            <w:r>
              <w:rPr>
                <w:rFonts w:ascii="Calibri" w:hAnsi="Calibri"/>
                <w:b w:val="0"/>
                <w:color w:val="000000"/>
                <w:sz w:val="18"/>
              </w:rPr>
              <w:t>No card offers an option better in every way</w:t>
            </w:r>
          </w:p>
        </w:tc>
        <w:tc>
          <w:tcPr>
            <w:tcW w:type="dxa" w:w="3515"/>
          </w:tcPr>
          <w:p>
            <w:pPr>
              <w:spacing w:before="20" w:after="20"/>
            </w:pPr>
            <w:r/>
            <w:r>
              <w:rPr>
                <w:rFonts w:ascii="Calibri" w:hAnsi="Calibri"/>
                <w:b w:val="0"/>
                <w:color w:val="000000"/>
                <w:sz w:val="18"/>
              </w:rPr>
              <w:t>A card with no trade-off tells you nothing.</w:t>
            </w:r>
          </w:p>
        </w:tc>
      </w:tr>
    </w:tbl>
    <w:p>
      <w:r>
        <w:br w:type="page"/>
      </w:r>
    </w:p>
    <w:p>
      <w:pPr>
        <w:pStyle w:val="Heading1"/>
        <w:pBdr>
          <w:bottom w:val="single" w:sz="6" w:space="4" w:color="1F3864"/>
        </w:pBdr>
      </w:pPr>
      <w:r>
        <w:t>Part 2 — Changes made after the pilot</w:t>
      </w:r>
    </w:p>
    <w:p>
      <w:pPr>
        <w:spacing w:before="0" w:after="120"/>
      </w:pPr>
      <w:r>
        <w:rPr>
          <w:rFonts w:ascii="Calibri" w:hAnsi="Calibri"/>
          <w:b w:val="0"/>
          <w:i w:val="0"/>
          <w:color w:val="000000"/>
          <w:sz w:val="22"/>
        </w:rPr>
        <w:t>These come from re-analysing the 23 pilot interviews. Each one is tied to a specific result, not to preference.</w:t>
      </w:r>
    </w:p>
    <w:p>
      <w:pPr>
        <w:pStyle w:val="Heading2"/>
      </w:pPr>
      <w:r>
        <w:t>2.1  The choice experiment — four changes (Section F0e)</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454"/>
            <w:shd w:val="clear" w:color="auto" w:fill="DEEAF6"/>
          </w:tcPr>
          <w:p>
            <w:pPr>
              <w:spacing w:before="20" w:after="20"/>
              <w:jc w:val="center"/>
            </w:pPr>
            <w:r/>
            <w:r>
              <w:rPr>
                <w:rFonts w:ascii="Calibri" w:hAnsi="Calibri"/>
                <w:b/>
                <w:color w:val="000000"/>
                <w:sz w:val="18"/>
              </w:rPr>
              <w:t>#</w:t>
            </w:r>
          </w:p>
        </w:tc>
        <w:tc>
          <w:tcPr>
            <w:tcW w:type="dxa" w:w="2381"/>
            <w:shd w:val="clear" w:color="auto" w:fill="DEEAF6"/>
          </w:tcPr>
          <w:p>
            <w:pPr>
              <w:spacing w:before="20" w:after="20"/>
              <w:jc w:val="center"/>
            </w:pPr>
            <w:r/>
            <w:r>
              <w:rPr>
                <w:rFonts w:ascii="Calibri" w:hAnsi="Calibri"/>
                <w:b/>
                <w:color w:val="000000"/>
                <w:sz w:val="18"/>
              </w:rPr>
              <w:t>Change</w:t>
            </w:r>
          </w:p>
        </w:tc>
        <w:tc>
          <w:tcPr>
            <w:tcW w:type="dxa" w:w="3175"/>
            <w:shd w:val="clear" w:color="auto" w:fill="DEEAF6"/>
          </w:tcPr>
          <w:p>
            <w:pPr>
              <w:spacing w:before="20" w:after="20"/>
              <w:jc w:val="center"/>
            </w:pPr>
            <w:r/>
            <w:r>
              <w:rPr>
                <w:rFonts w:ascii="Calibri" w:hAnsi="Calibri"/>
                <w:b/>
                <w:color w:val="000000"/>
                <w:sz w:val="18"/>
              </w:rPr>
              <w:t>What the pilot showed</w:t>
            </w:r>
          </w:p>
        </w:tc>
        <w:tc>
          <w:tcPr>
            <w:tcW w:type="dxa" w:w="3175"/>
            <w:shd w:val="clear" w:color="auto" w:fill="DEEAF6"/>
          </w:tcPr>
          <w:p>
            <w:pPr>
              <w:spacing w:before="20" w:after="20"/>
              <w:jc w:val="center"/>
            </w:pPr>
            <w:r/>
            <w:r>
              <w:rPr>
                <w:rFonts w:ascii="Calibri" w:hAnsi="Calibri"/>
                <w:b/>
                <w:color w:val="000000"/>
                <w:sz w:val="18"/>
              </w:rPr>
              <w:t>What it prevents</w:t>
            </w:r>
          </w:p>
        </w:tc>
      </w:tr>
      <w:tr>
        <w:tc>
          <w:tcPr>
            <w:tcW w:type="dxa" w:w="454"/>
          </w:tcPr>
          <w:p>
            <w:pPr>
              <w:spacing w:before="20" w:after="20"/>
            </w:pPr>
            <w:r/>
            <w:r>
              <w:rPr>
                <w:rFonts w:ascii="Calibri" w:hAnsi="Calibri"/>
                <w:b/>
                <w:color w:val="000000"/>
                <w:sz w:val="18"/>
              </w:rPr>
              <w:t>1</w:t>
            </w:r>
          </w:p>
        </w:tc>
        <w:tc>
          <w:tcPr>
            <w:tcW w:type="dxa" w:w="2381"/>
          </w:tcPr>
          <w:p>
            <w:pPr>
              <w:spacing w:before="20" w:after="20"/>
            </w:pPr>
            <w:r/>
            <w:r>
              <w:rPr>
                <w:rFonts w:ascii="Calibri" w:hAnsi="Calibri"/>
                <w:b w:val="0"/>
                <w:color w:val="000000"/>
                <w:sz w:val="18"/>
              </w:rPr>
              <w:t>The tablet shuffles which option appears first, on every card</w:t>
            </w:r>
          </w:p>
        </w:tc>
        <w:tc>
          <w:tcPr>
            <w:tcW w:type="dxa" w:w="3175"/>
          </w:tcPr>
          <w:p>
            <w:pPr>
              <w:spacing w:before="20" w:after="20"/>
            </w:pPr>
            <w:r/>
            <w:r>
              <w:rPr>
                <w:rFonts w:ascii="Calibri" w:hAnsi="Calibri"/>
                <w:b w:val="0"/>
                <w:color w:val="000000"/>
                <w:sz w:val="18"/>
              </w:rPr>
              <w:t>On 9 of the 12 cards used, the cheaper option was on the left. Traders chose the left option 59% of the time.</w:t>
            </w:r>
          </w:p>
        </w:tc>
        <w:tc>
          <w:tcPr>
            <w:tcW w:type="dxa" w:w="3175"/>
          </w:tcPr>
          <w:p>
            <w:pPr>
              <w:spacing w:before="20" w:after="20"/>
            </w:pPr>
            <w:r/>
            <w:r>
              <w:rPr>
                <w:rFonts w:ascii="Calibri" w:hAnsi="Calibri"/>
                <w:b w:val="0"/>
                <w:color w:val="000000"/>
                <w:sz w:val="18"/>
              </w:rPr>
              <w:t>Price and position being the same thing, which is why no price finding can be reported from the pilot</w:t>
            </w:r>
          </w:p>
        </w:tc>
      </w:tr>
      <w:tr>
        <w:tc>
          <w:tcPr>
            <w:tcW w:type="dxa" w:w="454"/>
          </w:tcPr>
          <w:p>
            <w:pPr>
              <w:spacing w:before="20" w:after="20"/>
            </w:pPr>
            <w:r/>
            <w:r>
              <w:rPr>
                <w:rFonts w:ascii="Calibri" w:hAnsi="Calibri"/>
                <w:b/>
                <w:color w:val="000000"/>
                <w:sz w:val="18"/>
              </w:rPr>
              <w:t>2</w:t>
            </w:r>
          </w:p>
        </w:tc>
        <w:tc>
          <w:tcPr>
            <w:tcW w:type="dxa" w:w="2381"/>
          </w:tcPr>
          <w:p>
            <w:pPr>
              <w:spacing w:before="20" w:after="20"/>
            </w:pPr>
            <w:r/>
            <w:r>
              <w:rPr>
                <w:rFonts w:ascii="Calibri" w:hAnsi="Calibri"/>
                <w:b w:val="0"/>
                <w:color w:val="000000"/>
                <w:sz w:val="18"/>
              </w:rPr>
              <w:t>The form records which way round it showed them</w:t>
            </w:r>
          </w:p>
        </w:tc>
        <w:tc>
          <w:tcPr>
            <w:tcW w:type="dxa" w:w="3175"/>
          </w:tcPr>
          <w:p>
            <w:pPr>
              <w:spacing w:before="20" w:after="20"/>
            </w:pPr>
            <w:r/>
            <w:r>
              <w:rPr>
                <w:rFonts w:ascii="Calibri" w:hAnsi="Calibri"/>
                <w:b w:val="0"/>
                <w:color w:val="000000"/>
                <w:sz w:val="18"/>
              </w:rPr>
              <w:t>Nothing recorded the order, so the effect could be seen but not corrected</w:t>
            </w:r>
          </w:p>
        </w:tc>
        <w:tc>
          <w:tcPr>
            <w:tcW w:type="dxa" w:w="3175"/>
          </w:tcPr>
          <w:p>
            <w:pPr>
              <w:spacing w:before="20" w:after="20"/>
            </w:pPr>
            <w:r/>
            <w:r>
              <w:rPr>
                <w:rFonts w:ascii="Calibri" w:hAnsi="Calibri"/>
                <w:b w:val="0"/>
                <w:color w:val="000000"/>
                <w:sz w:val="18"/>
              </w:rPr>
              <w:t>Being stuck again. Even if something else goes wrong, it can now be measured and adjusted for</w:t>
            </w:r>
          </w:p>
        </w:tc>
      </w:tr>
      <w:tr>
        <w:tc>
          <w:tcPr>
            <w:tcW w:type="dxa" w:w="454"/>
          </w:tcPr>
          <w:p>
            <w:pPr>
              <w:spacing w:before="20" w:after="20"/>
            </w:pPr>
            <w:r/>
            <w:r>
              <w:rPr>
                <w:rFonts w:ascii="Calibri" w:hAnsi="Calibri"/>
                <w:b/>
                <w:color w:val="000000"/>
                <w:sz w:val="18"/>
              </w:rPr>
              <w:t>3</w:t>
            </w:r>
          </w:p>
        </w:tc>
        <w:tc>
          <w:tcPr>
            <w:tcW w:type="dxa" w:w="2381"/>
          </w:tcPr>
          <w:p>
            <w:pPr>
              <w:spacing w:before="20" w:after="20"/>
            </w:pPr>
            <w:r/>
            <w:r>
              <w:rPr>
                <w:rFonts w:ascii="Calibri" w:hAnsi="Calibri"/>
                <w:b w:val="0"/>
                <w:color w:val="000000"/>
                <w:sz w:val="18"/>
              </w:rPr>
              <w:t>Block stored as 1, 2 or 3 rather than as text</w:t>
            </w:r>
          </w:p>
        </w:tc>
        <w:tc>
          <w:tcPr>
            <w:tcW w:type="dxa" w:w="3175"/>
          </w:tcPr>
          <w:p>
            <w:pPr>
              <w:spacing w:before="20" w:after="20"/>
            </w:pPr>
            <w:r/>
            <w:r>
              <w:rPr>
                <w:rFonts w:ascii="Calibri" w:hAnsi="Calibri"/>
                <w:b w:val="0"/>
                <w:color w:val="000000"/>
                <w:sz w:val="18"/>
              </w:rPr>
              <w:t>The pilot stored "Block 1 (Odd-numbered IDs)"</w:t>
            </w:r>
          </w:p>
        </w:tc>
        <w:tc>
          <w:tcPr>
            <w:tcW w:type="dxa" w:w="3175"/>
          </w:tcPr>
          <w:p>
            <w:pPr>
              <w:spacing w:before="20" w:after="20"/>
            </w:pPr>
            <w:r/>
            <w:r>
              <w:rPr>
                <w:rFonts w:ascii="Calibri" w:hAnsi="Calibri"/>
                <w:b w:val="0"/>
                <w:color w:val="000000"/>
                <w:sz w:val="18"/>
              </w:rPr>
              <w:t>An analysis that cannot tell which cards a trader saw</w:t>
            </w:r>
          </w:p>
        </w:tc>
      </w:tr>
      <w:tr>
        <w:tc>
          <w:tcPr>
            <w:tcW w:type="dxa" w:w="454"/>
          </w:tcPr>
          <w:p>
            <w:pPr>
              <w:spacing w:before="20" w:after="20"/>
            </w:pPr>
            <w:r/>
            <w:r>
              <w:rPr>
                <w:rFonts w:ascii="Calibri" w:hAnsi="Calibri"/>
                <w:b/>
                <w:color w:val="000000"/>
                <w:sz w:val="18"/>
              </w:rPr>
              <w:t>4</w:t>
            </w:r>
          </w:p>
        </w:tc>
        <w:tc>
          <w:tcPr>
            <w:tcW w:type="dxa" w:w="2381"/>
          </w:tcPr>
          <w:p>
            <w:pPr>
              <w:spacing w:before="20" w:after="20"/>
            </w:pPr>
            <w:r/>
            <w:r>
              <w:rPr>
                <w:rFonts w:ascii="Calibri" w:hAnsi="Calibri"/>
                <w:b w:val="0"/>
                <w:color w:val="000000"/>
                <w:sz w:val="18"/>
              </w:rPr>
              <w:t>Straight-lining flagged while the enumerator is still present, recorded at F11</w:t>
            </w:r>
          </w:p>
        </w:tc>
        <w:tc>
          <w:tcPr>
            <w:tcW w:type="dxa" w:w="3175"/>
          </w:tcPr>
          <w:p>
            <w:pPr>
              <w:spacing w:before="20" w:after="20"/>
            </w:pPr>
            <w:r/>
            <w:r>
              <w:rPr>
                <w:rFonts w:ascii="Calibri" w:hAnsi="Calibri"/>
                <w:b w:val="0"/>
                <w:color w:val="000000"/>
                <w:sz w:val="18"/>
              </w:rPr>
              <w:t>4 of 23 traders chose the same side on all six cards. Removing those four made the position effect disappear.</w:t>
            </w:r>
          </w:p>
        </w:tc>
        <w:tc>
          <w:tcPr>
            <w:tcW w:type="dxa" w:w="3175"/>
          </w:tcPr>
          <w:p>
            <w:pPr>
              <w:spacing w:before="20" w:after="20"/>
            </w:pPr>
            <w:r/>
            <w:r>
              <w:rPr>
                <w:rFonts w:ascii="Calibri" w:hAnsi="Calibri"/>
                <w:b w:val="0"/>
                <w:color w:val="000000"/>
                <w:sz w:val="18"/>
              </w:rPr>
              <w:t>Finding out months later, when nothing can be done</w:t>
            </w:r>
          </w:p>
        </w:tc>
      </w:tr>
    </w:tbl>
    <w:p>
      <w:pPr>
        <w:pStyle w:val="Heading2"/>
      </w:pPr>
      <w:r>
        <w:t>2.2  Scales that turned out not to be scales</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041"/>
            <w:shd w:val="clear" w:color="auto" w:fill="DEEAF6"/>
          </w:tcPr>
          <w:p>
            <w:pPr>
              <w:spacing w:before="20" w:after="20"/>
              <w:jc w:val="center"/>
            </w:pPr>
            <w:r/>
            <w:r>
              <w:rPr>
                <w:rFonts w:ascii="Calibri" w:hAnsi="Calibri"/>
                <w:b/>
                <w:color w:val="000000"/>
                <w:sz w:val="18"/>
              </w:rPr>
              <w:t>Item</w:t>
            </w:r>
          </w:p>
        </w:tc>
        <w:tc>
          <w:tcPr>
            <w:tcW w:type="dxa" w:w="3288"/>
            <w:shd w:val="clear" w:color="auto" w:fill="DEEAF6"/>
          </w:tcPr>
          <w:p>
            <w:pPr>
              <w:spacing w:before="20" w:after="20"/>
              <w:jc w:val="center"/>
            </w:pPr>
            <w:r/>
            <w:r>
              <w:rPr>
                <w:rFonts w:ascii="Calibri" w:hAnsi="Calibri"/>
                <w:b/>
                <w:color w:val="000000"/>
                <w:sz w:val="18"/>
              </w:rPr>
              <w:t>What the pilot showed</w:t>
            </w:r>
          </w:p>
        </w:tc>
        <w:tc>
          <w:tcPr>
            <w:tcW w:type="dxa" w:w="3855"/>
            <w:shd w:val="clear" w:color="auto" w:fill="DEEAF6"/>
          </w:tcPr>
          <w:p>
            <w:pPr>
              <w:spacing w:before="20" w:after="20"/>
              <w:jc w:val="center"/>
            </w:pPr>
            <w:r/>
            <w:r>
              <w:rPr>
                <w:rFonts w:ascii="Calibri" w:hAnsi="Calibri"/>
                <w:b/>
                <w:color w:val="000000"/>
                <w:sz w:val="18"/>
              </w:rPr>
              <w:t>What changed</w:t>
            </w:r>
          </w:p>
        </w:tc>
      </w:tr>
      <w:tr>
        <w:tc>
          <w:tcPr>
            <w:tcW w:type="dxa" w:w="2041"/>
          </w:tcPr>
          <w:p>
            <w:pPr>
              <w:spacing w:before="20" w:after="20"/>
            </w:pPr>
            <w:r/>
            <w:r>
              <w:rPr>
                <w:rFonts w:ascii="Calibri" w:hAnsi="Calibri"/>
                <w:b/>
                <w:color w:val="000000"/>
                <w:sz w:val="18"/>
              </w:rPr>
              <w:t>E1h — locked and secure entry</w:t>
            </w:r>
          </w:p>
        </w:tc>
        <w:tc>
          <w:tcPr>
            <w:tcW w:type="dxa" w:w="3288"/>
          </w:tcPr>
          <w:p>
            <w:pPr>
              <w:spacing w:before="20" w:after="20"/>
            </w:pPr>
            <w:r/>
            <w:r>
              <w:rPr>
                <w:rFonts w:ascii="Calibri" w:hAnsi="Calibri"/>
                <w:b w:val="0"/>
                <w:color w:val="000000"/>
                <w:sz w:val="18"/>
              </w:rPr>
              <w:t>Every single trader gave the same answer</w:t>
            </w:r>
          </w:p>
        </w:tc>
        <w:tc>
          <w:tcPr>
            <w:tcW w:type="dxa" w:w="3855"/>
          </w:tcPr>
          <w:p>
            <w:pPr>
              <w:spacing w:before="20" w:after="20"/>
            </w:pPr>
            <w:r/>
            <w:r>
              <w:rPr>
                <w:rFonts w:ascii="Calibri" w:hAnsi="Calibri"/>
                <w:b w:val="0"/>
                <w:color w:val="000000"/>
                <w:sz w:val="18"/>
              </w:rPr>
              <w:t>Kept as a standalone question, excluded from any combined score. A question everyone answers identically cannot distinguish between people.</w:t>
            </w:r>
          </w:p>
        </w:tc>
      </w:tr>
      <w:tr>
        <w:tc>
          <w:tcPr>
            <w:tcW w:type="dxa" w:w="2041"/>
          </w:tcPr>
          <w:p>
            <w:pPr>
              <w:spacing w:before="20" w:after="20"/>
            </w:pPr>
            <w:r/>
            <w:r>
              <w:rPr>
                <w:rFonts w:ascii="Calibri" w:hAnsi="Calibri"/>
                <w:b/>
                <w:color w:val="000000"/>
                <w:sz w:val="18"/>
              </w:rPr>
              <w:t>E1a–E1l as a set</w:t>
            </w:r>
          </w:p>
        </w:tc>
        <w:tc>
          <w:tcPr>
            <w:tcW w:type="dxa" w:w="3288"/>
          </w:tcPr>
          <w:p>
            <w:pPr>
              <w:spacing w:before="20" w:after="20"/>
            </w:pPr>
            <w:r/>
            <w:r>
              <w:rPr>
                <w:rFonts w:ascii="Calibri" w:hAnsi="Calibri"/>
                <w:b w:val="0"/>
                <w:color w:val="000000"/>
                <w:sz w:val="18"/>
              </w:rPr>
              <w:t>Reliability 0.48; three quarters of answers sat at the top of the scale</w:t>
            </w:r>
          </w:p>
        </w:tc>
        <w:tc>
          <w:tcPr>
            <w:tcW w:type="dxa" w:w="3855"/>
          </w:tcPr>
          <w:p>
            <w:pPr>
              <w:spacing w:before="20" w:after="20"/>
            </w:pPr>
            <w:r/>
            <w:r>
              <w:rPr>
                <w:rFonts w:ascii="Calibri" w:hAnsi="Calibri"/>
                <w:b w:val="0"/>
                <w:color w:val="000000"/>
                <w:sz w:val="18"/>
              </w:rPr>
              <w:t>Reported item by item, not summed. Traders say everything is important, so the choice cards do this job better.</w:t>
            </w:r>
          </w:p>
        </w:tc>
      </w:tr>
      <w:tr>
        <w:tc>
          <w:tcPr>
            <w:tcW w:type="dxa" w:w="2041"/>
          </w:tcPr>
          <w:p>
            <w:pPr>
              <w:spacing w:before="20" w:after="20"/>
            </w:pPr>
            <w:r/>
            <w:r>
              <w:rPr>
                <w:rFonts w:ascii="Calibri" w:hAnsi="Calibri"/>
                <w:b/>
                <w:color w:val="000000"/>
                <w:sz w:val="18"/>
              </w:rPr>
              <w:t>E6a–E6g as a set</w:t>
            </w:r>
          </w:p>
        </w:tc>
        <w:tc>
          <w:tcPr>
            <w:tcW w:type="dxa" w:w="3288"/>
          </w:tcPr>
          <w:p>
            <w:pPr>
              <w:spacing w:before="20" w:after="20"/>
            </w:pPr>
            <w:r/>
            <w:r>
              <w:rPr>
                <w:rFonts w:ascii="Calibri" w:hAnsi="Calibri"/>
                <w:b w:val="0"/>
                <w:color w:val="000000"/>
                <w:sz w:val="18"/>
              </w:rPr>
              <w:t>Reliability looks acceptable at 0.60 but collapses to 0.05 once the two reverse-worded items are corrected</w:t>
            </w:r>
          </w:p>
        </w:tc>
        <w:tc>
          <w:tcPr>
            <w:tcW w:type="dxa" w:w="3855"/>
          </w:tcPr>
          <w:p>
            <w:pPr>
              <w:spacing w:before="20" w:after="20"/>
            </w:pPr>
            <w:r/>
            <w:r>
              <w:rPr>
                <w:rFonts w:ascii="Calibri" w:hAnsi="Calibri"/>
                <w:b w:val="0"/>
                <w:color w:val="000000"/>
                <w:sz w:val="18"/>
              </w:rPr>
              <w:t>Reported item by item. E6c and E6f behaved well and are kept as individual indicators.</w:t>
            </w:r>
          </w:p>
        </w:tc>
      </w:tr>
    </w:tbl>
    <w:p>
      <w:pPr>
        <w:pStyle w:val="Heading2"/>
      </w:pPr>
      <w:r>
        <w:t>2.3  Fixes applied in this final version</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1928"/>
            <w:shd w:val="clear" w:color="auto" w:fill="DEEAF6"/>
          </w:tcPr>
          <w:p>
            <w:pPr>
              <w:spacing w:before="20" w:after="20"/>
              <w:jc w:val="center"/>
            </w:pPr>
            <w:r/>
            <w:r>
              <w:rPr>
                <w:rFonts w:ascii="Calibri" w:hAnsi="Calibri"/>
                <w:b/>
                <w:color w:val="000000"/>
                <w:sz w:val="18"/>
              </w:rPr>
              <w:t>Fix</w:t>
            </w:r>
          </w:p>
        </w:tc>
        <w:tc>
          <w:tcPr>
            <w:tcW w:type="dxa" w:w="3628"/>
            <w:shd w:val="clear" w:color="auto" w:fill="DEEAF6"/>
          </w:tcPr>
          <w:p>
            <w:pPr>
              <w:spacing w:before="20" w:after="20"/>
              <w:jc w:val="center"/>
            </w:pPr>
            <w:r/>
            <w:r>
              <w:rPr>
                <w:rFonts w:ascii="Calibri" w:hAnsi="Calibri"/>
                <w:b/>
                <w:color w:val="000000"/>
                <w:sz w:val="18"/>
              </w:rPr>
              <w:t>The problem</w:t>
            </w:r>
          </w:p>
        </w:tc>
        <w:tc>
          <w:tcPr>
            <w:tcW w:type="dxa" w:w="3628"/>
            <w:shd w:val="clear" w:color="auto" w:fill="DEEAF6"/>
          </w:tcPr>
          <w:p>
            <w:pPr>
              <w:spacing w:before="20" w:after="20"/>
              <w:jc w:val="center"/>
            </w:pPr>
            <w:r/>
            <w:r>
              <w:rPr>
                <w:rFonts w:ascii="Calibri" w:hAnsi="Calibri"/>
                <w:b/>
                <w:color w:val="000000"/>
                <w:sz w:val="18"/>
              </w:rPr>
              <w:t>What was done</w:t>
            </w:r>
          </w:p>
        </w:tc>
      </w:tr>
      <w:tr>
        <w:tc>
          <w:tcPr>
            <w:tcW w:type="dxa" w:w="1928"/>
          </w:tcPr>
          <w:p>
            <w:pPr>
              <w:spacing w:before="20" w:after="20"/>
            </w:pPr>
            <w:r/>
            <w:r>
              <w:rPr>
                <w:rFonts w:ascii="Calibri" w:hAnsi="Calibri"/>
                <w:b/>
                <w:color w:val="000000"/>
                <w:sz w:val="18"/>
              </w:rPr>
              <w:t>Duplicate question numbers</w:t>
            </w:r>
          </w:p>
        </w:tc>
        <w:tc>
          <w:tcPr>
            <w:tcW w:type="dxa" w:w="3628"/>
          </w:tcPr>
          <w:p>
            <w:pPr>
              <w:spacing w:before="20" w:after="20"/>
            </w:pPr>
            <w:r/>
            <w:r>
              <w:rPr>
                <w:rFonts w:ascii="Calibri" w:hAnsi="Calibri"/>
                <w:b w:val="0"/>
                <w:color w:val="000000"/>
                <w:sz w:val="18"/>
              </w:rPr>
              <w:t>B25, B26, B27 and B28 each appeared twice — once in the trading block and again in the catchment block</w:t>
            </w:r>
          </w:p>
        </w:tc>
        <w:tc>
          <w:tcPr>
            <w:tcW w:type="dxa" w:w="3628"/>
          </w:tcPr>
          <w:p>
            <w:pPr>
              <w:spacing w:before="20" w:after="20"/>
            </w:pPr>
            <w:r/>
            <w:r>
              <w:rPr>
                <w:rFonts w:ascii="Calibri" w:hAnsi="Calibri"/>
                <w:b w:val="0"/>
                <w:color w:val="000000"/>
                <w:sz w:val="18"/>
              </w:rPr>
              <w:t>The catchment block is now B31–B34, which also matches the tablet form</w:t>
            </w:r>
          </w:p>
        </w:tc>
      </w:tr>
      <w:tr>
        <w:tc>
          <w:tcPr>
            <w:tcW w:type="dxa" w:w="1928"/>
          </w:tcPr>
          <w:p>
            <w:pPr>
              <w:spacing w:before="20" w:after="20"/>
            </w:pPr>
            <w:r/>
            <w:r>
              <w:rPr>
                <w:rFonts w:ascii="Calibri" w:hAnsi="Calibri"/>
                <w:b/>
                <w:color w:val="000000"/>
                <w:sz w:val="18"/>
              </w:rPr>
              <w:t>Wrong cross-reference</w:t>
            </w:r>
          </w:p>
        </w:tc>
        <w:tc>
          <w:tcPr>
            <w:tcW w:type="dxa" w:w="3628"/>
          </w:tcPr>
          <w:p>
            <w:pPr>
              <w:spacing w:before="20" w:after="20"/>
            </w:pPr>
            <w:r/>
            <w:r>
              <w:rPr>
                <w:rFonts w:ascii="Calibri" w:hAnsi="Calibri"/>
                <w:b w:val="0"/>
                <w:color w:val="000000"/>
                <w:sz w:val="18"/>
              </w:rPr>
              <w:t>B27a told the enumerator to enter a code from B23</w:t>
            </w:r>
          </w:p>
        </w:tc>
        <w:tc>
          <w:tcPr>
            <w:tcW w:type="dxa" w:w="3628"/>
          </w:tcPr>
          <w:p>
            <w:pPr>
              <w:spacing w:before="20" w:after="20"/>
            </w:pPr>
            <w:r/>
            <w:r>
              <w:rPr>
                <w:rFonts w:ascii="Calibri" w:hAnsi="Calibri"/>
                <w:b w:val="0"/>
                <w:color w:val="000000"/>
                <w:sz w:val="18"/>
              </w:rPr>
              <w:t>Corrected to B27</w:t>
            </w:r>
          </w:p>
        </w:tc>
      </w:tr>
      <w:tr>
        <w:tc>
          <w:tcPr>
            <w:tcW w:type="dxa" w:w="1928"/>
          </w:tcPr>
          <w:p>
            <w:pPr>
              <w:spacing w:before="20" w:after="20"/>
            </w:pPr>
            <w:r/>
            <w:r>
              <w:rPr>
                <w:rFonts w:ascii="Calibri" w:hAnsi="Calibri"/>
                <w:b/>
                <w:color w:val="000000"/>
                <w:sz w:val="18"/>
              </w:rPr>
              <w:t>No interview timing</w:t>
            </w:r>
          </w:p>
        </w:tc>
        <w:tc>
          <w:tcPr>
            <w:tcW w:type="dxa" w:w="3628"/>
          </w:tcPr>
          <w:p>
            <w:pPr>
              <w:spacing w:before="20" w:after="20"/>
            </w:pPr>
            <w:r/>
            <w:r>
              <w:rPr>
                <w:rFonts w:ascii="Calibri" w:hAnsi="Calibri"/>
                <w:b w:val="0"/>
                <w:color w:val="000000"/>
                <w:sz w:val="18"/>
              </w:rPr>
              <w:t>Length was taken from when the form was opened and closed. Three interviews showed as over three hours, one as eighteen.</w:t>
            </w:r>
          </w:p>
        </w:tc>
        <w:tc>
          <w:tcPr>
            <w:tcW w:type="dxa" w:w="3628"/>
          </w:tcPr>
          <w:p>
            <w:pPr>
              <w:spacing w:before="20" w:after="20"/>
            </w:pPr>
            <w:r/>
            <w:r>
              <w:rPr>
                <w:rFonts w:ascii="Calibri" w:hAnsi="Calibri"/>
                <w:b w:val="0"/>
                <w:color w:val="000000"/>
                <w:sz w:val="18"/>
              </w:rPr>
              <w:t>K6 and K7 added to record start and end directly</w:t>
            </w:r>
          </w:p>
        </w:tc>
      </w:tr>
      <w:tr>
        <w:tc>
          <w:tcPr>
            <w:tcW w:type="dxa" w:w="1928"/>
          </w:tcPr>
          <w:p>
            <w:pPr>
              <w:spacing w:before="20" w:after="20"/>
            </w:pPr>
            <w:r/>
            <w:r>
              <w:rPr>
                <w:rFonts w:ascii="Calibri" w:hAnsi="Calibri"/>
                <w:b/>
                <w:color w:val="000000"/>
                <w:sz w:val="18"/>
              </w:rPr>
              <w:t>Re-test declined</w:t>
            </w:r>
          </w:p>
        </w:tc>
        <w:tc>
          <w:tcPr>
            <w:tcW w:type="dxa" w:w="3628"/>
          </w:tcPr>
          <w:p>
            <w:pPr>
              <w:spacing w:before="20" w:after="20"/>
            </w:pPr>
            <w:r/>
            <w:r>
              <w:rPr>
                <w:rFonts w:ascii="Calibri" w:hAnsi="Calibri"/>
                <w:b w:val="0"/>
                <w:color w:val="000000"/>
                <w:sz w:val="18"/>
              </w:rPr>
              <w:t>The shuffle cannot be verified from existing data</w:t>
            </w:r>
          </w:p>
        </w:tc>
        <w:tc>
          <w:tcPr>
            <w:tcW w:type="dxa" w:w="3628"/>
          </w:tcPr>
          <w:p>
            <w:pPr>
              <w:spacing w:before="20" w:after="20"/>
            </w:pPr>
            <w:r/>
            <w:r>
              <w:rPr>
                <w:rFonts w:ascii="Calibri" w:hAnsi="Calibri"/>
                <w:b w:val="0"/>
                <w:color w:val="000000"/>
                <w:sz w:val="18"/>
              </w:rPr>
              <w:t>F0f added: a check on the first 20 interviews that does the same job</w:t>
            </w:r>
          </w:p>
        </w:tc>
      </w:tr>
      <w:tr>
        <w:tc>
          <w:tcPr>
            <w:tcW w:type="dxa" w:w="1928"/>
          </w:tcPr>
          <w:p>
            <w:pPr>
              <w:spacing w:before="20" w:after="20"/>
            </w:pPr>
            <w:r/>
            <w:r>
              <w:rPr>
                <w:rFonts w:ascii="Calibri" w:hAnsi="Calibri"/>
                <w:b/>
                <w:color w:val="000000"/>
                <w:sz w:val="18"/>
              </w:rPr>
              <w:t>Document and tablet number questions differently</w:t>
            </w:r>
          </w:p>
        </w:tc>
        <w:tc>
          <w:tcPr>
            <w:tcW w:type="dxa" w:w="3628"/>
          </w:tcPr>
          <w:p>
            <w:pPr>
              <w:spacing w:before="20" w:after="20"/>
            </w:pPr>
            <w:r/>
            <w:r>
              <w:rPr>
                <w:rFonts w:ascii="Calibri" w:hAnsi="Calibri"/>
                <w:b w:val="0"/>
                <w:color w:val="000000"/>
                <w:sz w:val="18"/>
              </w:rPr>
              <w:t>What this document calls B25, the data calls B27. Anyone using the document as a codebook would mis-map the data.</w:t>
            </w:r>
          </w:p>
        </w:tc>
        <w:tc>
          <w:tcPr>
            <w:tcW w:type="dxa" w:w="3628"/>
          </w:tcPr>
          <w:p>
            <w:pPr>
              <w:spacing w:before="20" w:after="20"/>
            </w:pPr>
            <w:r/>
            <w:r>
              <w:rPr>
                <w:rFonts w:ascii="Calibri" w:hAnsi="Calibri"/>
                <w:b w:val="0"/>
                <w:color w:val="000000"/>
                <w:sz w:val="18"/>
              </w:rPr>
              <w:t>Annex M lists the tablet field names. The tablet was left alone because it has already collected data under those names.</w:t>
            </w:r>
          </w:p>
        </w:tc>
      </w:tr>
    </w:tbl>
    <w:p>
      <w:r>
        <w:br w:type="page"/>
      </w:r>
    </w:p>
    <w:p>
      <w:pPr>
        <w:pStyle w:val="Heading1"/>
        <w:pBdr>
          <w:bottom w:val="single" w:sz="6" w:space="4" w:color="1F3864"/>
        </w:pBdr>
      </w:pPr>
      <w:r>
        <w:t>Part 3 — What still sits outside this document</w:t>
      </w:r>
    </w:p>
    <w:p>
      <w:pPr>
        <w:spacing w:before="0" w:after="120"/>
      </w:pPr>
      <w:r>
        <w:rPr>
          <w:rFonts w:ascii="Calibri" w:hAnsi="Calibri"/>
          <w:b w:val="0"/>
          <w:i w:val="0"/>
          <w:color w:val="000000"/>
          <w:sz w:val="22"/>
        </w:rPr>
        <w:t>These are not questionnaire problems and cannot be fixed by editing it.</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608"/>
            <w:shd w:val="clear" w:color="auto" w:fill="DEEAF6"/>
          </w:tcPr>
          <w:p>
            <w:pPr>
              <w:spacing w:before="20" w:after="20"/>
              <w:jc w:val="center"/>
            </w:pPr>
            <w:r/>
            <w:r>
              <w:rPr>
                <w:rFonts w:ascii="Calibri" w:hAnsi="Calibri"/>
                <w:b/>
                <w:color w:val="000000"/>
                <w:sz w:val="18"/>
              </w:rPr>
              <w:t>Item</w:t>
            </w:r>
          </w:p>
        </w:tc>
        <w:tc>
          <w:tcPr>
            <w:tcW w:type="dxa" w:w="2268"/>
            <w:shd w:val="clear" w:color="auto" w:fill="DEEAF6"/>
          </w:tcPr>
          <w:p>
            <w:pPr>
              <w:spacing w:before="20" w:after="20"/>
              <w:jc w:val="center"/>
            </w:pPr>
            <w:r/>
            <w:r>
              <w:rPr>
                <w:rFonts w:ascii="Calibri" w:hAnsi="Calibri"/>
                <w:b/>
                <w:color w:val="000000"/>
                <w:sz w:val="18"/>
              </w:rPr>
              <w:t>Status</w:t>
            </w:r>
          </w:p>
        </w:tc>
        <w:tc>
          <w:tcPr>
            <w:tcW w:type="dxa" w:w="4309"/>
            <w:shd w:val="clear" w:color="auto" w:fill="DEEAF6"/>
          </w:tcPr>
          <w:p>
            <w:pPr>
              <w:spacing w:before="20" w:after="20"/>
              <w:jc w:val="center"/>
            </w:pPr>
            <w:r/>
            <w:r>
              <w:rPr>
                <w:rFonts w:ascii="Calibri" w:hAnsi="Calibri"/>
                <w:b/>
                <w:color w:val="000000"/>
                <w:sz w:val="18"/>
              </w:rPr>
              <w:t>Consequence if not done</w:t>
            </w:r>
          </w:p>
        </w:tc>
      </w:tr>
      <w:tr>
        <w:tc>
          <w:tcPr>
            <w:tcW w:type="dxa" w:w="2608"/>
          </w:tcPr>
          <w:p>
            <w:pPr>
              <w:spacing w:before="20" w:after="20"/>
            </w:pPr>
            <w:r/>
            <w:r>
              <w:rPr>
                <w:rFonts w:ascii="Calibri" w:hAnsi="Calibri"/>
                <w:b/>
                <w:color w:val="000000"/>
                <w:sz w:val="18"/>
              </w:rPr>
              <w:t>Programme the four tablet settings (F0e)</w:t>
            </w:r>
          </w:p>
        </w:tc>
        <w:tc>
          <w:tcPr>
            <w:tcW w:type="dxa" w:w="2268"/>
          </w:tcPr>
          <w:p>
            <w:pPr>
              <w:spacing w:before="20" w:after="20"/>
            </w:pPr>
            <w:r/>
            <w:r>
              <w:rPr>
                <w:rFonts w:ascii="Calibri" w:hAnsi="Calibri"/>
                <w:b w:val="0"/>
                <w:color w:val="000000"/>
                <w:sz w:val="18"/>
              </w:rPr>
              <w:t>NOT DONE — required before the next interview</w:t>
            </w:r>
          </w:p>
        </w:tc>
        <w:tc>
          <w:tcPr>
            <w:tcW w:type="dxa" w:w="4309"/>
          </w:tcPr>
          <w:p>
            <w:pPr>
              <w:spacing w:before="20" w:after="20"/>
            </w:pPr>
            <w:r/>
            <w:r>
              <w:rPr>
                <w:rFonts w:ascii="Calibri" w:hAnsi="Calibri"/>
                <w:b w:val="0"/>
                <w:color w:val="000000"/>
                <w:sz w:val="18"/>
              </w:rPr>
              <w:t>The full survey repeats the pilot's central fault and the price finding is lost again</w:t>
            </w:r>
          </w:p>
        </w:tc>
      </w:tr>
      <w:tr>
        <w:tc>
          <w:tcPr>
            <w:tcW w:type="dxa" w:w="2608"/>
          </w:tcPr>
          <w:p>
            <w:pPr>
              <w:spacing w:before="20" w:after="20"/>
            </w:pPr>
            <w:r/>
            <w:r>
              <w:rPr>
                <w:rFonts w:ascii="Calibri" w:hAnsi="Calibri"/>
                <w:b/>
                <w:color w:val="000000"/>
                <w:sz w:val="18"/>
              </w:rPr>
              <w:t>Run the first-day check (F0f)</w:t>
            </w:r>
          </w:p>
        </w:tc>
        <w:tc>
          <w:tcPr>
            <w:tcW w:type="dxa" w:w="2268"/>
          </w:tcPr>
          <w:p>
            <w:pPr>
              <w:spacing w:before="20" w:after="20"/>
            </w:pPr>
            <w:r/>
            <w:r>
              <w:rPr>
                <w:rFonts w:ascii="Calibri" w:hAnsi="Calibri"/>
                <w:b w:val="0"/>
                <w:color w:val="000000"/>
                <w:sz w:val="18"/>
              </w:rPr>
              <w:t>Required before day two</w:t>
            </w:r>
          </w:p>
        </w:tc>
        <w:tc>
          <w:tcPr>
            <w:tcW w:type="dxa" w:w="4309"/>
          </w:tcPr>
          <w:p>
            <w:pPr>
              <w:spacing w:before="20" w:after="20"/>
            </w:pPr>
            <w:r/>
            <w:r>
              <w:rPr>
                <w:rFonts w:ascii="Calibri" w:hAnsi="Calibri"/>
                <w:b w:val="0"/>
                <w:color w:val="000000"/>
                <w:sz w:val="18"/>
              </w:rPr>
              <w:t>A broken shuffle would not be caught until analysis</w:t>
            </w:r>
          </w:p>
        </w:tc>
      </w:tr>
      <w:tr>
        <w:tc>
          <w:tcPr>
            <w:tcW w:type="dxa" w:w="2608"/>
          </w:tcPr>
          <w:p>
            <w:pPr>
              <w:spacing w:before="20" w:after="20"/>
            </w:pPr>
            <w:r/>
            <w:r>
              <w:rPr>
                <w:rFonts w:ascii="Calibri" w:hAnsi="Calibri"/>
                <w:b/>
                <w:color w:val="000000"/>
                <w:sz w:val="18"/>
              </w:rPr>
              <w:t>Confirm with the County whether the two lowest service levels are lawful</w:t>
            </w:r>
          </w:p>
        </w:tc>
        <w:tc>
          <w:tcPr>
            <w:tcW w:type="dxa" w:w="2268"/>
          </w:tcPr>
          <w:p>
            <w:pPr>
              <w:spacing w:before="20" w:after="20"/>
            </w:pPr>
            <w:r/>
            <w:r>
              <w:rPr>
                <w:rFonts w:ascii="Calibri" w:hAnsi="Calibri"/>
                <w:b w:val="0"/>
                <w:color w:val="000000"/>
                <w:sz w:val="18"/>
              </w:rPr>
              <w:t>Outstanding</w:t>
            </w:r>
          </w:p>
        </w:tc>
        <w:tc>
          <w:tcPr>
            <w:tcW w:type="dxa" w:w="4309"/>
          </w:tcPr>
          <w:p>
            <w:pPr>
              <w:spacing w:before="20" w:after="20"/>
            </w:pPr>
            <w:r/>
            <w:r>
              <w:rPr>
                <w:rFonts w:ascii="Calibri" w:hAnsi="Calibri"/>
                <w:b w:val="0"/>
                <w:color w:val="000000"/>
                <w:sz w:val="18"/>
              </w:rPr>
              <w:t>We may be asking traders to price a service that could not legally be offered</w:t>
            </w:r>
          </w:p>
        </w:tc>
      </w:tr>
      <w:tr>
        <w:tc>
          <w:tcPr>
            <w:tcW w:type="dxa" w:w="2608"/>
          </w:tcPr>
          <w:p>
            <w:pPr>
              <w:spacing w:before="20" w:after="20"/>
            </w:pPr>
            <w:r/>
            <w:r>
              <w:rPr>
                <w:rFonts w:ascii="Calibri" w:hAnsi="Calibri"/>
                <w:b/>
                <w:color w:val="000000"/>
                <w:sz w:val="18"/>
              </w:rPr>
              <w:t>Write the provider interview guide</w:t>
            </w:r>
          </w:p>
        </w:tc>
        <w:tc>
          <w:tcPr>
            <w:tcW w:type="dxa" w:w="2268"/>
          </w:tcPr>
          <w:p>
            <w:pPr>
              <w:spacing w:before="20" w:after="20"/>
            </w:pPr>
            <w:r/>
            <w:r>
              <w:rPr>
                <w:rFonts w:ascii="Calibri" w:hAnsi="Calibri"/>
                <w:b w:val="0"/>
                <w:color w:val="000000"/>
                <w:sz w:val="18"/>
              </w:rPr>
              <w:t>Does not exist</w:t>
            </w:r>
          </w:p>
        </w:tc>
        <w:tc>
          <w:tcPr>
            <w:tcW w:type="dxa" w:w="4309"/>
          </w:tcPr>
          <w:p>
            <w:pPr>
              <w:spacing w:before="20" w:after="20"/>
            </w:pPr>
            <w:r/>
            <w:r>
              <w:rPr>
                <w:rFonts w:ascii="Calibri" w:hAnsi="Calibri"/>
                <w:b w:val="0"/>
                <w:color w:val="000000"/>
                <w:sz w:val="18"/>
              </w:rPr>
              <w:t>The costing template cannot be filled for private and partnership models</w:t>
            </w:r>
          </w:p>
        </w:tc>
      </w:tr>
      <w:tr>
        <w:tc>
          <w:tcPr>
            <w:tcW w:type="dxa" w:w="2608"/>
          </w:tcPr>
          <w:p>
            <w:pPr>
              <w:spacing w:before="20" w:after="20"/>
            </w:pPr>
            <w:r/>
            <w:r>
              <w:rPr>
                <w:rFonts w:ascii="Calibri" w:hAnsi="Calibri"/>
                <w:b/>
                <w:color w:val="000000"/>
                <w:sz w:val="18"/>
              </w:rPr>
              <w:t>Fill the costing template with real figures</w:t>
            </w:r>
          </w:p>
        </w:tc>
        <w:tc>
          <w:tcPr>
            <w:tcW w:type="dxa" w:w="2268"/>
          </w:tcPr>
          <w:p>
            <w:pPr>
              <w:spacing w:before="20" w:after="20"/>
            </w:pPr>
            <w:r/>
            <w:r>
              <w:rPr>
                <w:rFonts w:ascii="Calibri" w:hAnsi="Calibri"/>
                <w:b w:val="0"/>
                <w:color w:val="000000"/>
                <w:sz w:val="18"/>
              </w:rPr>
              <w:t>Empty</w:t>
            </w:r>
          </w:p>
        </w:tc>
        <w:tc>
          <w:tcPr>
            <w:tcW w:type="dxa" w:w="4309"/>
          </w:tcPr>
          <w:p>
            <w:pPr>
              <w:spacing w:before="20" w:after="20"/>
            </w:pPr>
            <w:r/>
            <w:r>
              <w:rPr>
                <w:rFonts w:ascii="Calibri" w:hAnsi="Calibri"/>
                <w:b w:val="0"/>
                <w:color w:val="000000"/>
                <w:sz w:val="18"/>
              </w:rPr>
              <w:t>Objective iv — which model is most sustainable — cannot be answered at all</w:t>
            </w:r>
          </w:p>
        </w:tc>
      </w:tr>
      <w:tr>
        <w:tc>
          <w:tcPr>
            <w:tcW w:type="dxa" w:w="2608"/>
          </w:tcPr>
          <w:p>
            <w:pPr>
              <w:spacing w:before="20" w:after="20"/>
            </w:pPr>
            <w:r/>
            <w:r>
              <w:rPr>
                <w:rFonts w:ascii="Calibri" w:hAnsi="Calibri"/>
                <w:b/>
                <w:color w:val="000000"/>
                <w:sz w:val="18"/>
              </w:rPr>
              <w:t>Decide the subgroup question</w:t>
            </w:r>
          </w:p>
        </w:tc>
        <w:tc>
          <w:tcPr>
            <w:tcW w:type="dxa" w:w="2268"/>
          </w:tcPr>
          <w:p>
            <w:pPr>
              <w:spacing w:before="20" w:after="20"/>
            </w:pPr>
            <w:r/>
            <w:r>
              <w:rPr>
                <w:rFonts w:ascii="Calibri" w:hAnsi="Calibri"/>
                <w:b w:val="0"/>
                <w:color w:val="000000"/>
                <w:sz w:val="18"/>
              </w:rPr>
              <w:t>Outstanding</w:t>
            </w:r>
          </w:p>
        </w:tc>
        <w:tc>
          <w:tcPr>
            <w:tcW w:type="dxa" w:w="4309"/>
          </w:tcPr>
          <w:p>
            <w:pPr>
              <w:spacing w:before="20" w:after="20"/>
            </w:pPr>
            <w:r/>
            <w:r>
              <w:rPr>
                <w:rFonts w:ascii="Calibri" w:hAnsi="Calibri"/>
                <w:b w:val="0"/>
                <w:color w:val="000000"/>
                <w:sz w:val="18"/>
              </w:rPr>
              <w:t>At 300 interviews, women can be analysed separately but men cannot. A proper comparison needs about 400 with a quota.</w:t>
            </w:r>
          </w:p>
        </w:tc>
      </w:tr>
    </w:tbl>
    <w:p>
      <w:pPr>
        <w:spacing w:before="120" w:after="160"/>
        <w:ind w:left="283"/>
        <w:pBdr>
          <w:left w:val="single" w:sz="18" w:space="8" w:color="1F4D78"/>
        </w:pBdr>
      </w:pPr>
      <w:r>
        <w:rPr>
          <w:rFonts w:ascii="Calibri" w:hAnsi="Calibri"/>
          <w:b/>
          <w:color w:val="1F4D78"/>
          <w:sz w:val="21"/>
        </w:rPr>
        <w:t xml:space="preserve">Finding:  </w:t>
      </w:r>
      <w:r>
        <w:rPr>
          <w:rFonts w:ascii="Calibri" w:hAnsi="Calibri"/>
          <w:sz w:val="21"/>
        </w:rPr>
        <w:t>The first two rows are the ones that decide whether the full survey succeeds. The last three decide whether the study can answer all four of its objectives or only three.</w:t>
      </w:r>
    </w:p>
    <w:p>
      <w:pPr>
        <w:pStyle w:val="Heading2"/>
      </w:pPr>
      <w:r>
        <w:t>One honest note on dropping the re-test</w:t>
      </w:r>
    </w:p>
    <w:p>
      <w:pPr>
        <w:spacing w:before="0" w:after="120"/>
      </w:pPr>
      <w:r>
        <w:rPr>
          <w:rFonts w:ascii="Calibri" w:hAnsi="Calibri"/>
          <w:b w:val="0"/>
          <w:i w:val="0"/>
          <w:color w:val="000000"/>
          <w:sz w:val="22"/>
        </w:rPr>
        <w:t>The re-test was the safest way to confirm the shuffle works, and it has been dropped. The first-day check at F0f is a reasonable substitute and costs nothing extra, but it differs in one way worth stating plainly: it catches the problem after 20 real interviews rather than before any. If the shuffle is broken, those 20 interviews are compromised and would need to be set aside or re-done. That is the risk being accepted, and it is a small one against a full survey of 300.</w:t>
      </w:r>
    </w:p>
    <w:sectPr w:rsidR="00FC693F" w:rsidRPr="0006063C" w:rsidSect="00034616">
      <w:footerReference w:type="default" r:id="rId9"/>
      <w:pgSz w:w="12240" w:h="15840"/>
      <w:pgMar w:top="1134" w:right="102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Trader Questionnaire v2.0  ·  Uasin Gishu Market Childcare Study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pPr>
    <w:rPr>
      <w:rFonts w:ascii="Calibri" w:hAnsi="Calibri" w:cs="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i w:val="0"/>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i w:val="0"/>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before="0"/>
      <w:contextualSpacing/>
    </w:pPr>
    <w:rPr>
      <w:rFonts w:ascii="Calibri" w:hAnsi="Calibri" w:cs="Calibri" w:eastAsia="Calibri"/>
      <w:b/>
      <w:i w:val="0"/>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