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FOUR: RESULTS</w:t>
      </w:r>
    </w:p>
    <w:p>
      <w:pPr>
        <w:pStyle w:val="Heading2"/>
        <w:spacing w:after="140" w:before="280" w:line="360"/>
      </w:pPr>
      <w:r>
        <w:rPr>
          <w:rFonts w:ascii="Times New Roman" w:cs="Times New Roman" w:eastAsia="Times New Roman" w:hAnsi="Times New Roman"/>
          <w:b/>
          <w:bCs/>
          <w:color w:val="000000"/>
          <w:sz w:val="26"/>
          <w:szCs w:val="26"/>
        </w:rPr>
        <w:t xml:space="preserve">4.1 Introduction</w:t>
      </w:r>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pPr>
      <w:r>
        <w:rPr>
          <w:rFonts w:ascii="Times New Roman" w:cs="Times New Roman" w:eastAsia="Times New Roman" w:hAnsi="Times New Roman"/>
          <w:b/>
          <w:bCs/>
          <w:color w:val="000000"/>
          <w:sz w:val="26"/>
          <w:szCs w:val="26"/>
        </w:rPr>
        <w:t xml:space="preserve">4.2 Distribution of Respondents</w:t>
      </w:r>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r>
        <w:rPr>
          <w:rFonts w:ascii="Times New Roman" w:cs="Times New Roman" w:eastAsia="Times New Roman" w:hAnsi="Times New Roman"/>
          <w:b/>
          <w:bCs/>
          <w:color w:val="000000"/>
          <w:sz w:val="24"/>
          <w:szCs w:val="24"/>
        </w:rPr>
        <w:t xml:space="preserve">Table 2</w:t>
      </w:r>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0" w:before="240" w:line="240"/>
      </w:pPr>
      <w:r>
        <w:rPr>
          <w:rFonts w:ascii="Times New Roman" w:cs="Times New Roman" w:eastAsia="Times New Roman" w:hAnsi="Times New Roman"/>
          <w:b/>
          <w:bCs/>
          <w:color w:val="000000"/>
          <w:sz w:val="24"/>
          <w:szCs w:val="24"/>
        </w:rPr>
        <w:t xml:space="preserve">Figure 5</w:t>
      </w:r>
    </w:p>
    <w:p>
      <w:pPr>
        <w:spacing w:after="120" w:before="0" w:line="240"/>
      </w:pPr>
      <w:r>
        <w:rPr>
          <w:rFonts w:ascii="Times New Roman" w:cs="Times New Roman" w:eastAsia="Times New Roman" w:hAnsi="Times New Roman"/>
          <w:i/>
          <w:iCs/>
          <w:color w:val="000000"/>
          <w:sz w:val="24"/>
          <w:szCs w:val="24"/>
        </w:rPr>
        <w:t xml:space="preserve">Composition of the Sample by Actor Category Within Each BMU</w:t>
      </w:r>
    </w:p>
    <w:p>
      <w:pPr>
        <w:spacing w:after="10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09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at each site falling into each actor category and sum to 100% within a site. Msambweni rests on three respondents and should be read with that in mind.</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w:t>
      </w:r>
    </w:p>
    <w:p>
      <w:pPr>
        <w:pStyle w:val="Heading2"/>
        <w:spacing w:after="140" w:before="280" w:line="360"/>
      </w:pPr>
      <w:r>
        <w:rPr>
          <w:rFonts w:ascii="Times New Roman" w:cs="Times New Roman" w:eastAsia="Times New Roman" w:hAnsi="Times New Roman"/>
          <w:b/>
          <w:bCs/>
          <w:color w:val="000000"/>
          <w:sz w:val="26"/>
          <w:szCs w:val="26"/>
        </w:rPr>
        <w:t xml:space="preserve">4.3 Objective One: Profile of Mud Crab Actors and Their Characteristics</w:t>
      </w:r>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pPr>
      <w:r>
        <w:rPr>
          <w:rFonts w:ascii="Times New Roman" w:cs="Times New Roman" w:eastAsia="Times New Roman" w:hAnsi="Times New Roman"/>
          <w:b/>
          <w:bCs/>
          <w:color w:val="000000"/>
          <w:sz w:val="24"/>
          <w:szCs w:val="24"/>
        </w:rPr>
        <w:t xml:space="preserve">4.3.1 Demographic and Personal Characteristics</w:t>
      </w:r>
    </w:p>
    <w:p>
      <w:pPr>
        <w:spacing w:after="0" w:before="240" w:line="240"/>
      </w:pPr>
      <w:r>
        <w:rPr>
          <w:rFonts w:ascii="Times New Roman" w:cs="Times New Roman" w:eastAsia="Times New Roman" w:hAnsi="Times New Roman"/>
          <w:b/>
          <w:bCs/>
          <w:color w:val="000000"/>
          <w:sz w:val="24"/>
          <w:szCs w:val="24"/>
        </w:rPr>
        <w:t xml:space="preserve">Table 3</w:t>
      </w:r>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r>
        <w:rPr>
          <w:rFonts w:ascii="Times New Roman" w:cs="Times New Roman" w:eastAsia="Times New Roman" w:hAnsi="Times New Roman"/>
          <w:b/>
          <w:bCs/>
          <w:color w:val="000000"/>
          <w:sz w:val="24"/>
          <w:szCs w:val="24"/>
        </w:rPr>
        <w:t xml:space="preserve">Figure 6</w:t>
      </w:r>
    </w:p>
    <w:p>
      <w:pPr>
        <w:spacing w:after="120" w:before="0" w:line="240"/>
      </w:pPr>
      <w:r>
        <w:rPr>
          <w:rFonts w:ascii="Times New Roman" w:cs="Times New Roman" w:eastAsia="Times New Roman" w:hAnsi="Times New Roman"/>
          <w:i/>
          <w:iCs/>
          <w:color w:val="000000"/>
          <w:sz w:val="24"/>
          <w:szCs w:val="24"/>
        </w:rPr>
        <w:t xml:space="preserve">Age Distribution Within Each Actor Category</w:t>
      </w:r>
    </w:p>
    <w:p>
      <w:pPr>
        <w:spacing w:after="10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within each actor category falling into each age band, so the bars for one actor sum to 100%.</w:t>
      </w:r>
    </w:p>
    <w:p>
      <w:pPr>
        <w:spacing w:after="0" w:before="240" w:line="240"/>
      </w:pPr>
      <w:r>
        <w:rPr>
          <w:rFonts w:ascii="Times New Roman" w:cs="Times New Roman" w:eastAsia="Times New Roman" w:hAnsi="Times New Roman"/>
          <w:b/>
          <w:bCs/>
          <w:color w:val="000000"/>
          <w:sz w:val="24"/>
          <w:szCs w:val="24"/>
        </w:rPr>
        <w:t xml:space="preserve">Figure 7</w:t>
      </w:r>
    </w:p>
    <w:p>
      <w:pPr>
        <w:spacing w:after="120" w:before="0" w:line="240"/>
      </w:pPr>
      <w:r>
        <w:rPr>
          <w:rFonts w:ascii="Times New Roman" w:cs="Times New Roman" w:eastAsia="Times New Roman" w:hAnsi="Times New Roman"/>
          <w:i/>
          <w:iCs/>
          <w:color w:val="000000"/>
          <w:sz w:val="24"/>
          <w:szCs w:val="24"/>
        </w:rPr>
        <w:t xml:space="preserve">Age Distribution of Fishers Within Each BMU</w:t>
      </w:r>
    </w:p>
    <w:p>
      <w:pPr>
        <w:spacing w:after="1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003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falling into each age band. The two fishers in the Other sites group are excluded from the site comparison.</w:t>
      </w:r>
    </w:p>
    <w:p>
      <w:pPr>
        <w:spacing w:after="0" w:before="240" w:line="240"/>
      </w:pPr>
      <w:r>
        <w:rPr>
          <w:rFonts w:ascii="Times New Roman" w:cs="Times New Roman" w:eastAsia="Times New Roman" w:hAnsi="Times New Roman"/>
          <w:b/>
          <w:bCs/>
          <w:color w:val="000000"/>
          <w:sz w:val="24"/>
          <w:szCs w:val="24"/>
        </w:rPr>
        <w:t xml:space="preserve">Table 4</w:t>
      </w:r>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0" w:before="240" w:line="240"/>
      </w:pPr>
      <w:r>
        <w:rPr>
          <w:rFonts w:ascii="Times New Roman" w:cs="Times New Roman" w:eastAsia="Times New Roman" w:hAnsi="Times New Roman"/>
          <w:b/>
          <w:bCs/>
          <w:color w:val="000000"/>
          <w:sz w:val="24"/>
          <w:szCs w:val="24"/>
        </w:rPr>
        <w:t xml:space="preserve">Table 5</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by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Highest education attained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r>
        <w:rPr>
          <w:rFonts w:ascii="Times New Roman" w:cs="Times New Roman" w:eastAsia="Times New Roman" w:hAnsi="Times New Roman"/>
          <w:b/>
          <w:bCs/>
          <w:color w:val="000000"/>
          <w:sz w:val="24"/>
          <w:szCs w:val="24"/>
        </w:rPr>
        <w:t xml:space="preserve">Figure 8</w:t>
      </w:r>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fisher or middleman reported education beyond secondary level, and no hotelier or exporter reported less than a certificate.</w:t>
      </w:r>
    </w:p>
    <w:p>
      <w:pPr>
        <w:spacing w:after="0" w:before="240" w:line="240"/>
      </w:pPr>
      <w:r>
        <w:rPr>
          <w:rFonts w:ascii="Times New Roman" w:cs="Times New Roman" w:eastAsia="Times New Roman" w:hAnsi="Times New Roman"/>
          <w:b/>
          <w:bCs/>
          <w:color w:val="000000"/>
          <w:sz w:val="24"/>
          <w:szCs w:val="24"/>
        </w:rPr>
        <w:t xml:space="preserve">Table 6</w:t>
      </w:r>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6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w:t>
      </w:r>
    </w:p>
    <w:p>
      <w:pPr>
        <w:spacing w:after="0" w:before="240" w:line="240"/>
      </w:pPr>
      <w:r>
        <w:rPr>
          <w:rFonts w:ascii="Times New Roman" w:cs="Times New Roman" w:eastAsia="Times New Roman" w:hAnsi="Times New Roman"/>
          <w:b/>
          <w:bCs/>
          <w:color w:val="000000"/>
          <w:sz w:val="24"/>
          <w:szCs w:val="24"/>
        </w:rPr>
        <w:t xml:space="preserve">Table 7</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7,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r>
        <w:rPr>
          <w:rFonts w:ascii="Times New Roman" w:cs="Times New Roman" w:eastAsia="Times New Roman" w:hAnsi="Times New Roman"/>
          <w:b/>
          <w:bCs/>
          <w:color w:val="000000"/>
          <w:sz w:val="24"/>
          <w:szCs w:val="24"/>
        </w:rPr>
        <w:t xml:space="preserve">Table 8</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8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4.3.2 Business and Operational Characteristics</w:t>
      </w:r>
    </w:p>
    <w:p>
      <w:pPr>
        <w:spacing w:after="0" w:before="240" w:line="240"/>
      </w:pPr>
      <w:r>
        <w:rPr>
          <w:rFonts w:ascii="Times New Roman" w:cs="Times New Roman" w:eastAsia="Times New Roman" w:hAnsi="Times New Roman"/>
          <w:b/>
          <w:bCs/>
          <w:color w:val="000000"/>
          <w:sz w:val="24"/>
          <w:szCs w:val="24"/>
        </w:rPr>
        <w:t xml:space="preserve">Table 9</w:t>
      </w:r>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9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r>
        <w:rPr>
          <w:rFonts w:ascii="Times New Roman" w:cs="Times New Roman" w:eastAsia="Times New Roman" w:hAnsi="Times New Roman"/>
          <w:b/>
          <w:bCs/>
          <w:color w:val="000000"/>
          <w:sz w:val="24"/>
          <w:szCs w:val="24"/>
        </w:rPr>
        <w:t xml:space="preserve">Table 10</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10,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0" w:before="240" w:line="240"/>
      </w:pPr>
      <w:r>
        <w:rPr>
          <w:rFonts w:ascii="Times New Roman" w:cs="Times New Roman" w:eastAsia="Times New Roman" w:hAnsi="Times New Roman"/>
          <w:b/>
          <w:bCs/>
          <w:color w:val="000000"/>
          <w:sz w:val="24"/>
          <w:szCs w:val="24"/>
        </w:rPr>
        <w:t xml:space="preserve">Figure 9</w:t>
      </w:r>
    </w:p>
    <w:p>
      <w:pPr>
        <w:spacing w:after="120" w:before="0" w:line="240"/>
      </w:pPr>
      <w:r>
        <w:rPr>
          <w:rFonts w:ascii="Times New Roman" w:cs="Times New Roman" w:eastAsia="Times New Roman" w:hAnsi="Times New Roman"/>
          <w:i/>
          <w:iCs/>
          <w:color w:val="000000"/>
          <w:sz w:val="24"/>
          <w:szCs w:val="24"/>
        </w:rPr>
        <w:t xml:space="preserve">Scale of Operation Within Each Actor Category</w:t>
      </w:r>
    </w:p>
    <w:p>
      <w:pPr>
        <w:spacing w:after="100"/>
        <w:jc w:val="center"/>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241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Scale rises steadily from the harvesting node to the export node.</w:t>
      </w:r>
    </w:p>
    <w:p>
      <w:pPr>
        <w:spacing w:after="0" w:before="240" w:line="240"/>
      </w:pPr>
      <w:r>
        <w:rPr>
          <w:rFonts w:ascii="Times New Roman" w:cs="Times New Roman" w:eastAsia="Times New Roman" w:hAnsi="Times New Roman"/>
          <w:b/>
          <w:bCs/>
          <w:color w:val="000000"/>
          <w:sz w:val="24"/>
          <w:szCs w:val="24"/>
        </w:rPr>
        <w:t xml:space="preserve">Table 11</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Monthly mud crab income band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r>
        <w:rPr>
          <w:rFonts w:ascii="Times New Roman" w:cs="Times New Roman" w:eastAsia="Times New Roman" w:hAnsi="Times New Roman"/>
          <w:b/>
          <w:bCs/>
          <w:color w:val="000000"/>
          <w:sz w:val="24"/>
          <w:szCs w:val="24"/>
        </w:rPr>
        <w:t xml:space="preserve">Table 12</w:t>
      </w:r>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12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r>
        <w:rPr>
          <w:rFonts w:ascii="Times New Roman" w:cs="Times New Roman" w:eastAsia="Times New Roman" w:hAnsi="Times New Roman"/>
          <w:b/>
          <w:bCs/>
          <w:color w:val="000000"/>
          <w:sz w:val="24"/>
          <w:szCs w:val="24"/>
        </w:rPr>
        <w:t xml:space="preserve">Figure 10</w:t>
      </w:r>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10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193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One exporter gave no valid income figure and is excluded from the exporter column.</w:t>
      </w:r>
    </w:p>
    <w:p>
      <w:pPr>
        <w:spacing w:after="0" w:before="240" w:line="240"/>
      </w:pPr>
      <w:r>
        <w:rPr>
          <w:rFonts w:ascii="Times New Roman" w:cs="Times New Roman" w:eastAsia="Times New Roman" w:hAnsi="Times New Roman"/>
          <w:b/>
          <w:bCs/>
          <w:color w:val="000000"/>
          <w:sz w:val="24"/>
          <w:szCs w:val="24"/>
        </w:rPr>
        <w:t xml:space="preserve">Table 13</w:t>
      </w:r>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three indicators of business formality.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w:t>
      </w:r>
    </w:p>
    <w:p>
      <w:pPr>
        <w:spacing w:after="0" w:before="240" w:line="240"/>
      </w:pPr>
      <w:r>
        <w:rPr>
          <w:rFonts w:ascii="Times New Roman" w:cs="Times New Roman" w:eastAsia="Times New Roman" w:hAnsi="Times New Roman"/>
          <w:b/>
          <w:bCs/>
          <w:color w:val="000000"/>
          <w:sz w:val="24"/>
          <w:szCs w:val="24"/>
        </w:rPr>
        <w:t xml:space="preserve">Figure 11</w:t>
      </w:r>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10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28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answering Yes within each actor category. The label no data marks an item the actor category did not complete, which is different from a zero.</w:t>
      </w:r>
    </w:p>
    <w:p>
      <w:pPr>
        <w:spacing w:after="0" w:before="240" w:line="240"/>
      </w:pPr>
      <w:r>
        <w:rPr>
          <w:rFonts w:ascii="Times New Roman" w:cs="Times New Roman" w:eastAsia="Times New Roman" w:hAnsi="Times New Roman"/>
          <w:b/>
          <w:bCs/>
          <w:color w:val="000000"/>
          <w:sz w:val="24"/>
          <w:szCs w:val="24"/>
        </w:rPr>
        <w:t xml:space="preserve">Table 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14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w:t>
      </w:r>
    </w:p>
    <w:p>
      <w:pPr>
        <w:spacing w:after="120" w:before="0" w:line="360"/>
        <w:jc w:val="both"/>
      </w:pPr>
      <w:r>
        <w:rPr>
          <w:rFonts w:ascii="Times New Roman" w:cs="Times New Roman" w:eastAsia="Times New Roman" w:hAnsi="Times New Roman"/>
          <w:color w:val="000000"/>
          <w:sz w:val="24"/>
          <w:szCs w:val="24"/>
        </w:rPr>
        <w:t xml:space="preserve">Considered together, Tables 9 to 14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pPr>
      <w:r>
        <w:rPr>
          <w:rFonts w:ascii="Times New Roman" w:cs="Times New Roman" w:eastAsia="Times New Roman" w:hAnsi="Times New Roman"/>
          <w:b/>
          <w:bCs/>
          <w:color w:val="000000"/>
          <w:sz w:val="24"/>
          <w:szCs w:val="24"/>
        </w:rPr>
        <w:t xml:space="preserve">4.3.3 Knowledge, Training and Group Membership</w:t>
      </w:r>
    </w:p>
    <w:p>
      <w:pPr>
        <w:spacing w:after="0" w:before="240" w:line="240"/>
      </w:pPr>
      <w:r>
        <w:rPr>
          <w:rFonts w:ascii="Times New Roman" w:cs="Times New Roman" w:eastAsia="Times New Roman" w:hAnsi="Times New Roman"/>
          <w:b/>
          <w:bCs/>
          <w:color w:val="000000"/>
          <w:sz w:val="24"/>
          <w:szCs w:val="24"/>
        </w:rPr>
        <w:t xml:space="preserve">Table 15</w:t>
      </w:r>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r>
        <w:rPr>
          <w:rFonts w:ascii="Times New Roman" w:cs="Times New Roman" w:eastAsia="Times New Roman" w:hAnsi="Times New Roman"/>
          <w:b/>
          <w:bCs/>
          <w:color w:val="000000"/>
          <w:sz w:val="24"/>
          <w:szCs w:val="24"/>
        </w:rPr>
        <w:t xml:space="preserve">Table 16</w:t>
      </w:r>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16,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15 and 16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pPr>
      <w:r>
        <w:rPr>
          <w:rFonts w:ascii="Times New Roman" w:cs="Times New Roman" w:eastAsia="Times New Roman" w:hAnsi="Times New Roman"/>
          <w:b/>
          <w:bCs/>
          <w:color w:val="000000"/>
          <w:sz w:val="24"/>
          <w:szCs w:val="24"/>
        </w:rPr>
        <w:t xml:space="preserve">4.3.4 Summary of Objective One</w:t>
      </w:r>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4.3.5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pPr>
      <w:r>
        <w:rPr>
          <w:rFonts w:ascii="Times New Roman" w:cs="Times New Roman" w:eastAsia="Times New Roman" w:hAnsi="Times New Roman"/>
          <w:b/>
          <w:bCs/>
          <w:color w:val="000000"/>
          <w:sz w:val="26"/>
          <w:szCs w:val="26"/>
        </w:rPr>
        <w:t xml:space="preserve">4.4 Objective Two: Functions Performed by Actors at Each Market Node</w:t>
      </w:r>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pPr>
      <w:r>
        <w:rPr>
          <w:rFonts w:ascii="Times New Roman" w:cs="Times New Roman" w:eastAsia="Times New Roman" w:hAnsi="Times New Roman"/>
          <w:b/>
          <w:bCs/>
          <w:color w:val="000000"/>
          <w:sz w:val="24"/>
          <w:szCs w:val="24"/>
        </w:rPr>
        <w:t xml:space="preserve">4.4.1 Acquisition of Crabs and Disposal of the Catch</w:t>
      </w:r>
    </w:p>
    <w:p>
      <w:pPr>
        <w:spacing w:after="0" w:before="240" w:line="240"/>
      </w:pPr>
      <w:r>
        <w:rPr>
          <w:rFonts w:ascii="Times New Roman" w:cs="Times New Roman" w:eastAsia="Times New Roman" w:hAnsi="Times New Roman"/>
          <w:b/>
          <w:bCs/>
          <w:color w:val="000000"/>
          <w:sz w:val="24"/>
          <w:szCs w:val="24"/>
        </w:rPr>
        <w:t xml:space="preserve">Table 17</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Source of crabs for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divides the chain at its first joint. Every fisher obtained crabs by catching them and every middleman, hotelier and exporter obtained them by purchase, with no exception at any site.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r>
        <w:rPr>
          <w:rFonts w:ascii="Times New Roman" w:cs="Times New Roman" w:eastAsia="Times New Roman" w:hAnsi="Times New Roman"/>
          <w:b/>
          <w:bCs/>
          <w:color w:val="000000"/>
          <w:sz w:val="24"/>
          <w:szCs w:val="24"/>
        </w:rPr>
        <w:t xml:space="preserve">Figure 12</w:t>
      </w:r>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10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002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Percentages are valid percentages within the actor category.</w:t>
      </w:r>
    </w:p>
    <w:p>
      <w:pPr>
        <w:spacing w:after="0" w:before="240" w:line="240"/>
      </w:pPr>
      <w:r>
        <w:rPr>
          <w:rFonts w:ascii="Times New Roman" w:cs="Times New Roman" w:eastAsia="Times New Roman" w:hAnsi="Times New Roman"/>
          <w:b/>
          <w:bCs/>
          <w:color w:val="000000"/>
          <w:sz w:val="24"/>
          <w:szCs w:val="24"/>
        </w:rPr>
        <w:t xml:space="preserve">Table 18</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Used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Fishing or collection gear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 (72.3%)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w:t>
      </w:r>
    </w:p>
    <w:p>
      <w:pPr>
        <w:spacing w:after="0" w:before="240" w:line="240"/>
      </w:pPr>
      <w:r>
        <w:rPr>
          <w:rFonts w:ascii="Times New Roman" w:cs="Times New Roman" w:eastAsia="Times New Roman" w:hAnsi="Times New Roman"/>
          <w:b/>
          <w:bCs/>
          <w:color w:val="000000"/>
          <w:sz w:val="24"/>
          <w:szCs w:val="24"/>
        </w:rPr>
        <w:t xml:space="preserve">Figure 13</w:t>
      </w:r>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10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765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Hand collection was the dominant method at all four sites.</w:t>
      </w:r>
    </w:p>
    <w:p>
      <w:pPr>
        <w:spacing w:after="0" w:before="240" w:line="240"/>
      </w:pPr>
      <w:r>
        <w:rPr>
          <w:rFonts w:ascii="Times New Roman" w:cs="Times New Roman" w:eastAsia="Times New Roman" w:hAnsi="Times New Roman"/>
          <w:b/>
          <w:bCs/>
          <w:color w:val="000000"/>
          <w:sz w:val="24"/>
          <w:szCs w:val="24"/>
        </w:rPr>
        <w:t xml:space="preserve">Table 19</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Reported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Daily mud crab catch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w:t>
      </w:r>
    </w:p>
    <w:p>
      <w:pPr>
        <w:spacing w:after="0" w:before="240" w:line="240"/>
      </w:pPr>
      <w:r>
        <w:rPr>
          <w:rFonts w:ascii="Times New Roman" w:cs="Times New Roman" w:eastAsia="Times New Roman" w:hAnsi="Times New Roman"/>
          <w:b/>
          <w:bCs/>
          <w:color w:val="000000"/>
          <w:sz w:val="24"/>
          <w:szCs w:val="24"/>
        </w:rPr>
        <w:t xml:space="preserve">Figure 14</w:t>
      </w:r>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10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7336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The 5–10 kg band was the most common at every site.</w:t>
      </w:r>
    </w:p>
    <w:p>
      <w:pPr>
        <w:spacing w:after="0" w:before="240" w:line="240"/>
      </w:pPr>
      <w:r>
        <w:rPr>
          <w:rFonts w:ascii="Times New Roman" w:cs="Times New Roman" w:eastAsia="Times New Roman" w:hAnsi="Times New Roman"/>
          <w:b/>
          <w:bCs/>
          <w:color w:val="000000"/>
          <w:sz w:val="24"/>
          <w:szCs w:val="24"/>
        </w:rPr>
        <w:t xml:space="preserve">Table 20</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w:t>
      </w:r>
    </w:p>
    <w:p>
      <w:pPr>
        <w:spacing w:after="0" w:before="240" w:line="240"/>
      </w:pPr>
      <w:r>
        <w:rPr>
          <w:rFonts w:ascii="Times New Roman" w:cs="Times New Roman" w:eastAsia="Times New Roman" w:hAnsi="Times New Roman"/>
          <w:b/>
          <w:bCs/>
          <w:color w:val="000000"/>
          <w:sz w:val="24"/>
          <w:szCs w:val="24"/>
        </w:rPr>
        <w:t xml:space="preserve">Figure 15</w:t>
      </w:r>
    </w:p>
    <w:p>
      <w:pPr>
        <w:spacing w:after="120" w:before="0" w:line="240"/>
      </w:pPr>
      <w:r>
        <w:rPr>
          <w:rFonts w:ascii="Times New Roman" w:cs="Times New Roman" w:eastAsia="Times New Roman" w:hAnsi="Times New Roman"/>
          <w:i/>
          <w:iCs/>
          <w:color w:val="000000"/>
          <w:sz w:val="24"/>
          <w:szCs w:val="24"/>
        </w:rPr>
        <w:t xml:space="preserve">Travel Time from Fishing Grounds to Market, Fishers by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Majoreni fishers reached the point of sale considerably faster than fishers elsewhere.</w:t>
      </w:r>
    </w:p>
    <w:p>
      <w:pPr>
        <w:spacing w:after="120" w:before="0" w:line="360"/>
        <w:jc w:val="both"/>
      </w:pPr>
      <w:r>
        <w:rPr>
          <w:rFonts w:ascii="Times New Roman" w:cs="Times New Roman" w:eastAsia="Times New Roman" w:hAnsi="Times New Roman"/>
          <w:color w:val="000000"/>
          <w:sz w:val="24"/>
          <w:szCs w:val="24"/>
        </w:rPr>
        <w:t xml:space="preserve">Tables 17 to 20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pPr>
      <w:r>
        <w:rPr>
          <w:rFonts w:ascii="Times New Roman" w:cs="Times New Roman" w:eastAsia="Times New Roman" w:hAnsi="Times New Roman"/>
          <w:b/>
          <w:bCs/>
          <w:color w:val="000000"/>
          <w:sz w:val="24"/>
          <w:szCs w:val="24"/>
        </w:rPr>
        <w:t xml:space="preserve">4.4.2 Buyers and Market Channels</w:t>
      </w:r>
    </w:p>
    <w:p>
      <w:pPr>
        <w:spacing w:after="0" w:before="240" w:line="240"/>
      </w:pPr>
      <w:r>
        <w:rPr>
          <w:rFonts w:ascii="Times New Roman" w:cs="Times New Roman" w:eastAsia="Times New Roman" w:hAnsi="Times New Roman"/>
          <w:b/>
          <w:bCs/>
          <w:color w:val="000000"/>
          <w:sz w:val="24"/>
          <w:szCs w:val="24"/>
        </w:rPr>
        <w:t xml:space="preserve">Table 21</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r>
        <w:rPr>
          <w:rFonts w:ascii="Times New Roman" w:cs="Times New Roman" w:eastAsia="Times New Roman" w:hAnsi="Times New Roman"/>
          <w:b/>
          <w:bCs/>
          <w:color w:val="000000"/>
          <w:sz w:val="24"/>
          <w:szCs w:val="24"/>
        </w:rPr>
        <w:t xml:space="preserve">Figure 16</w:t>
      </w:r>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10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428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sold exclusively to first-level middlemen; each downstream category had its own distinct main buyer.</w:t>
      </w:r>
    </w:p>
    <w:p>
      <w:pPr>
        <w:spacing w:after="0" w:before="240" w:line="240"/>
      </w:pPr>
      <w:r>
        <w:rPr>
          <w:rFonts w:ascii="Times New Roman" w:cs="Times New Roman" w:eastAsia="Times New Roman" w:hAnsi="Times New Roman"/>
          <w:b/>
          <w:bCs/>
          <w:color w:val="000000"/>
          <w:sz w:val="24"/>
          <w:szCs w:val="24"/>
        </w:rPr>
        <w:t xml:space="preserve">Table 22</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22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w:t>
      </w:r>
    </w:p>
    <w:p>
      <w:pPr>
        <w:spacing w:after="120" w:before="0" w:line="360"/>
        <w:jc w:val="both"/>
      </w:pPr>
      <w:r>
        <w:rPr>
          <w:rFonts w:ascii="Times New Roman" w:cs="Times New Roman" w:eastAsia="Times New Roman" w:hAnsi="Times New Roman"/>
          <w:color w:val="000000"/>
          <w:sz w:val="24"/>
          <w:szCs w:val="24"/>
        </w:rPr>
        <w:t xml:space="preserve">Tables 21 and 22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r>
        <w:rPr>
          <w:rFonts w:ascii="Times New Roman" w:cs="Times New Roman" w:eastAsia="Times New Roman" w:hAnsi="Times New Roman"/>
          <w:b/>
          <w:bCs/>
          <w:color w:val="000000"/>
          <w:sz w:val="24"/>
          <w:szCs w:val="24"/>
        </w:rPr>
        <w:t xml:space="preserve">Table 23</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r>
        <w:rPr>
          <w:rFonts w:ascii="Times New Roman" w:cs="Times New Roman" w:eastAsia="Times New Roman" w:hAnsi="Times New Roman"/>
          <w:b/>
          <w:bCs/>
          <w:color w:val="000000"/>
          <w:sz w:val="24"/>
          <w:szCs w:val="24"/>
        </w:rPr>
        <w:t xml:space="preserve">Table 24</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24,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22. Not one actor upstream of the final buyer could say where the crab went next. Combined with the absence of market research reported later in Table 44, it means no actor in this chain has sight of the price two steps ahead of their own transaction.</w:t>
      </w:r>
    </w:p>
    <w:p>
      <w:pPr>
        <w:spacing w:after="0" w:before="240" w:line="240"/>
      </w:pPr>
      <w:r>
        <w:rPr>
          <w:rFonts w:ascii="Times New Roman" w:cs="Times New Roman" w:eastAsia="Times New Roman" w:hAnsi="Times New Roman"/>
          <w:b/>
          <w:bCs/>
          <w:color w:val="000000"/>
          <w:sz w:val="24"/>
          <w:szCs w:val="24"/>
        </w:rPr>
        <w:t xml:space="preserve">Table 25</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25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r>
        <w:rPr>
          <w:rFonts w:ascii="Times New Roman" w:cs="Times New Roman" w:eastAsia="Times New Roman" w:hAnsi="Times New Roman"/>
          <w:b/>
          <w:bCs/>
          <w:color w:val="000000"/>
          <w:sz w:val="24"/>
          <w:szCs w:val="24"/>
        </w:rPr>
        <w:t xml:space="preserve">Table 26</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23 and is reported here rather than left out, because an absent alternative buyer is itself the finding.</w:t>
      </w:r>
    </w:p>
    <w:p>
      <w:pPr>
        <w:pStyle w:val="Heading3"/>
        <w:spacing w:after="120" w:before="240" w:line="360"/>
      </w:pPr>
      <w:r>
        <w:rPr>
          <w:rFonts w:ascii="Times New Roman" w:cs="Times New Roman" w:eastAsia="Times New Roman" w:hAnsi="Times New Roman"/>
          <w:b/>
          <w:bCs/>
          <w:color w:val="000000"/>
          <w:sz w:val="24"/>
          <w:szCs w:val="24"/>
        </w:rPr>
        <w:t xml:space="preserve">4.4.3 Preparation, Packaging and Transport</w:t>
      </w:r>
    </w:p>
    <w:p>
      <w:pPr>
        <w:spacing w:after="0" w:before="240" w:line="240"/>
      </w:pPr>
      <w:r>
        <w:rPr>
          <w:rFonts w:ascii="Times New Roman" w:cs="Times New Roman" w:eastAsia="Times New Roman" w:hAnsi="Times New Roman"/>
          <w:b/>
          <w:bCs/>
          <w:color w:val="000000"/>
          <w:sz w:val="24"/>
          <w:szCs w:val="24"/>
        </w:rPr>
        <w:t xml:space="preserve">Table 27</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Preparation of mud crabs for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27, preparation became more elaborate at each step. All 65 fishers prepared crabs by tying the claws; 21 of 22 middlemen (95.5%) cleaned, sorted and graded; all five hoteliers processed for the kitchen; and all four exporters cleaned, sorted and graded for consignment. Preservation was reported only by the hoteliers, all five of whom froze the product; no fisher, middleman or exporter preserved or processed at all. Preparation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17</w:t>
      </w:r>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1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95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Preparation moves from tying claws at the harvesting node to cleaning, sorting and grading downstream.</w:t>
      </w:r>
    </w:p>
    <w:p>
      <w:pPr>
        <w:spacing w:after="0" w:before="240" w:line="240"/>
      </w:pPr>
      <w:r>
        <w:rPr>
          <w:rFonts w:ascii="Times New Roman" w:cs="Times New Roman" w:eastAsia="Times New Roman" w:hAnsi="Times New Roman"/>
          <w:b/>
          <w:bCs/>
          <w:color w:val="000000"/>
          <w:sz w:val="24"/>
          <w:szCs w:val="24"/>
        </w:rPr>
        <w:t xml:space="preserve">Table 28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Transporting Mud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Packaging used for transportation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(32.3%)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w:t>
      </w:r>
    </w:p>
    <w:p>
      <w:pPr>
        <w:spacing w:after="0" w:before="240" w:line="240"/>
      </w:pPr>
      <w:r>
        <w:rPr>
          <w:rFonts w:ascii="Times New Roman" w:cs="Times New Roman" w:eastAsia="Times New Roman" w:hAnsi="Times New Roman"/>
          <w:b/>
          <w:bCs/>
          <w:color w:val="000000"/>
          <w:sz w:val="24"/>
          <w:szCs w:val="24"/>
        </w:rPr>
        <w:t xml:space="preserve">Figure 18</w:t>
      </w:r>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 because they purchased at their own premises.</w:t>
      </w:r>
    </w:p>
    <w:p>
      <w:pPr>
        <w:spacing w:after="0" w:before="240" w:line="240"/>
      </w:pPr>
      <w:r>
        <w:rPr>
          <w:rFonts w:ascii="Times New Roman" w:cs="Times New Roman" w:eastAsia="Times New Roman" w:hAnsi="Times New Roman"/>
          <w:b/>
          <w:bCs/>
          <w:color w:val="000000"/>
          <w:sz w:val="24"/>
          <w:szCs w:val="24"/>
        </w:rPr>
        <w:t xml:space="preserve">Table 29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transporting mud crabs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 (87.7%)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(77.3%)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follows the same ladder. Fishers travelled on foot (57, 87.7%) or by motorcycle (8, 12.3%); middlemen used vehicles (17, 77.3%) or motorised boats (4, 18.2%), with one on foot; and all four exporters used air freight. Transport was not associated with BMU for fishers (p = .388) or middlemen (p = .402).</w:t>
      </w:r>
    </w:p>
    <w:p>
      <w:pPr>
        <w:spacing w:after="0" w:before="240" w:line="240"/>
      </w:pPr>
      <w:r>
        <w:rPr>
          <w:rFonts w:ascii="Times New Roman" w:cs="Times New Roman" w:eastAsia="Times New Roman" w:hAnsi="Times New Roman"/>
          <w:b/>
          <w:bCs/>
          <w:color w:val="000000"/>
          <w:sz w:val="24"/>
          <w:szCs w:val="24"/>
        </w:rPr>
        <w:t xml:space="preserve">Figure 19</w:t>
      </w:r>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10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4574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w:t>
      </w:r>
    </w:p>
    <w:p>
      <w:pPr>
        <w:spacing w:after="120" w:before="0" w:line="360"/>
        <w:jc w:val="both"/>
      </w:pPr>
      <w:r>
        <w:rPr>
          <w:rFonts w:ascii="Times New Roman" w:cs="Times New Roman" w:eastAsia="Times New Roman" w:hAnsi="Times New Roman"/>
          <w:color w:val="000000"/>
          <w:sz w:val="24"/>
          <w:szCs w:val="24"/>
        </w:rPr>
        <w:t xml:space="preserve">Tables 23 to 25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w:t>
      </w:r>
    </w:p>
    <w:p>
      <w:pPr>
        <w:pStyle w:val="Heading3"/>
        <w:spacing w:after="120" w:before="240" w:line="360"/>
      </w:pPr>
      <w:r>
        <w:rPr>
          <w:rFonts w:ascii="Times New Roman" w:cs="Times New Roman" w:eastAsia="Times New Roman" w:hAnsi="Times New Roman"/>
          <w:b/>
          <w:bCs/>
          <w:color w:val="000000"/>
          <w:sz w:val="24"/>
          <w:szCs w:val="24"/>
        </w:rPr>
        <w:t xml:space="preserve">4.4.4 Grading and Quality Control</w:t>
      </w:r>
    </w:p>
    <w:p>
      <w:pPr>
        <w:spacing w:after="0" w:before="240" w:line="240"/>
      </w:pPr>
      <w:r>
        <w:rPr>
          <w:rFonts w:ascii="Times New Roman" w:cs="Times New Roman" w:eastAsia="Times New Roman" w:hAnsi="Times New Roman"/>
          <w:b/>
          <w:bCs/>
          <w:color w:val="000000"/>
          <w:sz w:val="24"/>
          <w:szCs w:val="24"/>
        </w:rPr>
        <w:t xml:space="preserve">Table 30</w:t>
      </w:r>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Criteria used to determine grade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records the single most consequential functional difference in the chapter. Every one of the 96 respondents, at every site, said they graded mud crabs. They did not grade by the same rule.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r>
        <w:rPr>
          <w:rFonts w:ascii="Times New Roman" w:cs="Times New Roman" w:eastAsia="Times New Roman" w:hAnsi="Times New Roman"/>
          <w:b/>
          <w:bCs/>
          <w:color w:val="000000"/>
          <w:sz w:val="24"/>
          <w:szCs w:val="24"/>
        </w:rPr>
        <w:t xml:space="preserve">Figure 20</w:t>
      </w:r>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10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7811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graded on weight alone; every other category used a four-criterion rule.</w:t>
      </w:r>
    </w:p>
    <w:p>
      <w:pPr>
        <w:spacing w:after="0" w:before="240" w:line="240"/>
      </w:pPr>
      <w:r>
        <w:rPr>
          <w:rFonts w:ascii="Times New Roman" w:cs="Times New Roman" w:eastAsia="Times New Roman" w:hAnsi="Times New Roman"/>
          <w:b/>
          <w:bCs/>
          <w:color w:val="000000"/>
          <w:sz w:val="24"/>
          <w:szCs w:val="24"/>
        </w:rPr>
        <w:t xml:space="preserve">Table 31</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pPr>
        <w:spacing w:after="0" w:before="240" w:line="240"/>
      </w:pPr>
      <w:r>
        <w:rPr>
          <w:rFonts w:ascii="Times New Roman" w:cs="Times New Roman" w:eastAsia="Times New Roman" w:hAnsi="Times New Roman"/>
          <w:b/>
          <w:bCs/>
          <w:color w:val="000000"/>
          <w:sz w:val="24"/>
          <w:szCs w:val="24"/>
        </w:rPr>
        <w:t xml:space="preserve">Table 32</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r>
        <w:rPr>
          <w:rFonts w:ascii="Times New Roman" w:cs="Times New Roman" w:eastAsia="Times New Roman" w:hAnsi="Times New Roman"/>
          <w:b/>
          <w:bCs/>
          <w:color w:val="000000"/>
          <w:sz w:val="24"/>
          <w:szCs w:val="24"/>
        </w:rPr>
        <w:t xml:space="preserve">Figure 21</w:t>
      </w:r>
    </w:p>
    <w:p>
      <w:pPr>
        <w:spacing w:after="120" w:before="0" w:line="240"/>
      </w:pPr>
      <w:r>
        <w:rPr>
          <w:rFonts w:ascii="Times New Roman" w:cs="Times New Roman" w:eastAsia="Times New Roman" w:hAnsi="Times New Roman"/>
          <w:i/>
          <w:iCs/>
          <w:color w:val="000000"/>
          <w:sz w:val="24"/>
          <w:szCs w:val="24"/>
        </w:rPr>
        <w:t xml:space="preserve">Large-Crab Size Label Reported by Fishers Within Each BMU</w:t>
      </w:r>
    </w:p>
    <w:p>
      <w:pPr>
        <w:spacing w:after="10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527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using each label. The Other sites group is excluded from the site comparison.</w:t>
      </w:r>
    </w:p>
    <w:p>
      <w:pPr>
        <w:spacing w:after="0" w:before="240" w:line="240"/>
      </w:pPr>
      <w:r>
        <w:rPr>
          <w:rFonts w:ascii="Times New Roman" w:cs="Times New Roman" w:eastAsia="Times New Roman" w:hAnsi="Times New Roman"/>
          <w:b/>
          <w:bCs/>
          <w:color w:val="000000"/>
          <w:sz w:val="24"/>
          <w:szCs w:val="24"/>
        </w:rPr>
        <w:t xml:space="preserve">Table 33</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r>
        <w:rPr>
          <w:rFonts w:ascii="Times New Roman" w:cs="Times New Roman" w:eastAsia="Times New Roman" w:hAnsi="Times New Roman"/>
          <w:b/>
          <w:bCs/>
          <w:color w:val="000000"/>
          <w:sz w:val="24"/>
          <w:szCs w:val="24"/>
        </w:rPr>
        <w:t xml:space="preserve">Table 34</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34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26 to 30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pPr>
      <w:r>
        <w:rPr>
          <w:rFonts w:ascii="Times New Roman" w:cs="Times New Roman" w:eastAsia="Times New Roman" w:hAnsi="Times New Roman"/>
          <w:b/>
          <w:bCs/>
          <w:color w:val="000000"/>
          <w:sz w:val="24"/>
          <w:szCs w:val="24"/>
        </w:rPr>
        <w:t xml:space="preserve">4.4.5 Reported Losses</w:t>
      </w:r>
    </w:p>
    <w:p>
      <w:pPr>
        <w:spacing w:after="0" w:before="240" w:line="240"/>
      </w:pPr>
      <w:r>
        <w:rPr>
          <w:rFonts w:ascii="Times New Roman" w:cs="Times New Roman" w:eastAsia="Times New Roman" w:hAnsi="Times New Roman"/>
          <w:b/>
          <w:bCs/>
          <w:color w:val="000000"/>
          <w:sz w:val="24"/>
          <w:szCs w:val="24"/>
        </w:rPr>
        <w:t xml:space="preserve">Table 35</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daily mortality quantity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22</w:t>
      </w:r>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reported no mortality because crabs were frozen on arrival.</w:t>
      </w:r>
    </w:p>
    <w:p>
      <w:pPr>
        <w:spacing w:after="0" w:before="240" w:line="240"/>
      </w:pPr>
      <w:r>
        <w:rPr>
          <w:rFonts w:ascii="Times New Roman" w:cs="Times New Roman" w:eastAsia="Times New Roman" w:hAnsi="Times New Roman"/>
          <w:b/>
          <w:bCs/>
          <w:color w:val="000000"/>
          <w:sz w:val="24"/>
          <w:szCs w:val="24"/>
        </w:rPr>
        <w:t xml:space="preserve">Table 36</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36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pPr>
        <w:spacing w:after="120" w:before="0" w:line="360"/>
        <w:jc w:val="both"/>
      </w:pPr>
      <w:r>
        <w:rPr>
          <w:rFonts w:ascii="Times New Roman" w:cs="Times New Roman" w:eastAsia="Times New Roman" w:hAnsi="Times New Roman"/>
          <w:color w:val="000000"/>
          <w:sz w:val="24"/>
          <w:szCs w:val="24"/>
        </w:rPr>
        <w:t xml:space="preserve">Read together, Tables 31 and 32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pPr>
      <w:r>
        <w:rPr>
          <w:rFonts w:ascii="Times New Roman" w:cs="Times New Roman" w:eastAsia="Times New Roman" w:hAnsi="Times New Roman"/>
          <w:b/>
          <w:bCs/>
          <w:color w:val="000000"/>
          <w:sz w:val="24"/>
          <w:szCs w:val="24"/>
        </w:rPr>
        <w:t xml:space="preserve">4.4.6 Payment, Price Setting and Sale Location</w:t>
      </w:r>
    </w:p>
    <w:p>
      <w:pPr>
        <w:spacing w:after="0" w:before="240" w:line="240"/>
      </w:pPr>
      <w:r>
        <w:rPr>
          <w:rFonts w:ascii="Times New Roman" w:cs="Times New Roman" w:eastAsia="Times New Roman" w:hAnsi="Times New Roman"/>
          <w:b/>
          <w:bCs/>
          <w:color w:val="000000"/>
          <w:sz w:val="24"/>
          <w:szCs w:val="24"/>
        </w:rPr>
        <w:t xml:space="preserve">Table 37</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payment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 (46.2%)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(42.9%)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37,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r>
        <w:rPr>
          <w:rFonts w:ascii="Times New Roman" w:cs="Times New Roman" w:eastAsia="Times New Roman" w:hAnsi="Times New Roman"/>
          <w:b/>
          <w:bCs/>
          <w:color w:val="000000"/>
          <w:sz w:val="24"/>
          <w:szCs w:val="24"/>
        </w:rPr>
        <w:t xml:space="preserve">Figure 23</w:t>
      </w:r>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10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4003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The payment item was not completed by exporters.</w:t>
      </w:r>
    </w:p>
    <w:p>
      <w:pPr>
        <w:spacing w:after="0" w:before="240" w:line="240"/>
      </w:pPr>
      <w:r>
        <w:rPr>
          <w:rFonts w:ascii="Times New Roman" w:cs="Times New Roman" w:eastAsia="Times New Roman" w:hAnsi="Times New Roman"/>
          <w:b/>
          <w:bCs/>
          <w:color w:val="000000"/>
          <w:sz w:val="24"/>
          <w:szCs w:val="24"/>
        </w:rPr>
        <w:t xml:space="preserve">Table 38</w:t>
      </w:r>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prices are set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38 divides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pPr>
        <w:spacing w:after="0" w:before="240" w:line="240"/>
      </w:pPr>
      <w:r>
        <w:rPr>
          <w:rFonts w:ascii="Times New Roman" w:cs="Times New Roman" w:eastAsia="Times New Roman" w:hAnsi="Times New Roman"/>
          <w:b/>
          <w:bCs/>
          <w:color w:val="000000"/>
          <w:sz w:val="24"/>
          <w:szCs w:val="24"/>
        </w:rPr>
        <w:t xml:space="preserve">Figure 24</w:t>
      </w:r>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10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847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hoteliers described the price as fixed by the buyer; middlemen and exporters described their own pricing as competitive.</w:t>
      </w:r>
    </w:p>
    <w:p>
      <w:pPr>
        <w:spacing w:after="0" w:before="240" w:line="240"/>
      </w:pPr>
      <w:r>
        <w:rPr>
          <w:rFonts w:ascii="Times New Roman" w:cs="Times New Roman" w:eastAsia="Times New Roman" w:hAnsi="Times New Roman"/>
          <w:b/>
          <w:bCs/>
          <w:color w:val="000000"/>
          <w:sz w:val="24"/>
          <w:szCs w:val="24"/>
        </w:rPr>
        <w:t xml:space="preserve">Table 39</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39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w:t>
      </w:r>
    </w:p>
    <w:p>
      <w:pPr>
        <w:spacing w:after="120" w:before="0" w:line="360"/>
        <w:jc w:val="both"/>
      </w:pPr>
      <w:r>
        <w:rPr>
          <w:rFonts w:ascii="Times New Roman" w:cs="Times New Roman" w:eastAsia="Times New Roman" w:hAnsi="Times New Roman"/>
          <w:color w:val="000000"/>
          <w:sz w:val="24"/>
          <w:szCs w:val="24"/>
        </w:rPr>
        <w:t xml:space="preserve">Tables 37 to 39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pPr>
      <w:r>
        <w:rPr>
          <w:rFonts w:ascii="Times New Roman" w:cs="Times New Roman" w:eastAsia="Times New Roman" w:hAnsi="Times New Roman"/>
          <w:b/>
          <w:bCs/>
          <w:color w:val="000000"/>
          <w:sz w:val="24"/>
          <w:szCs w:val="24"/>
        </w:rPr>
        <w:t xml:space="preserve">4.4.7 Trading Relationships and Market Information</w:t>
      </w:r>
    </w:p>
    <w:p>
      <w:pPr>
        <w:spacing w:after="0" w:before="240" w:line="240"/>
      </w:pPr>
      <w:r>
        <w:rPr>
          <w:rFonts w:ascii="Times New Roman" w:cs="Times New Roman" w:eastAsia="Times New Roman" w:hAnsi="Times New Roman"/>
          <w:b/>
          <w:bCs/>
          <w:color w:val="000000"/>
          <w:sz w:val="24"/>
          <w:szCs w:val="24"/>
        </w:rPr>
        <w:t xml:space="preserve">Table 40</w:t>
      </w:r>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40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14, where 93.8% of fishers named a middleman as their source of credit, the two tables describe a single mechanism from both ends.</w:t>
      </w:r>
    </w:p>
    <w:p>
      <w:pPr>
        <w:spacing w:after="0" w:before="240" w:line="240"/>
      </w:pPr>
      <w:r>
        <w:rPr>
          <w:rFonts w:ascii="Times New Roman" w:cs="Times New Roman" w:eastAsia="Times New Roman" w:hAnsi="Times New Roman"/>
          <w:b/>
          <w:bCs/>
          <w:color w:val="000000"/>
          <w:sz w:val="24"/>
          <w:szCs w:val="24"/>
        </w:rPr>
        <w:t xml:space="preserve">Table 41</w:t>
      </w:r>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41,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40, the pattern is that obligations become more commercial further down the chain. A fisher is held by an advance; a middleman is held by a quantity he has undertaken to deliver. Neither is a written contract in the ordinary sense, and Table 42 shows that only one of the ten fishers who answered reported having any trading agreement at all.</w:t>
      </w:r>
    </w:p>
    <w:p>
      <w:pPr>
        <w:spacing w:after="0" w:before="240" w:line="240"/>
      </w:pPr>
      <w:r>
        <w:rPr>
          <w:rFonts w:ascii="Times New Roman" w:cs="Times New Roman" w:eastAsia="Times New Roman" w:hAnsi="Times New Roman"/>
          <w:b/>
          <w:bCs/>
          <w:color w:val="000000"/>
          <w:sz w:val="24"/>
          <w:szCs w:val="24"/>
        </w:rPr>
        <w:t xml:space="preserve">Table 42</w:t>
      </w:r>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42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r>
        <w:rPr>
          <w:rFonts w:ascii="Times New Roman" w:cs="Times New Roman" w:eastAsia="Times New Roman" w:hAnsi="Times New Roman"/>
          <w:b/>
          <w:bCs/>
          <w:color w:val="000000"/>
          <w:sz w:val="24"/>
          <w:szCs w:val="24"/>
        </w:rPr>
        <w:t xml:space="preserve">Table 43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43,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r>
        <w:rPr>
          <w:rFonts w:ascii="Times New Roman" w:cs="Times New Roman" w:eastAsia="Times New Roman" w:hAnsi="Times New Roman"/>
          <w:b/>
          <w:bCs/>
          <w:color w:val="000000"/>
          <w:sz w:val="24"/>
          <w:szCs w:val="24"/>
        </w:rPr>
        <w:t xml:space="preserve">Table 44</w:t>
      </w:r>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44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36 to 38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pPr>
      <w:r>
        <w:rPr>
          <w:rFonts w:ascii="Times New Roman" w:cs="Times New Roman" w:eastAsia="Times New Roman" w:hAnsi="Times New Roman"/>
          <w:b/>
          <w:bCs/>
          <w:color w:val="000000"/>
          <w:sz w:val="24"/>
          <w:szCs w:val="24"/>
        </w:rPr>
        <w:t xml:space="preserve">4.4.8 Reported Mud Crab Prices</w:t>
      </w:r>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r>
        <w:rPr>
          <w:rFonts w:ascii="Times New Roman" w:cs="Times New Roman" w:eastAsia="Times New Roman" w:hAnsi="Times New Roman"/>
          <w:b/>
          <w:bCs/>
          <w:color w:val="000000"/>
          <w:sz w:val="24"/>
          <w:szCs w:val="24"/>
        </w:rPr>
        <w:t xml:space="preserve">Table 45</w:t>
      </w:r>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45,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r>
        <w:rPr>
          <w:rFonts w:ascii="Times New Roman" w:cs="Times New Roman" w:eastAsia="Times New Roman" w:hAnsi="Times New Roman"/>
          <w:b/>
          <w:bCs/>
          <w:color w:val="000000"/>
          <w:sz w:val="24"/>
          <w:szCs w:val="24"/>
        </w:rPr>
        <w:t xml:space="preserve">Table 46</w:t>
      </w:r>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46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0" w:before="240" w:line="240"/>
      </w:pPr>
      <w:r>
        <w:rPr>
          <w:rFonts w:ascii="Times New Roman" w:cs="Times New Roman" w:eastAsia="Times New Roman" w:hAnsi="Times New Roman"/>
          <w:b/>
          <w:bCs/>
          <w:color w:val="000000"/>
          <w:sz w:val="24"/>
          <w:szCs w:val="24"/>
        </w:rPr>
        <w:t xml:space="preserve">Figure 25</w:t>
      </w:r>
    </w:p>
    <w:p>
      <w:pPr>
        <w:spacing w:after="120" w:before="0" w:line="240"/>
      </w:pPr>
      <w:r>
        <w:rPr>
          <w:rFonts w:ascii="Times New Roman" w:cs="Times New Roman" w:eastAsia="Times New Roman" w:hAnsi="Times New Roman"/>
          <w:i/>
          <w:iCs/>
          <w:color w:val="000000"/>
          <w:sz w:val="24"/>
          <w:szCs w:val="24"/>
        </w:rPr>
        <w:t xml:space="preserve">Mean Reported Mud Crab Price by Actor Category and Size Grade</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price in KSh per kilogram and error bars show ±1 standard deviation. Small-grade prices were reported only by fishers. The hotelier medium-grade mean of KSh 380 is discussed below.</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pPr>
        <w:pStyle w:val="Heading3"/>
        <w:spacing w:after="120" w:before="240" w:line="360"/>
      </w:pPr>
      <w:r>
        <w:rPr>
          <w:rFonts w:ascii="Times New Roman" w:cs="Times New Roman" w:eastAsia="Times New Roman" w:hAnsi="Times New Roman"/>
          <w:b/>
          <w:bCs/>
          <w:color w:val="000000"/>
          <w:sz w:val="24"/>
          <w:szCs w:val="24"/>
        </w:rPr>
        <w:t xml:space="preserve">4.4.9 Marketing Margins and the Distribution of Value</w:t>
      </w:r>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r>
        <w:rPr>
          <w:rFonts w:ascii="Times New Roman" w:cs="Times New Roman" w:eastAsia="Times New Roman" w:hAnsi="Times New Roman"/>
          <w:b/>
          <w:bCs/>
          <w:color w:val="000000"/>
          <w:sz w:val="24"/>
          <w:szCs w:val="24"/>
        </w:rPr>
        <w:t xml:space="preserve">Table 47</w:t>
      </w:r>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47,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0" w:before="240" w:line="240"/>
      </w:pPr>
      <w:r>
        <w:rPr>
          <w:rFonts w:ascii="Times New Roman" w:cs="Times New Roman" w:eastAsia="Times New Roman" w:hAnsi="Times New Roman"/>
          <w:b/>
          <w:bCs/>
          <w:color w:val="000000"/>
          <w:sz w:val="24"/>
          <w:szCs w:val="24"/>
        </w:rPr>
        <w:t xml:space="preserve">Figure 26</w:t>
      </w:r>
    </w:p>
    <w:p>
      <w:pPr>
        <w:spacing w:after="120" w:before="0" w:line="240"/>
      </w:pPr>
      <w:r>
        <w:rPr>
          <w:rFonts w:ascii="Times New Roman" w:cs="Times New Roman" w:eastAsia="Times New Roman" w:hAnsi="Times New Roman"/>
          <w:i/>
          <w:iCs/>
          <w:color w:val="000000"/>
          <w:sz w:val="24"/>
          <w:szCs w:val="24"/>
        </w:rPr>
        <w:t xml:space="preserve">Share of the Final Chain Price Held at Each Actor Node, by Size Grade and Outlet</w:t>
      </w:r>
    </w:p>
    <w:p>
      <w:pPr>
        <w:spacing w:after="10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194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show the share of the end-of-chain price retained by the fisher, added between the fisher and the middleman, and added between the middleman and the final buyer. Shares sum to 100% within each bar. Because no cost data were collected these are gross price spreads and not net margins. The medium grade sold on to hoteliers is not shown, for the reason given above.</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w:t>
      </w:r>
    </w:p>
    <w:p>
      <w:pPr>
        <w:pStyle w:val="Heading3"/>
        <w:spacing w:after="120" w:before="240" w:line="360"/>
      </w:pPr>
      <w:r>
        <w:rPr>
          <w:rFonts w:ascii="Times New Roman" w:cs="Times New Roman" w:eastAsia="Times New Roman" w:hAnsi="Times New Roman"/>
          <w:b/>
          <w:bCs/>
          <w:color w:val="000000"/>
          <w:sz w:val="24"/>
          <w:szCs w:val="24"/>
        </w:rPr>
        <w:t xml:space="preserve">4.4.10 Prices by Study Site</w:t>
      </w:r>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r>
        <w:rPr>
          <w:rFonts w:ascii="Times New Roman" w:cs="Times New Roman" w:eastAsia="Times New Roman" w:hAnsi="Times New Roman"/>
          <w:b/>
          <w:bCs/>
          <w:color w:val="000000"/>
          <w:sz w:val="24"/>
          <w:szCs w:val="24"/>
        </w:rPr>
        <w:t xml:space="preserve">Table 48</w:t>
      </w:r>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48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46,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r>
        <w:rPr>
          <w:rFonts w:ascii="Times New Roman" w:cs="Times New Roman" w:eastAsia="Times New Roman" w:hAnsi="Times New Roman"/>
          <w:b/>
          <w:bCs/>
          <w:color w:val="000000"/>
          <w:sz w:val="24"/>
          <w:szCs w:val="24"/>
        </w:rPr>
        <w:t xml:space="preserve">Figure 27</w:t>
      </w:r>
    </w:p>
    <w:p>
      <w:pPr>
        <w:spacing w:after="120" w:before="0" w:line="240"/>
      </w:pPr>
      <w:r>
        <w:rPr>
          <w:rFonts w:ascii="Times New Roman" w:cs="Times New Roman" w:eastAsia="Times New Roman" w:hAnsi="Times New Roman"/>
          <w:i/>
          <w:iCs/>
          <w:color w:val="000000"/>
          <w:sz w:val="24"/>
          <w:szCs w:val="24"/>
        </w:rPr>
        <w:t xml:space="preserve">Mean Large-Crab Price by Actor Category and BMU</w:t>
      </w:r>
    </w:p>
    <w:p>
      <w:pPr>
        <w:spacing w:after="1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336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large-crab price in KSh per kilogram. A missing bar means no respondent of that actor category was sampled at that site. The single Shimoni hotelier and the Other sites group rest on very small numbers.</w:t>
      </w:r>
    </w:p>
    <w:p>
      <w:pPr>
        <w:spacing w:after="0" w:before="240" w:line="240"/>
      </w:pPr>
      <w:r>
        <w:rPr>
          <w:rFonts w:ascii="Times New Roman" w:cs="Times New Roman" w:eastAsia="Times New Roman" w:hAnsi="Times New Roman"/>
          <w:b/>
          <w:bCs/>
          <w:color w:val="000000"/>
          <w:sz w:val="24"/>
          <w:szCs w:val="24"/>
        </w:rPr>
        <w:t xml:space="preserve">Table 49</w:t>
      </w:r>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w:t>
      </w:r>
    </w:p>
    <w:p>
      <w:pPr>
        <w:spacing w:after="0" w:before="240" w:line="240"/>
      </w:pPr>
      <w:r>
        <w:rPr>
          <w:rFonts w:ascii="Times New Roman" w:cs="Times New Roman" w:eastAsia="Times New Roman" w:hAnsi="Times New Roman"/>
          <w:b/>
          <w:bCs/>
          <w:color w:val="000000"/>
          <w:sz w:val="24"/>
          <w:szCs w:val="24"/>
        </w:rPr>
        <w:t xml:space="preserve">Figure 28</w:t>
      </w:r>
    </w:p>
    <w:p>
      <w:pPr>
        <w:spacing w:after="120" w:before="0" w:line="240"/>
      </w:pPr>
      <w:r>
        <w:rPr>
          <w:rFonts w:ascii="Times New Roman" w:cs="Times New Roman" w:eastAsia="Times New Roman" w:hAnsi="Times New Roman"/>
          <w:i/>
          <w:iCs/>
          <w:color w:val="000000"/>
          <w:sz w:val="24"/>
          <w:szCs w:val="24"/>
        </w:rPr>
        <w:t xml:space="preserve">Fisher Price as a Percentage of the Middleman Price Within Each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fisher mean expressed as a percentage of the middleman mean for the same grade at the same site. A taller bar means a narrower gap between the two nodes. Msambweni and the Other sites group are absent because no middleman was sampled there.</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20 that Majoreni fishers reached the point of sale fastest, which is consistent with, though not proof of, a shorter and more competitive first-sale market there.</w:t>
      </w:r>
    </w:p>
    <w:p>
      <w:pPr>
        <w:pStyle w:val="Heading3"/>
        <w:spacing w:after="120" w:before="240" w:line="360"/>
      </w:pPr>
      <w:r>
        <w:rPr>
          <w:rFonts w:ascii="Times New Roman" w:cs="Times New Roman" w:eastAsia="Times New Roman" w:hAnsi="Times New Roman"/>
          <w:b/>
          <w:bCs/>
          <w:color w:val="000000"/>
          <w:sz w:val="24"/>
          <w:szCs w:val="24"/>
        </w:rPr>
        <w:t xml:space="preserve">4.4.11 Summary of Objective Two</w:t>
      </w:r>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pPr>
      <w:r>
        <w:rPr>
          <w:rFonts w:ascii="Times New Roman" w:cs="Times New Roman" w:eastAsia="Times New Roman" w:hAnsi="Times New Roman"/>
          <w:b/>
          <w:bCs/>
          <w:color w:val="000000"/>
          <w:sz w:val="24"/>
          <w:szCs w:val="24"/>
        </w:rPr>
        <w:t xml:space="preserve">4.4.12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Table 35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pPr>
      <w:r>
        <w:rPr>
          <w:rFonts w:ascii="Times New Roman" w:cs="Times New Roman" w:eastAsia="Times New Roman" w:hAnsi="Times New Roman"/>
          <w:b/>
          <w:bCs/>
          <w:color w:val="000000"/>
          <w:sz w:val="26"/>
          <w:szCs w:val="26"/>
        </w:rPr>
        <w:t xml:space="preserve">4.5 Objective Three: Constraints and Opportunities Facing Each Actor Category</w:t>
      </w:r>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pPr>
      <w:r>
        <w:rPr>
          <w:rFonts w:ascii="Times New Roman" w:cs="Times New Roman" w:eastAsia="Times New Roman" w:hAnsi="Times New Roman"/>
          <w:b/>
          <w:bCs/>
          <w:color w:val="000000"/>
          <w:sz w:val="24"/>
          <w:szCs w:val="24"/>
        </w:rPr>
        <w:t xml:space="preserve">4.5.1 Operational and Infrastructure Constraints</w:t>
      </w:r>
    </w:p>
    <w:p>
      <w:pPr>
        <w:spacing w:after="0" w:before="240" w:line="240"/>
      </w:pPr>
      <w:r>
        <w:rPr>
          <w:rFonts w:ascii="Times New Roman" w:cs="Times New Roman" w:eastAsia="Times New Roman" w:hAnsi="Times New Roman"/>
          <w:b/>
          <w:bCs/>
          <w:color w:val="000000"/>
          <w:sz w:val="24"/>
          <w:szCs w:val="24"/>
        </w:rPr>
        <w:t xml:space="preserve">Table 50</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r>
        <w:rPr>
          <w:rFonts w:ascii="Times New Roman" w:cs="Times New Roman" w:eastAsia="Times New Roman" w:hAnsi="Times New Roman"/>
          <w:b/>
          <w:bCs/>
          <w:color w:val="000000"/>
          <w:sz w:val="24"/>
          <w:szCs w:val="24"/>
        </w:rPr>
        <w:t xml:space="preserve">Figure 29</w:t>
      </w:r>
    </w:p>
    <w:p>
      <w:pPr>
        <w:spacing w:after="120" w:before="0" w:line="240"/>
      </w:pPr>
      <w:r>
        <w:rPr>
          <w:rFonts w:ascii="Times New Roman" w:cs="Times New Roman" w:eastAsia="Times New Roman" w:hAnsi="Times New Roman"/>
          <w:i/>
          <w:iCs/>
          <w:color w:val="000000"/>
          <w:sz w:val="24"/>
          <w:szCs w:val="24"/>
        </w:rPr>
        <w:t xml:space="preserve">Main Operational or Marketing Constraint by Actor Category</w:t>
      </w:r>
    </w:p>
    <w:p>
      <w:pPr>
        <w:spacing w:after="10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669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Each actor category named a different dominant constraint.</w:t>
      </w:r>
    </w:p>
    <w:p>
      <w:pPr>
        <w:spacing w:after="0" w:before="240" w:line="240"/>
      </w:pPr>
      <w:r>
        <w:rPr>
          <w:rFonts w:ascii="Times New Roman" w:cs="Times New Roman" w:eastAsia="Times New Roman" w:hAnsi="Times New Roman"/>
          <w:b/>
          <w:bCs/>
          <w:color w:val="000000"/>
          <w:sz w:val="24"/>
          <w:szCs w:val="24"/>
        </w:rPr>
        <w:t xml:space="preserve">Figure 30</w:t>
      </w:r>
    </w:p>
    <w:p>
      <w:pPr>
        <w:spacing w:after="120" w:before="0" w:line="240"/>
      </w:pPr>
      <w:r>
        <w:rPr>
          <w:rFonts w:ascii="Times New Roman" w:cs="Times New Roman" w:eastAsia="Times New Roman" w:hAnsi="Times New Roman"/>
          <w:i/>
          <w:iCs/>
          <w:color w:val="000000"/>
          <w:sz w:val="24"/>
          <w:szCs w:val="24"/>
        </w:rPr>
        <w:t xml:space="preserve">Main Constraint Reported by Middlemen Within Each BMU</w:t>
      </w:r>
    </w:p>
    <w:p>
      <w:pPr>
        <w:spacing w:after="10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860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middlemen within each BMU. No middleman was sampled at Msambweni.</w:t>
      </w:r>
    </w:p>
    <w:p>
      <w:pPr>
        <w:spacing w:after="0" w:before="240" w:line="240"/>
      </w:pPr>
      <w:r>
        <w:rPr>
          <w:rFonts w:ascii="Times New Roman" w:cs="Times New Roman" w:eastAsia="Times New Roman" w:hAnsi="Times New Roman"/>
          <w:b/>
          <w:bCs/>
          <w:color w:val="000000"/>
          <w:sz w:val="24"/>
          <w:szCs w:val="24"/>
        </w:rPr>
        <w:t xml:space="preserve">Table 51</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infrastructure or logistics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51 shows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r>
        <w:rPr>
          <w:rFonts w:ascii="Times New Roman" w:cs="Times New Roman" w:eastAsia="Times New Roman" w:hAnsi="Times New Roman"/>
          <w:b/>
          <w:bCs/>
          <w:color w:val="000000"/>
          <w:sz w:val="24"/>
          <w:szCs w:val="24"/>
        </w:rPr>
        <w:t xml:space="preserve">Figure 31</w:t>
      </w:r>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10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336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Tables 44 and 45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pPr>
      <w:r>
        <w:rPr>
          <w:rFonts w:ascii="Times New Roman" w:cs="Times New Roman" w:eastAsia="Times New Roman" w:hAnsi="Times New Roman"/>
          <w:b/>
          <w:bCs/>
          <w:color w:val="000000"/>
          <w:sz w:val="24"/>
          <w:szCs w:val="24"/>
        </w:rPr>
        <w:t xml:space="preserve">4.5.2 Market Access, Operational Challenges and Risk</w:t>
      </w:r>
    </w:p>
    <w:p>
      <w:pPr>
        <w:spacing w:after="0" w:before="240" w:line="240"/>
      </w:pPr>
      <w:r>
        <w:rPr>
          <w:rFonts w:ascii="Times New Roman" w:cs="Times New Roman" w:eastAsia="Times New Roman" w:hAnsi="Times New Roman"/>
          <w:b/>
          <w:bCs/>
          <w:color w:val="000000"/>
          <w:sz w:val="24"/>
          <w:szCs w:val="24"/>
        </w:rPr>
        <w:t xml:space="preserve">Table 52</w:t>
      </w:r>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52,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r>
        <w:rPr>
          <w:rFonts w:ascii="Times New Roman" w:cs="Times New Roman" w:eastAsia="Times New Roman" w:hAnsi="Times New Roman"/>
          <w:b/>
          <w:bCs/>
          <w:color w:val="000000"/>
          <w:sz w:val="24"/>
          <w:szCs w:val="24"/>
        </w:rPr>
        <w:t xml:space="preserve">Table 53</w:t>
      </w:r>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53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r>
        <w:rPr>
          <w:rFonts w:ascii="Times New Roman" w:cs="Times New Roman" w:eastAsia="Times New Roman" w:hAnsi="Times New Roman"/>
          <w:b/>
          <w:bCs/>
          <w:color w:val="000000"/>
          <w:sz w:val="24"/>
          <w:szCs w:val="24"/>
        </w:rPr>
        <w:t xml:space="preserve">Table 54</w:t>
      </w:r>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54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46 to 48 say that upstream actors are absorbing risk rather than managing it. Diversification named as a risk strategy by a fisher who, in Table 13,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pPr>
      <w:r>
        <w:rPr>
          <w:rFonts w:ascii="Times New Roman" w:cs="Times New Roman" w:eastAsia="Times New Roman" w:hAnsi="Times New Roman"/>
          <w:b/>
          <w:bCs/>
          <w:color w:val="000000"/>
          <w:sz w:val="24"/>
          <w:szCs w:val="24"/>
        </w:rPr>
        <w:t xml:space="preserve">4.5.3 Regulation and Access to Information</w:t>
      </w:r>
    </w:p>
    <w:p>
      <w:pPr>
        <w:spacing w:after="0" w:before="240" w:line="240"/>
      </w:pPr>
      <w:r>
        <w:rPr>
          <w:rFonts w:ascii="Times New Roman" w:cs="Times New Roman" w:eastAsia="Times New Roman" w:hAnsi="Times New Roman"/>
          <w:b/>
          <w:bCs/>
          <w:color w:val="000000"/>
          <w:sz w:val="24"/>
          <w:szCs w:val="24"/>
        </w:rPr>
        <w:t xml:space="preserve">Table 55</w:t>
      </w:r>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 of a crab fishery management plan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 (84.6%)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55, regulation was felt across the chain: all 65 fishers, 16 of 22 middlemen (72.7%), all five hoteliers and all four exporters said regulations affected their marketing activities. Awareness of the instrument governing the fishery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r>
        <w:rPr>
          <w:rFonts w:ascii="Times New Roman" w:cs="Times New Roman" w:eastAsia="Times New Roman" w:hAnsi="Times New Roman"/>
          <w:b/>
          <w:bCs/>
          <w:color w:val="000000"/>
          <w:sz w:val="24"/>
          <w:szCs w:val="24"/>
        </w:rPr>
        <w:t xml:space="preserve">Figure 32</w:t>
      </w:r>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No fisher at Majoreni reported awareness of the plan.</w:t>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w:t>
      </w:r>
    </w:p>
    <w:p>
      <w:pPr>
        <w:pStyle w:val="Heading3"/>
        <w:spacing w:after="120" w:before="240" w:line="360"/>
      </w:pPr>
      <w:r>
        <w:rPr>
          <w:rFonts w:ascii="Times New Roman" w:cs="Times New Roman" w:eastAsia="Times New Roman" w:hAnsi="Times New Roman"/>
          <w:b/>
          <w:bCs/>
          <w:color w:val="000000"/>
          <w:sz w:val="24"/>
          <w:szCs w:val="24"/>
        </w:rPr>
        <w:t xml:space="preserve">4.5.4 Perceptions of Market Organisation and Policy</w:t>
      </w:r>
    </w:p>
    <w:p>
      <w:pPr>
        <w:spacing w:after="0" w:before="240" w:line="240"/>
      </w:pPr>
      <w:r>
        <w:rPr>
          <w:rFonts w:ascii="Times New Roman" w:cs="Times New Roman" w:eastAsia="Times New Roman" w:hAnsi="Times New Roman"/>
          <w:b/>
          <w:bCs/>
          <w:color w:val="000000"/>
          <w:sz w:val="24"/>
          <w:szCs w:val="24"/>
        </w:rPr>
        <w:t xml:space="preserve">Table 56</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Mud Crab Market Is Well Structured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the market is well structured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 (69.2%)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56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r>
        <w:rPr>
          <w:rFonts w:ascii="Times New Roman" w:cs="Times New Roman" w:eastAsia="Times New Roman" w:hAnsi="Times New Roman"/>
          <w:b/>
          <w:bCs/>
          <w:color w:val="000000"/>
          <w:sz w:val="24"/>
          <w:szCs w:val="24"/>
        </w:rPr>
        <w:t xml:space="preserve">Figure 33</w:t>
      </w:r>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10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2764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hotelier or exporter agreed that the market is well structured.</w:t>
      </w:r>
    </w:p>
    <w:p>
      <w:pPr>
        <w:spacing w:after="0" w:before="240" w:line="240"/>
      </w:pPr>
      <w:r>
        <w:rPr>
          <w:rFonts w:ascii="Times New Roman" w:cs="Times New Roman" w:eastAsia="Times New Roman" w:hAnsi="Times New Roman"/>
          <w:b/>
          <w:bCs/>
          <w:color w:val="000000"/>
          <w:sz w:val="24"/>
          <w:szCs w:val="24"/>
        </w:rPr>
        <w:t xml:space="preserve">Table 57</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57 shows. Fifty-two fishers (80.0%) disagreed and only 2 (3.1%) agreed; among middlemen, 14 (63.6%) strongly disagreed and the remaining 8 (36.4%) disagreed, so not one middleman was neutral or positive. All hoteliers and exporters disagreed. Neither group varied significantly by site.</w:t>
      </w:r>
    </w:p>
    <w:p>
      <w:pPr>
        <w:spacing w:after="0" w:before="240" w:line="240"/>
      </w:pPr>
      <w:r>
        <w:rPr>
          <w:rFonts w:ascii="Times New Roman" w:cs="Times New Roman" w:eastAsia="Times New Roman" w:hAnsi="Times New Roman"/>
          <w:b/>
          <w:bCs/>
          <w:color w:val="000000"/>
          <w:sz w:val="24"/>
          <w:szCs w:val="24"/>
        </w:rPr>
        <w:t xml:space="preserve">Table 58</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58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55,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pPr>
      <w:r>
        <w:rPr>
          <w:rFonts w:ascii="Times New Roman" w:cs="Times New Roman" w:eastAsia="Times New Roman" w:hAnsi="Times New Roman"/>
          <w:b/>
          <w:bCs/>
          <w:color w:val="000000"/>
          <w:sz w:val="24"/>
          <w:szCs w:val="24"/>
        </w:rPr>
        <w:t xml:space="preserve">4.5.5 Opportunities, Youth Participation and Diversification</w:t>
      </w:r>
    </w:p>
    <w:p>
      <w:pPr>
        <w:spacing w:after="0" w:before="240" w:line="240"/>
      </w:pPr>
      <w:r>
        <w:rPr>
          <w:rFonts w:ascii="Times New Roman" w:cs="Times New Roman" w:eastAsia="Times New Roman" w:hAnsi="Times New Roman"/>
          <w:b/>
          <w:bCs/>
          <w:color w:val="000000"/>
          <w:sz w:val="24"/>
          <w:szCs w:val="24"/>
        </w:rPr>
        <w:t xml:space="preserve">Table 59</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and Recommended Market-System Enhancement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Priority opportunity for improving mud crab marketing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Recommended market-system enhancement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Table 59. Market-access improvement was the priority for 56 fishers (86.2%) and for every hotelier and exporter, while price stability was the priority for 21 of 22 middlemen (95.5%). On what would improve the system,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34</w:t>
      </w:r>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10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7240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middlemen named opposite priorities.</w:t>
      </w:r>
    </w:p>
    <w:p>
      <w:pPr>
        <w:spacing w:after="0" w:before="240" w:line="240"/>
      </w:pPr>
      <w:r>
        <w:rPr>
          <w:rFonts w:ascii="Times New Roman" w:cs="Times New Roman" w:eastAsia="Times New Roman" w:hAnsi="Times New Roman"/>
          <w:b/>
          <w:bCs/>
          <w:color w:val="000000"/>
          <w:sz w:val="24"/>
          <w:szCs w:val="24"/>
        </w:rPr>
        <w:t xml:space="preserve">Figure 35</w:t>
      </w:r>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10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812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0" w:before="240" w:line="240"/>
      </w:pPr>
      <w:r>
        <w:rPr>
          <w:rFonts w:ascii="Times New Roman" w:cs="Times New Roman" w:eastAsia="Times New Roman" w:hAnsi="Times New Roman"/>
          <w:b/>
          <w:bCs/>
          <w:color w:val="000000"/>
          <w:sz w:val="24"/>
          <w:szCs w:val="24"/>
        </w:rPr>
        <w:t xml:space="preserve">Table 60</w:t>
      </w:r>
    </w:p>
    <w:p>
      <w:pPr>
        <w:spacing w:after="120" w:before="0" w:line="240"/>
      </w:pPr>
      <w:r>
        <w:rPr>
          <w:rFonts w:ascii="Times New Roman" w:cs="Times New Roman" w:eastAsia="Times New Roman" w:hAnsi="Times New Roman"/>
          <w:b w:val="false"/>
          <w:bCs w:val="false"/>
          <w:i/>
          <w:iCs/>
          <w:color w:val="000000"/>
          <w:sz w:val="24"/>
          <w:szCs w:val="24"/>
        </w:rPr>
        <w:t xml:space="preserve">Reported Youth Involvement and Perceived Diversification Potential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involvement of youth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 (89.2%)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Perceived potential for product or market diversification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(29.2%)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60, youth involvement was rated low or very low by every respondent who expressed a view: 58 fishers (89.2%) and 16 middlemen (72.7%) said low, while 6 middlemen (27.3%), 3 hoteliers (60.0%) and 3 exporters (75.0%) said very low. Not one respondent in any category rated it high. Diversification potential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36</w:t>
      </w:r>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10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4479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respondent in any category rated youth involvement as high.</w:t>
      </w:r>
    </w:p>
    <w:p>
      <w:pPr>
        <w:spacing w:after="0" w:before="240" w:line="240"/>
      </w:pPr>
      <w:r>
        <w:rPr>
          <w:rFonts w:ascii="Times New Roman" w:cs="Times New Roman" w:eastAsia="Times New Roman" w:hAnsi="Times New Roman"/>
          <w:b/>
          <w:bCs/>
          <w:color w:val="000000"/>
          <w:sz w:val="24"/>
          <w:szCs w:val="24"/>
        </w:rPr>
        <w:t xml:space="preserve">Figure 37</w:t>
      </w:r>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w:t>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4.5.6 Summary of Objective Three</w:t>
      </w:r>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pPr>
      <w:r>
        <w:rPr>
          <w:rFonts w:ascii="Times New Roman" w:cs="Times New Roman" w:eastAsia="Times New Roman" w:hAnsi="Times New Roman"/>
          <w:b/>
          <w:bCs/>
          <w:color w:val="000000"/>
          <w:sz w:val="24"/>
          <w:szCs w:val="24"/>
        </w:rPr>
        <w:t xml:space="preserve">4.5.7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pPr>
      <w:r>
        <w:rPr>
          <w:rFonts w:ascii="Times New Roman" w:cs="Times New Roman" w:eastAsia="Times New Roman" w:hAnsi="Times New Roman"/>
          <w:b/>
          <w:bCs/>
          <w:color w:val="000000"/>
          <w:sz w:val="26"/>
          <w:szCs w:val="26"/>
        </w:rPr>
        <w:t xml:space="preserve">4.6 Actor-Specific Associations With BMU</w:t>
      </w:r>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r>
        <w:rPr>
          <w:rFonts w:ascii="Times New Roman" w:cs="Times New Roman" w:eastAsia="Times New Roman" w:hAnsi="Times New Roman"/>
          <w:b/>
          <w:bCs/>
          <w:color w:val="000000"/>
          <w:sz w:val="24"/>
          <w:szCs w:val="24"/>
        </w:rPr>
        <w:t xml:space="preserve">Table 61</w:t>
      </w:r>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61.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pPr>
      <w:r>
        <w:rPr>
          <w:rFonts w:ascii="Times New Roman" w:cs="Times New Roman" w:eastAsia="Times New Roman" w:hAnsi="Times New Roman"/>
          <w:b/>
          <w:bCs/>
          <w:color w:val="000000"/>
          <w:sz w:val="26"/>
          <w:szCs w:val="26"/>
        </w:rPr>
        <w:t xml:space="preserve">4.7 Chapter Summary</w:t>
      </w:r>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FIVE: DISCUSSION</w:t>
      </w:r>
    </w:p>
    <w:p>
      <w:pPr>
        <w:pStyle w:val="Heading2"/>
        <w:spacing w:after="140" w:before="280" w:line="360"/>
      </w:pPr>
      <w:r>
        <w:rPr>
          <w:rFonts w:ascii="Times New Roman" w:cs="Times New Roman" w:eastAsia="Times New Roman" w:hAnsi="Times New Roman"/>
          <w:b/>
          <w:bCs/>
          <w:color w:val="000000"/>
          <w:sz w:val="26"/>
          <w:szCs w:val="26"/>
        </w:rPr>
        <w:t xml:space="preserve">5.1 Introduction</w:t>
      </w:r>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pPr>
      <w:r>
        <w:rPr>
          <w:rFonts w:ascii="Times New Roman" w:cs="Times New Roman" w:eastAsia="Times New Roman" w:hAnsi="Times New Roman"/>
          <w:b/>
          <w:bCs/>
          <w:color w:val="000000"/>
          <w:sz w:val="26"/>
          <w:szCs w:val="26"/>
        </w:rPr>
        <w:t xml:space="preserve">5.2 Objective One: Profile of Mud Crab Actors</w:t>
      </w:r>
    </w:p>
    <w:p>
      <w:pPr>
        <w:pStyle w:val="Heading3"/>
        <w:spacing w:after="120" w:before="240" w:line="360"/>
      </w:pPr>
      <w:r>
        <w:rPr>
          <w:rFonts w:ascii="Times New Roman" w:cs="Times New Roman" w:eastAsia="Times New Roman" w:hAnsi="Times New Roman"/>
          <w:b/>
          <w:bCs/>
          <w:color w:val="000000"/>
          <w:sz w:val="24"/>
          <w:szCs w:val="24"/>
        </w:rPr>
        <w:t xml:space="preserve">5.2.1 Key Findings</w:t>
      </w:r>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pPr>
      <w:r>
        <w:rPr>
          <w:rFonts w:ascii="Times New Roman" w:cs="Times New Roman" w:eastAsia="Times New Roman" w:hAnsi="Times New Roman"/>
          <w:b/>
          <w:bCs/>
          <w:color w:val="000000"/>
          <w:sz w:val="24"/>
          <w:szCs w:val="24"/>
        </w:rPr>
        <w:t xml:space="preserve">5.2.2 Gender and the Limits of the Sampling Frame</w:t>
      </w:r>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pPr>
      <w:r>
        <w:rPr>
          <w:rFonts w:ascii="Times New Roman" w:cs="Times New Roman" w:eastAsia="Times New Roman" w:hAnsi="Times New Roman"/>
          <w:b/>
          <w:bCs/>
          <w:color w:val="000000"/>
          <w:sz w:val="24"/>
          <w:szCs w:val="24"/>
        </w:rPr>
        <w:t xml:space="preserve">5.2.3 Experience, Licensing and the Absence of Collective Organisation</w:t>
      </w:r>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pPr>
      <w:r>
        <w:rPr>
          <w:rFonts w:ascii="Times New Roman" w:cs="Times New Roman" w:eastAsia="Times New Roman" w:hAnsi="Times New Roman"/>
          <w:b/>
          <w:bCs/>
          <w:color w:val="000000"/>
          <w:sz w:val="24"/>
          <w:szCs w:val="24"/>
        </w:rPr>
        <w:t xml:space="preserve">5.2.4 Credit and Dependence Within the Chain</w:t>
      </w:r>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pPr>
      <w:r>
        <w:rPr>
          <w:rFonts w:ascii="Times New Roman" w:cs="Times New Roman" w:eastAsia="Times New Roman" w:hAnsi="Times New Roman"/>
          <w:b/>
          <w:bCs/>
          <w:color w:val="000000"/>
          <w:sz w:val="24"/>
          <w:szCs w:val="24"/>
        </w:rPr>
        <w:t xml:space="preserve">5.2.5 Implications</w:t>
      </w:r>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pPr>
      <w:r>
        <w:rPr>
          <w:rFonts w:ascii="Times New Roman" w:cs="Times New Roman" w:eastAsia="Times New Roman" w:hAnsi="Times New Roman"/>
          <w:b/>
          <w:bCs/>
          <w:color w:val="000000"/>
          <w:sz w:val="26"/>
          <w:szCs w:val="26"/>
        </w:rPr>
        <w:t xml:space="preserve">5.3 Objective Two: Functions at Each Market Node and the Distribution of Value</w:t>
      </w:r>
    </w:p>
    <w:p>
      <w:pPr>
        <w:pStyle w:val="Heading3"/>
        <w:spacing w:after="120" w:before="240" w:line="360"/>
      </w:pPr>
      <w:r>
        <w:rPr>
          <w:rFonts w:ascii="Times New Roman" w:cs="Times New Roman" w:eastAsia="Times New Roman" w:hAnsi="Times New Roman"/>
          <w:b/>
          <w:bCs/>
          <w:color w:val="000000"/>
          <w:sz w:val="24"/>
          <w:szCs w:val="24"/>
        </w:rPr>
        <w:t xml:space="preserve">5.3.1 Key Findings</w:t>
      </w:r>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pPr>
      <w:r>
        <w:rPr>
          <w:rFonts w:ascii="Times New Roman" w:cs="Times New Roman" w:eastAsia="Times New Roman" w:hAnsi="Times New Roman"/>
          <w:b/>
          <w:bCs/>
          <w:color w:val="000000"/>
          <w:sz w:val="24"/>
          <w:szCs w:val="24"/>
        </w:rPr>
        <w:t xml:space="preserve">5.3.2 Grading as a Mechanism of Value Capture</w:t>
      </w:r>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pPr>
      <w:r>
        <w:rPr>
          <w:rFonts w:ascii="Times New Roman" w:cs="Times New Roman" w:eastAsia="Times New Roman" w:hAnsi="Times New Roman"/>
          <w:b/>
          <w:bCs/>
          <w:color w:val="000000"/>
          <w:sz w:val="24"/>
          <w:szCs w:val="24"/>
        </w:rPr>
        <w:t xml:space="preserve">5.3.3 Handling, Packaging and Loss</w:t>
      </w:r>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pPr>
      <w:r>
        <w:rPr>
          <w:rFonts w:ascii="Times New Roman" w:cs="Times New Roman" w:eastAsia="Times New Roman" w:hAnsi="Times New Roman"/>
          <w:b/>
          <w:bCs/>
          <w:color w:val="000000"/>
          <w:sz w:val="24"/>
          <w:szCs w:val="24"/>
        </w:rPr>
        <w:t xml:space="preserve">5.3.4 Price Formation and the Distribution of Value</w:t>
      </w:r>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pPr>
      <w:r>
        <w:rPr>
          <w:rFonts w:ascii="Times New Roman" w:cs="Times New Roman" w:eastAsia="Times New Roman" w:hAnsi="Times New Roman"/>
          <w:b/>
          <w:bCs/>
          <w:color w:val="000000"/>
          <w:sz w:val="24"/>
          <w:szCs w:val="24"/>
        </w:rPr>
        <w:t xml:space="preserve">5.3.5 Site Differences and What Drives Them</w:t>
      </w:r>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pPr>
      <w:r>
        <w:rPr>
          <w:rFonts w:ascii="Times New Roman" w:cs="Times New Roman" w:eastAsia="Times New Roman" w:hAnsi="Times New Roman"/>
          <w:b/>
          <w:bCs/>
          <w:color w:val="000000"/>
          <w:sz w:val="24"/>
          <w:szCs w:val="24"/>
        </w:rPr>
        <w:t xml:space="preserve">5.3.6 The Hotelier Medium-Grade Anomaly</w:t>
      </w:r>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pPr>
      <w:r>
        <w:rPr>
          <w:rFonts w:ascii="Times New Roman" w:cs="Times New Roman" w:eastAsia="Times New Roman" w:hAnsi="Times New Roman"/>
          <w:b/>
          <w:bCs/>
          <w:color w:val="000000"/>
          <w:sz w:val="24"/>
          <w:szCs w:val="24"/>
        </w:rPr>
        <w:t xml:space="preserve">5.3.7 Implications</w:t>
      </w:r>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pPr>
      <w:r>
        <w:rPr>
          <w:rFonts w:ascii="Times New Roman" w:cs="Times New Roman" w:eastAsia="Times New Roman" w:hAnsi="Times New Roman"/>
          <w:b/>
          <w:bCs/>
          <w:color w:val="000000"/>
          <w:sz w:val="26"/>
          <w:szCs w:val="26"/>
        </w:rPr>
        <w:t xml:space="preserve">5.4 Objective Three: Constraints and Opportunities</w:t>
      </w:r>
    </w:p>
    <w:p>
      <w:pPr>
        <w:pStyle w:val="Heading3"/>
        <w:spacing w:after="120" w:before="240" w:line="360"/>
      </w:pPr>
      <w:r>
        <w:rPr>
          <w:rFonts w:ascii="Times New Roman" w:cs="Times New Roman" w:eastAsia="Times New Roman" w:hAnsi="Times New Roman"/>
          <w:b/>
          <w:bCs/>
          <w:color w:val="000000"/>
          <w:sz w:val="24"/>
          <w:szCs w:val="24"/>
        </w:rPr>
        <w:t xml:space="preserve">5.4.1 Key Findings</w:t>
      </w:r>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pPr>
      <w:r>
        <w:rPr>
          <w:rFonts w:ascii="Times New Roman" w:cs="Times New Roman" w:eastAsia="Times New Roman" w:hAnsi="Times New Roman"/>
          <w:b/>
          <w:bCs/>
          <w:color w:val="000000"/>
          <w:sz w:val="24"/>
          <w:szCs w:val="24"/>
        </w:rPr>
        <w:t xml:space="preserve">5.4.2 Constraints Follow Function</w:t>
      </w:r>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pPr>
      <w:r>
        <w:rPr>
          <w:rFonts w:ascii="Times New Roman" w:cs="Times New Roman" w:eastAsia="Times New Roman" w:hAnsi="Times New Roman"/>
          <w:b/>
          <w:bCs/>
          <w:color w:val="000000"/>
          <w:sz w:val="24"/>
          <w:szCs w:val="24"/>
        </w:rPr>
        <w:t xml:space="preserve">5.4.3 Governance and the Direction Information Travels</w:t>
      </w:r>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pPr>
      <w:r>
        <w:rPr>
          <w:rFonts w:ascii="Times New Roman" w:cs="Times New Roman" w:eastAsia="Times New Roman" w:hAnsi="Times New Roman"/>
          <w:b/>
          <w:bCs/>
          <w:color w:val="000000"/>
          <w:sz w:val="24"/>
          <w:szCs w:val="24"/>
        </w:rPr>
        <w:t xml:space="preserve">5.4.4 Opposing Priorities Within One Transaction</w:t>
      </w:r>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5.4.5 Implications</w:t>
      </w:r>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pPr>
      <w:r>
        <w:rPr>
          <w:rFonts w:ascii="Times New Roman" w:cs="Times New Roman" w:eastAsia="Times New Roman" w:hAnsi="Times New Roman"/>
          <w:b/>
          <w:bCs/>
          <w:color w:val="000000"/>
          <w:sz w:val="26"/>
          <w:szCs w:val="26"/>
        </w:rPr>
        <w:t xml:space="preserve">5.5 Synthesis Using the Structure-Conduct-Performance Framework</w:t>
      </w:r>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Price dispersion was wide at the harvesting node and narrow after aggregation,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pPr>
      <w:r>
        <w:rPr>
          <w:rFonts w:ascii="Times New Roman" w:cs="Times New Roman" w:eastAsia="Times New Roman" w:hAnsi="Times New Roman"/>
          <w:b/>
          <w:bCs/>
          <w:color w:val="000000"/>
          <w:sz w:val="26"/>
          <w:szCs w:val="26"/>
        </w:rPr>
        <w:t xml:space="preserve">5.6 What This Study Could Not Measure</w:t>
      </w:r>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could not be quantified from these data, and saying so precisely is more useful than leaving the omission unexplained.</w:t>
      </w:r>
    </w:p>
    <w:p>
      <w:pPr>
        <w:spacing w:after="120" w:before="0" w:line="360"/>
        <w:jc w:val="both"/>
      </w:pPr>
      <w:r>
        <w:rPr>
          <w:rFonts w:ascii="Times New Roman" w:cs="Times New Roman" w:eastAsia="Times New Roman" w:hAnsi="Times New Roman"/>
          <w:color w:val="000000"/>
          <w:sz w:val="24"/>
          <w:szCs w:val="24"/>
        </w:rPr>
        <w:t xml:space="preserve">Market concentration could not be computed. A concentration measure requires an enumeration of buyers operating at each landing site and the volume each handles. This survey interviewed actors rather than censusing buyers, and it did not record transaction volumes, so neither a buyer count nor a concentration ratio can be derived. What the data do show is the consequence that concentration would be invoked to explain: every one of the 65 fishers sold to a first-level middleman and described the price as fixed by that buyer, and the first-sale gap varied significantly across sites on the fisher side while middleman prices did not. Buyer concentration remains one of two plausible readings of the Majoreni result, and separating it from the alternative would require transaction-level data on buyer identity and onward destination.</w:t>
      </w:r>
    </w:p>
    <w:p>
      <w:pPr>
        <w:spacing w:after="120" w:before="0" w:line="360"/>
        <w:jc w:val="both"/>
      </w:pPr>
      <w:r>
        <w:rPr>
          <w:rFonts w:ascii="Times New Roman" w:cs="Times New Roman" w:eastAsia="Times New Roman" w:hAnsi="Times New Roman"/>
          <w:color w:val="000000"/>
          <w:sz w:val="24"/>
          <w:szCs w:val="24"/>
        </w:rPr>
        <w:t xml:space="preserve">Net marketing margins could not be estimated. The survey recorded gross prices at the point of sale but not transport cost, holding cost, ice, packaging, mortality valued in money, or the cost of capital tied up between purchase and resale. The margins reported in Table 41 are therefore gross price spreads. They establish where in the chain the final price accumulates, which is what Objective Two requires, but they cannot establish which actor earns the most, and no claim to that effect is made anywhere in this thesis.</w:t>
      </w:r>
    </w:p>
    <w:p>
      <w:pPr>
        <w:spacing w:after="120" w:before="0" w:line="360"/>
        <w:jc w:val="both"/>
      </w:pPr>
      <w:r>
        <w:rPr>
          <w:rFonts w:ascii="Times New Roman" w:cs="Times New Roman" w:eastAsia="Times New Roman" w:hAnsi="Times New Roman"/>
          <w:color w:val="000000"/>
          <w:sz w:val="24"/>
          <w:szCs w:val="24"/>
        </w:rPr>
        <w:t xml:space="preserve">Marketing efficiency could not be assessed. Efficiency measures compare the value added at a node against the cost of the services performed there, and they therefore depend on exactly the cost data the survey did not collect. Two partial indicators are available and are reported: the producer’s share of the end-of-chain price, which ran between 27.5% and 39.6%, and price dispersion at the first point of sale, which Green and Clark (2021) treat as an indicator of weak market integration and which was significantly wider among fishers than among middlemen. Both are consistent with an inefficient first-sale market. Neither is a measure of efficiency in the technical sense, and they are not presented as one.</w:t>
      </w:r>
    </w:p>
    <w:p>
      <w:pPr>
        <w:spacing w:after="120" w:before="0" w:line="360"/>
        <w:jc w:val="both"/>
      </w:pPr>
      <w:r>
        <w:rPr>
          <w:rFonts w:ascii="Times New Roman" w:cs="Times New Roman" w:eastAsia="Times New Roman" w:hAnsi="Times New Roman"/>
          <w:color w:val="000000"/>
          <w:sz w:val="24"/>
          <w:szCs w:val="24"/>
        </w:rPr>
        <w:t xml:space="preserve">These three gaps share one cause. The instrument was designed as an actor inventory rather than a transaction survey, which is the right design for Objectives One and Three and a limiting one for the market-structure dimensions of Objective Two. Section 6.5 sets out the data collection that would close them.</w:t>
      </w:r>
    </w:p>
    <w:p>
      <w:pPr>
        <w:pStyle w:val="Heading2"/>
        <w:spacing w:after="140" w:before="280" w:line="360"/>
      </w:pPr>
      <w:r>
        <w:rPr>
          <w:rFonts w:ascii="Times New Roman" w:cs="Times New Roman" w:eastAsia="Times New Roman" w:hAnsi="Times New Roman"/>
          <w:b/>
          <w:bCs/>
          <w:color w:val="000000"/>
          <w:sz w:val="26"/>
          <w:szCs w:val="26"/>
        </w:rPr>
        <w:t xml:space="preserve">5.7 Study Limitations</w:t>
      </w:r>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SIX: CONCLUSIONS AND RECOMMENDATIONS</w:t>
      </w:r>
    </w:p>
    <w:p>
      <w:pPr>
        <w:pStyle w:val="Heading2"/>
        <w:spacing w:after="140" w:before="280" w:line="360"/>
      </w:pPr>
      <w:r>
        <w:rPr>
          <w:rFonts w:ascii="Times New Roman" w:cs="Times New Roman" w:eastAsia="Times New Roman" w:hAnsi="Times New Roman"/>
          <w:b/>
          <w:bCs/>
          <w:color w:val="000000"/>
          <w:sz w:val="26"/>
          <w:szCs w:val="26"/>
        </w:rPr>
        <w:t xml:space="preserve">6.1 Introduction</w:t>
      </w:r>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pPr>
      <w:r>
        <w:rPr>
          <w:rFonts w:ascii="Times New Roman" w:cs="Times New Roman" w:eastAsia="Times New Roman" w:hAnsi="Times New Roman"/>
          <w:b/>
          <w:bCs/>
          <w:color w:val="000000"/>
          <w:sz w:val="26"/>
          <w:szCs w:val="26"/>
        </w:rPr>
        <w:t xml:space="preserve">6.2 Conclusions</w:t>
      </w:r>
    </w:p>
    <w:p>
      <w:pPr>
        <w:pStyle w:val="Heading3"/>
        <w:spacing w:after="120" w:before="240" w:line="360"/>
      </w:pPr>
      <w:r>
        <w:rPr>
          <w:rFonts w:ascii="Times New Roman" w:cs="Times New Roman" w:eastAsia="Times New Roman" w:hAnsi="Times New Roman"/>
          <w:b/>
          <w:bCs/>
          <w:color w:val="000000"/>
          <w:sz w:val="24"/>
          <w:szCs w:val="24"/>
        </w:rPr>
        <w:t xml:space="preserve">6.2.1 Conclusion for Objective One</w:t>
      </w:r>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pPr>
      <w:r>
        <w:rPr>
          <w:rFonts w:ascii="Times New Roman" w:cs="Times New Roman" w:eastAsia="Times New Roman" w:hAnsi="Times New Roman"/>
          <w:b/>
          <w:bCs/>
          <w:color w:val="000000"/>
          <w:sz w:val="24"/>
          <w:szCs w:val="24"/>
        </w:rPr>
        <w:t xml:space="preserve">6.2.2 Conclusion for Objective Two</w:t>
      </w:r>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pPr>
      <w:r>
        <w:rPr>
          <w:rFonts w:ascii="Times New Roman" w:cs="Times New Roman" w:eastAsia="Times New Roman" w:hAnsi="Times New Roman"/>
          <w:b/>
          <w:bCs/>
          <w:color w:val="000000"/>
          <w:sz w:val="24"/>
          <w:szCs w:val="24"/>
        </w:rPr>
        <w:t xml:space="preserve">6.2.3 Conclusion for Objective Three</w:t>
      </w:r>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pPr>
      <w:r>
        <w:rPr>
          <w:rFonts w:ascii="Times New Roman" w:cs="Times New Roman" w:eastAsia="Times New Roman" w:hAnsi="Times New Roman"/>
          <w:b/>
          <w:bCs/>
          <w:color w:val="000000"/>
          <w:sz w:val="26"/>
          <w:szCs w:val="26"/>
        </w:rPr>
        <w:t xml:space="preserve">6.3 Overall Conclusion</w:t>
      </w:r>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pPr>
      <w:r>
        <w:rPr>
          <w:rFonts w:ascii="Times New Roman" w:cs="Times New Roman" w:eastAsia="Times New Roman" w:hAnsi="Times New Roman"/>
          <w:b/>
          <w:bCs/>
          <w:color w:val="000000"/>
          <w:sz w:val="26"/>
          <w:szCs w:val="26"/>
        </w:rPr>
        <w:t xml:space="preserve">6.4 Recommendations</w:t>
      </w:r>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pPr>
      <w:r>
        <w:rPr>
          <w:rFonts w:ascii="Times New Roman" w:cs="Times New Roman" w:eastAsia="Times New Roman" w:hAnsi="Times New Roman"/>
          <w:b/>
          <w:bCs/>
          <w:color w:val="000000"/>
          <w:sz w:val="24"/>
          <w:szCs w:val="24"/>
        </w:rPr>
        <w:t xml:space="preserve">6.4.1 Recommendations From Objective One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pPr>
      <w:r>
        <w:rPr>
          <w:rFonts w:ascii="Times New Roman" w:cs="Times New Roman" w:eastAsia="Times New Roman" w:hAnsi="Times New Roman"/>
          <w:b/>
          <w:bCs/>
          <w:color w:val="000000"/>
          <w:sz w:val="24"/>
          <w:szCs w:val="24"/>
        </w:rPr>
        <w:t xml:space="preserve">6.4.2 Recommendations From Objective Two</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pPr>
      <w:r>
        <w:rPr>
          <w:rFonts w:ascii="Times New Roman" w:cs="Times New Roman" w:eastAsia="Times New Roman" w:hAnsi="Times New Roman"/>
          <w:b/>
          <w:bCs/>
          <w:color w:val="000000"/>
          <w:sz w:val="24"/>
          <w:szCs w:val="24"/>
        </w:rPr>
        <w:t xml:space="preserve">6.4.3 Recommendations From Objective Three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pPr>
      <w:r>
        <w:rPr>
          <w:rFonts w:ascii="Times New Roman" w:cs="Times New Roman" w:eastAsia="Times New Roman" w:hAnsi="Times New Roman"/>
          <w:b/>
          <w:bCs/>
          <w:color w:val="000000"/>
          <w:sz w:val="26"/>
          <w:szCs w:val="26"/>
        </w:rPr>
        <w:t xml:space="preserve">6.5 Recommendations for Further Research</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e4004bba41bea1616c87cc98f06384a96a4567.png"/><Relationship Id="rId8" Type="http://schemas.openxmlformats.org/officeDocument/2006/relationships/image" Target="media/96fd5537dbd8d14a5b3e0ee86b8f08f25e532100.png"/><Relationship Id="rId9" Type="http://schemas.openxmlformats.org/officeDocument/2006/relationships/image" Target="media/8654a7fccbc587f88ef97ea9d7514026a2dde003.png"/><Relationship Id="rId10" Type="http://schemas.openxmlformats.org/officeDocument/2006/relationships/image" Target="media/6c34b8a818f150740b44fa29468aa0aefa866e60.png"/><Relationship Id="rId11" Type="http://schemas.openxmlformats.org/officeDocument/2006/relationships/image" Target="media/d95e92ec580c78305906d62e7bb195b17655cdd8.png"/><Relationship Id="rId12" Type="http://schemas.openxmlformats.org/officeDocument/2006/relationships/image" Target="media/dcff03a5c17ae3c90d9777ac111aabc2de349fe9.png"/><Relationship Id="rId13" Type="http://schemas.openxmlformats.org/officeDocument/2006/relationships/image" Target="media/e7471999fed1352cd750fe0438951fdd5dbe2f5b.png"/><Relationship Id="rId14" Type="http://schemas.openxmlformats.org/officeDocument/2006/relationships/image" Target="media/baf979c096023bf63336066a401efbafefc5198f.png"/><Relationship Id="rId15" Type="http://schemas.openxmlformats.org/officeDocument/2006/relationships/image" Target="media/95fc8b22c978a65f34f5c39c244bc5fd2158338b.png"/><Relationship Id="rId16" Type="http://schemas.openxmlformats.org/officeDocument/2006/relationships/image" Target="media/57ecd8754b5adb78a83fef11ab55aa7270275b14.png"/><Relationship Id="rId17" Type="http://schemas.openxmlformats.org/officeDocument/2006/relationships/image" Target="media/98411763cb5713b3b8198e2c2500b2706b1eb04a.png"/><Relationship Id="rId18" Type="http://schemas.openxmlformats.org/officeDocument/2006/relationships/image" Target="media/8aaab629c3a35021a050f155e155a8e3c90654e0.png"/><Relationship Id="rId19" Type="http://schemas.openxmlformats.org/officeDocument/2006/relationships/image" Target="media/3f8816b9d77f69cc28d987aed4ef0c6a6923177b.png"/><Relationship Id="rId20" Type="http://schemas.openxmlformats.org/officeDocument/2006/relationships/image" Target="media/6cbfda62a1fb28035b5da829dd4c689834cde41e.png"/><Relationship Id="rId21" Type="http://schemas.openxmlformats.org/officeDocument/2006/relationships/image" Target="media/0d5ee45161efd7b732b712c0c9aeb8e1c67464d5.png"/><Relationship Id="rId22" Type="http://schemas.openxmlformats.org/officeDocument/2006/relationships/image" Target="media/375d30d15f10aff5487cf6238a2d8f0351b31bca.png"/><Relationship Id="rId23" Type="http://schemas.openxmlformats.org/officeDocument/2006/relationships/image" Target="media/80bd1a14800e9833abed628390da122c668b5d5c.png"/><Relationship Id="rId24" Type="http://schemas.openxmlformats.org/officeDocument/2006/relationships/image" Target="media/374dfcc7d7b85229e11d5bb003552e61dc7f93a9.png"/><Relationship Id="rId25" Type="http://schemas.openxmlformats.org/officeDocument/2006/relationships/image" Target="media/0de65753fad6d45635db4d7d3e2f8ac169ced773.png"/><Relationship Id="rId26" Type="http://schemas.openxmlformats.org/officeDocument/2006/relationships/image" Target="media/e6146b3754444e332f97588da88257709f7ff97d.png"/><Relationship Id="rId27" Type="http://schemas.openxmlformats.org/officeDocument/2006/relationships/image" Target="media/af68f56840f0be6ea55cdb3d77714e57dfff7288.png"/><Relationship Id="rId28" Type="http://schemas.openxmlformats.org/officeDocument/2006/relationships/image" Target="media/bf7cfe650bcddadb80eaf582f4c632de260b050b.png"/><Relationship Id="rId29" Type="http://schemas.openxmlformats.org/officeDocument/2006/relationships/image" Target="media/5bfc1b0c53e4df96b9a8a4eaecef983a326859f5.png"/><Relationship Id="rId30" Type="http://schemas.openxmlformats.org/officeDocument/2006/relationships/image" Target="media/26d6b70eb27c96ef5f08871a0228f0bc1a0ecf60.png"/><Relationship Id="rId31" Type="http://schemas.openxmlformats.org/officeDocument/2006/relationships/image" Target="media/3e12aa3dc0e8399f561753495520ce4108cae7a3.png"/><Relationship Id="rId32" Type="http://schemas.openxmlformats.org/officeDocument/2006/relationships/image" Target="media/85897f06cb2f234d3ad8fcead08f0e47499b76cc.png"/><Relationship Id="rId33" Type="http://schemas.openxmlformats.org/officeDocument/2006/relationships/image" Target="media/fc5c42ec108c8883cf4a96a37f53f2371a4dca3b.png"/><Relationship Id="rId34" Type="http://schemas.openxmlformats.org/officeDocument/2006/relationships/image" Target="media/00a94fa59d735294dbd5868068b8a23f1563ecd5.png"/><Relationship Id="rId35" Type="http://schemas.openxmlformats.org/officeDocument/2006/relationships/image" Target="media/7816dbde6de6a42dc98e8671c2132c40690c544f.png"/><Relationship Id="rId36" Type="http://schemas.openxmlformats.org/officeDocument/2006/relationships/image" Target="media/0c36ce7f83529053887a9cd9aeaf6ee8c9ad336c.png"/><Relationship Id="rId37" Type="http://schemas.openxmlformats.org/officeDocument/2006/relationships/image" Target="media/ae8584bdcca42466f0fd318980cac8d3d5e546e9.png"/><Relationship Id="rId38" Type="http://schemas.openxmlformats.org/officeDocument/2006/relationships/image" Target="media/5f4ce4c9e32a89864406b57eef2bbc39f2906215.png"/><Relationship Id="rId39" Type="http://schemas.openxmlformats.org/officeDocument/2006/relationships/image" Target="media/846293bfc7f7bcb6dfb233d37b798e445c1ba1ab.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Chapters Four to Six</dc:title>
  <dc:creator>Mercy Sangura</dc:creator>
  <dc:description>Results, Discussion, Conclusions and Recommendations</dc:description>
  <cp:lastModifiedBy>Un-named</cp:lastModifiedBy>
  <cp:revision>1</cp:revision>
  <dcterms:created xsi:type="dcterms:W3CDTF">2026-09-28T13:42:57.932Z</dcterms:created>
  <dcterms:modified xsi:type="dcterms:W3CDTF">2026-09-28T13:42:57.932Z</dcterms:modified>
</cp:coreProperties>
</file>

<file path=docProps/custom.xml><?xml version="1.0" encoding="utf-8"?>
<Properties xmlns="http://schemas.openxmlformats.org/officeDocument/2006/custom-properties" xmlns:vt="http://schemas.openxmlformats.org/officeDocument/2006/docPropsVTypes"/>
</file>