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8689AB" w14:textId="77777777" w:rsidR="00221112" w:rsidRPr="00DE5E47" w:rsidRDefault="00C14051">
      <w:pPr>
        <w:spacing w:line="480" w:lineRule="auto"/>
        <w:jc w:val="center"/>
        <w:rPr>
          <w:rFonts w:cs="Times New Roman"/>
          <w:b/>
          <w:bCs/>
          <w:sz w:val="24"/>
          <w:szCs w:val="24"/>
        </w:rPr>
      </w:pPr>
      <w:bookmarkStart w:id="0" w:name="_Toc69041130"/>
      <w:bookmarkStart w:id="1" w:name="_Toc69041133"/>
      <w:bookmarkStart w:id="2" w:name="_Toc76558177"/>
      <w:r w:rsidRPr="00DE5E47">
        <w:rPr>
          <w:rFonts w:cs="Times New Roman"/>
          <w:b/>
          <w:bCs/>
          <w:sz w:val="24"/>
          <w:szCs w:val="24"/>
        </w:rPr>
        <w:t>MARKET STRUCTURE FOR MUD CRABS (Scylla serrata) IN SOUTH</w:t>
      </w:r>
    </w:p>
    <w:p w14:paraId="3B5C5357" w14:textId="77777777" w:rsidR="00221112" w:rsidRPr="00DE5E47" w:rsidRDefault="00C14051">
      <w:pPr>
        <w:spacing w:line="480" w:lineRule="auto"/>
        <w:jc w:val="center"/>
        <w:rPr>
          <w:rFonts w:cs="Times New Roman"/>
          <w:b/>
          <w:bCs/>
          <w:sz w:val="24"/>
          <w:szCs w:val="24"/>
        </w:rPr>
      </w:pPr>
      <w:r w:rsidRPr="00DE5E47">
        <w:rPr>
          <w:rFonts w:cs="Times New Roman"/>
          <w:b/>
          <w:bCs/>
          <w:sz w:val="24"/>
          <w:szCs w:val="24"/>
        </w:rPr>
        <w:t>COAST, KENYA</w:t>
      </w:r>
    </w:p>
    <w:p w14:paraId="5FF611DC" w14:textId="77777777" w:rsidR="00221112" w:rsidRPr="00DE5E47" w:rsidRDefault="00C14051">
      <w:pPr>
        <w:tabs>
          <w:tab w:val="left" w:pos="1345"/>
        </w:tabs>
        <w:spacing w:after="200" w:line="480" w:lineRule="auto"/>
        <w:jc w:val="both"/>
        <w:rPr>
          <w:rFonts w:eastAsia="Times New Roman" w:cs="Times New Roman"/>
          <w:b/>
          <w:kern w:val="0"/>
          <w:sz w:val="24"/>
          <w:szCs w:val="24"/>
          <w14:ligatures w14:val="none"/>
        </w:rPr>
      </w:pPr>
      <w:r w:rsidRPr="00DE5E47">
        <w:rPr>
          <w:rFonts w:eastAsia="Times New Roman" w:cs="Times New Roman"/>
          <w:b/>
          <w:kern w:val="0"/>
          <w:sz w:val="24"/>
          <w:szCs w:val="24"/>
          <w14:ligatures w14:val="none"/>
        </w:rPr>
        <w:tab/>
      </w:r>
    </w:p>
    <w:p w14:paraId="7E181C47" w14:textId="77777777" w:rsidR="00221112" w:rsidRPr="00DE5E47" w:rsidRDefault="00221112">
      <w:pPr>
        <w:spacing w:after="200" w:line="480" w:lineRule="auto"/>
        <w:jc w:val="both"/>
        <w:rPr>
          <w:rFonts w:eastAsia="Times New Roman" w:cs="Times New Roman"/>
          <w:b/>
          <w:kern w:val="0"/>
          <w:sz w:val="24"/>
          <w:szCs w:val="24"/>
          <w14:ligatures w14:val="none"/>
        </w:rPr>
      </w:pPr>
    </w:p>
    <w:p w14:paraId="7E01DD8E" w14:textId="77777777" w:rsidR="00221112" w:rsidRPr="00DE5E47" w:rsidRDefault="00221112">
      <w:pPr>
        <w:spacing w:after="200" w:line="480" w:lineRule="auto"/>
        <w:jc w:val="both"/>
        <w:rPr>
          <w:rFonts w:eastAsia="Times New Roman" w:cs="Times New Roman"/>
          <w:b/>
          <w:kern w:val="0"/>
          <w:sz w:val="24"/>
          <w:szCs w:val="24"/>
          <w14:ligatures w14:val="none"/>
        </w:rPr>
      </w:pPr>
    </w:p>
    <w:p w14:paraId="289D83E7" w14:textId="77777777" w:rsidR="00221112" w:rsidRPr="00DE5E47" w:rsidRDefault="00221112">
      <w:pPr>
        <w:spacing w:after="200" w:line="480" w:lineRule="auto"/>
        <w:jc w:val="both"/>
        <w:rPr>
          <w:rFonts w:eastAsia="Times New Roman" w:cs="Times New Roman"/>
          <w:b/>
          <w:kern w:val="0"/>
          <w:sz w:val="24"/>
          <w:szCs w:val="24"/>
          <w14:ligatures w14:val="none"/>
        </w:rPr>
      </w:pPr>
    </w:p>
    <w:p w14:paraId="3DD9FD60" w14:textId="77777777" w:rsidR="00221112" w:rsidRPr="00DE5E47" w:rsidRDefault="00C14051">
      <w:pPr>
        <w:spacing w:after="200" w:line="480" w:lineRule="auto"/>
        <w:jc w:val="center"/>
        <w:rPr>
          <w:rFonts w:eastAsia="Times New Roman" w:cs="Times New Roman"/>
          <w:b/>
          <w:kern w:val="0"/>
          <w:sz w:val="24"/>
          <w:szCs w:val="24"/>
          <w14:ligatures w14:val="none"/>
        </w:rPr>
      </w:pPr>
      <w:r w:rsidRPr="00DE5E47">
        <w:rPr>
          <w:rFonts w:eastAsia="Times New Roman" w:cs="Times New Roman"/>
          <w:b/>
          <w:kern w:val="0"/>
          <w:sz w:val="24"/>
          <w:szCs w:val="24"/>
          <w14:ligatures w14:val="none"/>
        </w:rPr>
        <w:t>SG25/36064/19</w:t>
      </w:r>
    </w:p>
    <w:p w14:paraId="6EDA1826" w14:textId="77777777" w:rsidR="00221112" w:rsidRPr="00DE5E47" w:rsidRDefault="00221112">
      <w:pPr>
        <w:spacing w:after="200" w:line="480" w:lineRule="auto"/>
        <w:jc w:val="both"/>
        <w:rPr>
          <w:rFonts w:eastAsia="Times New Roman" w:cs="Times New Roman"/>
          <w:b/>
          <w:kern w:val="0"/>
          <w:sz w:val="24"/>
          <w:szCs w:val="24"/>
          <w14:ligatures w14:val="none"/>
        </w:rPr>
      </w:pPr>
    </w:p>
    <w:p w14:paraId="3FDD6690" w14:textId="77777777" w:rsidR="00221112" w:rsidRPr="00DE5E47" w:rsidRDefault="00C14051">
      <w:pPr>
        <w:spacing w:after="200" w:line="480" w:lineRule="auto"/>
        <w:jc w:val="center"/>
        <w:rPr>
          <w:rFonts w:eastAsia="Times New Roman" w:cs="Times New Roman"/>
          <w:b/>
          <w:kern w:val="0"/>
          <w:sz w:val="24"/>
          <w:szCs w:val="24"/>
          <w14:ligatures w14:val="none"/>
        </w:rPr>
      </w:pPr>
      <w:bookmarkStart w:id="3" w:name="_gjdgxs"/>
      <w:r w:rsidRPr="00DE5E47">
        <w:rPr>
          <w:rFonts w:eastAsia="Times New Roman" w:cs="Times New Roman"/>
          <w:b/>
          <w:kern w:val="0"/>
          <w:sz w:val="24"/>
          <w:szCs w:val="24"/>
          <w14:ligatures w14:val="none"/>
        </w:rPr>
        <w:t>A thesis submitted in partial fulfilment of the requirements for the award of the Master of Science in Fisheries in the Department of Biological Sciences of Pwani University.</w:t>
      </w:r>
      <w:bookmarkEnd w:id="3"/>
    </w:p>
    <w:p w14:paraId="2BB4666D" w14:textId="77777777" w:rsidR="00221112" w:rsidRPr="00DE5E47" w:rsidRDefault="00221112">
      <w:pPr>
        <w:spacing w:after="200" w:line="480" w:lineRule="auto"/>
        <w:jc w:val="center"/>
        <w:rPr>
          <w:rFonts w:eastAsia="Times New Roman" w:cs="Times New Roman"/>
          <w:b/>
          <w:kern w:val="0"/>
          <w:sz w:val="24"/>
          <w:szCs w:val="24"/>
          <w14:ligatures w14:val="none"/>
        </w:rPr>
      </w:pPr>
    </w:p>
    <w:p w14:paraId="42CA1B58" w14:textId="77777777" w:rsidR="00221112" w:rsidRPr="00DE5E47" w:rsidRDefault="00020103">
      <w:pPr>
        <w:spacing w:after="200" w:line="480" w:lineRule="auto"/>
        <w:jc w:val="center"/>
        <w:rPr>
          <w:rFonts w:eastAsia="Times New Roman" w:cs="Times New Roman"/>
          <w:b/>
          <w:kern w:val="0"/>
          <w:sz w:val="24"/>
          <w:szCs w:val="24"/>
          <w14:ligatures w14:val="none"/>
        </w:rPr>
      </w:pPr>
      <w:r w:rsidRPr="00DE5E47">
        <w:rPr>
          <w:rFonts w:eastAsia="Times New Roman" w:cs="Times New Roman"/>
          <w:b/>
          <w:kern w:val="0"/>
          <w:sz w:val="24"/>
          <w:szCs w:val="24"/>
          <w14:ligatures w14:val="none"/>
        </w:rPr>
        <w:t>August</w:t>
      </w:r>
      <w:r w:rsidR="00C14051" w:rsidRPr="00DE5E47">
        <w:rPr>
          <w:rFonts w:eastAsia="Times New Roman" w:cs="Times New Roman"/>
          <w:b/>
          <w:kern w:val="0"/>
          <w:sz w:val="24"/>
          <w:szCs w:val="24"/>
          <w14:ligatures w14:val="none"/>
        </w:rPr>
        <w:t xml:space="preserve"> 2026</w:t>
      </w:r>
    </w:p>
    <w:p w14:paraId="5E87DE33" w14:textId="77777777" w:rsidR="00221112" w:rsidRPr="00DE5E47" w:rsidRDefault="00221112">
      <w:pPr>
        <w:spacing w:after="200" w:line="480" w:lineRule="auto"/>
        <w:jc w:val="both"/>
        <w:rPr>
          <w:rFonts w:eastAsia="Times New Roman" w:cs="Times New Roman"/>
          <w:b/>
          <w:kern w:val="0"/>
          <w:sz w:val="24"/>
          <w:szCs w:val="24"/>
          <w14:ligatures w14:val="none"/>
        </w:rPr>
        <w:sectPr w:rsidR="00221112" w:rsidRPr="00DE5E47">
          <w:footerReference w:type="default" r:id="rId9"/>
          <w:footerReference w:type="first" r:id="rId10"/>
          <w:pgSz w:w="11910" w:h="16840"/>
          <w:pgMar w:top="1440" w:right="1440" w:bottom="1440" w:left="1440" w:header="504" w:footer="504" w:gutter="0"/>
          <w:pgNumType w:fmt="lowerRoman" w:start="1"/>
          <w:cols w:space="720"/>
          <w:titlePg/>
          <w:docGrid w:linePitch="299"/>
        </w:sectPr>
      </w:pPr>
    </w:p>
    <w:p w14:paraId="1D644590" w14:textId="77777777" w:rsidR="00221112" w:rsidRPr="00DE5E47" w:rsidRDefault="00C14051">
      <w:pPr>
        <w:spacing w:before="600" w:after="240" w:line="480" w:lineRule="auto"/>
        <w:contextualSpacing/>
        <w:jc w:val="both"/>
        <w:outlineLvl w:val="0"/>
        <w:rPr>
          <w:rFonts w:eastAsia="Times New Roman" w:cs="Times New Roman"/>
          <w:b/>
          <w:bCs/>
          <w:kern w:val="0"/>
          <w:sz w:val="24"/>
          <w:szCs w:val="24"/>
          <w14:ligatures w14:val="none"/>
        </w:rPr>
      </w:pPr>
      <w:bookmarkStart w:id="4" w:name="_Toc76558172"/>
      <w:bookmarkStart w:id="5" w:name="_Toc240214076"/>
      <w:bookmarkStart w:id="6" w:name="_Toc241432213"/>
      <w:r w:rsidRPr="00DE5E47">
        <w:rPr>
          <w:rFonts w:eastAsia="Times New Roman" w:cs="Times New Roman"/>
          <w:b/>
          <w:bCs/>
          <w:kern w:val="0"/>
          <w:sz w:val="24"/>
          <w:szCs w:val="24"/>
          <w14:ligatures w14:val="none"/>
        </w:rPr>
        <w:lastRenderedPageBreak/>
        <w:t>DECLARATION</w:t>
      </w:r>
      <w:bookmarkEnd w:id="4"/>
      <w:bookmarkEnd w:id="5"/>
      <w:bookmarkEnd w:id="6"/>
    </w:p>
    <w:p w14:paraId="2ACD6288" w14:textId="77777777" w:rsidR="00221112" w:rsidRPr="00DE5E47" w:rsidRDefault="00C14051">
      <w:pPr>
        <w:spacing w:after="200" w:line="480" w:lineRule="auto"/>
        <w:jc w:val="both"/>
        <w:rPr>
          <w:rFonts w:eastAsia="Times New Roman" w:cs="Times New Roman"/>
          <w:kern w:val="0"/>
          <w:sz w:val="24"/>
          <w:szCs w:val="24"/>
          <w14:ligatures w14:val="none"/>
        </w:rPr>
      </w:pPr>
      <w:r w:rsidRPr="00DE5E47">
        <w:rPr>
          <w:rFonts w:eastAsia="Times New Roman" w:cs="Times New Roman"/>
          <w:kern w:val="0"/>
          <w:sz w:val="24"/>
          <w:szCs w:val="24"/>
          <w14:ligatures w14:val="none"/>
        </w:rPr>
        <w:t>I declare that this thesis is my original work and has not been presented for a degree in any other university or for another award.</w:t>
      </w:r>
    </w:p>
    <w:p w14:paraId="2449BE3F" w14:textId="77777777" w:rsidR="00221112" w:rsidRPr="00DE5E47" w:rsidRDefault="00C14051">
      <w:pPr>
        <w:spacing w:after="200" w:line="480" w:lineRule="auto"/>
        <w:jc w:val="both"/>
        <w:rPr>
          <w:rFonts w:eastAsia="Times New Roman" w:cs="Times New Roman"/>
          <w:b/>
          <w:kern w:val="0"/>
          <w:sz w:val="24"/>
          <w:szCs w:val="24"/>
          <w14:ligatures w14:val="none"/>
        </w:rPr>
      </w:pPr>
      <w:r w:rsidRPr="00DE5E47">
        <w:rPr>
          <w:rFonts w:eastAsia="Times New Roman" w:cs="Times New Roman"/>
          <w:b/>
          <w:kern w:val="0"/>
          <w:sz w:val="24"/>
          <w:szCs w:val="24"/>
          <w14:ligatures w14:val="none"/>
        </w:rPr>
        <w:t>SIGN___________________________________</w:t>
      </w:r>
      <w:r w:rsidRPr="00DE5E47">
        <w:rPr>
          <w:rFonts w:eastAsia="Times New Roman" w:cs="Times New Roman"/>
          <w:b/>
          <w:kern w:val="0"/>
          <w:sz w:val="24"/>
          <w:szCs w:val="24"/>
          <w14:ligatures w14:val="none"/>
        </w:rPr>
        <w:tab/>
      </w:r>
      <w:r w:rsidRPr="00DE5E47">
        <w:rPr>
          <w:rFonts w:eastAsia="Times New Roman" w:cs="Times New Roman"/>
          <w:b/>
          <w:kern w:val="0"/>
          <w:sz w:val="24"/>
          <w:szCs w:val="24"/>
          <w14:ligatures w14:val="none"/>
        </w:rPr>
        <w:tab/>
      </w:r>
      <w:r w:rsidRPr="00DE5E47">
        <w:rPr>
          <w:rFonts w:eastAsia="Times New Roman" w:cs="Times New Roman"/>
          <w:b/>
          <w:kern w:val="0"/>
          <w:sz w:val="24"/>
          <w:szCs w:val="24"/>
          <w14:ligatures w14:val="none"/>
        </w:rPr>
        <w:tab/>
        <w:t>DATE_____________</w:t>
      </w:r>
    </w:p>
    <w:p w14:paraId="3C142B43" w14:textId="77777777" w:rsidR="00221112" w:rsidRPr="00DE5E47" w:rsidRDefault="00C14051">
      <w:pPr>
        <w:spacing w:after="200" w:line="480" w:lineRule="auto"/>
        <w:jc w:val="both"/>
        <w:rPr>
          <w:rFonts w:eastAsia="Times New Roman" w:cs="Times New Roman"/>
          <w:b/>
          <w:kern w:val="0"/>
          <w:sz w:val="24"/>
          <w:szCs w:val="24"/>
          <w14:ligatures w14:val="none"/>
        </w:rPr>
      </w:pPr>
      <w:r w:rsidRPr="00DE5E47">
        <w:rPr>
          <w:rFonts w:eastAsia="Times New Roman" w:cs="Times New Roman"/>
          <w:b/>
          <w:kern w:val="0"/>
          <w:sz w:val="24"/>
          <w:szCs w:val="24"/>
          <w14:ligatures w14:val="none"/>
        </w:rPr>
        <w:t>SG25/PU/36064/19</w:t>
      </w:r>
    </w:p>
    <w:p w14:paraId="6CCC81E7" w14:textId="77777777" w:rsidR="00221112" w:rsidRPr="00DE5E47" w:rsidRDefault="00221112">
      <w:pPr>
        <w:spacing w:after="200" w:line="480" w:lineRule="auto"/>
        <w:jc w:val="both"/>
        <w:rPr>
          <w:rFonts w:eastAsia="Times New Roman" w:cs="Times New Roman"/>
          <w:b/>
          <w:kern w:val="0"/>
          <w:sz w:val="24"/>
          <w:szCs w:val="24"/>
          <w14:ligatures w14:val="none"/>
        </w:rPr>
      </w:pPr>
    </w:p>
    <w:p w14:paraId="7CA06F94" w14:textId="77777777" w:rsidR="00221112" w:rsidRPr="00DE5E47" w:rsidRDefault="00C14051">
      <w:pPr>
        <w:spacing w:after="200" w:line="480" w:lineRule="auto"/>
        <w:jc w:val="both"/>
        <w:rPr>
          <w:rFonts w:eastAsia="Times New Roman" w:cs="Times New Roman"/>
          <w:kern w:val="0"/>
          <w:sz w:val="24"/>
          <w:szCs w:val="24"/>
          <w14:ligatures w14:val="none"/>
        </w:rPr>
      </w:pPr>
      <w:r w:rsidRPr="00DE5E47">
        <w:rPr>
          <w:rFonts w:eastAsia="Times New Roman" w:cs="Times New Roman"/>
          <w:kern w:val="0"/>
          <w:sz w:val="24"/>
          <w:szCs w:val="24"/>
          <w14:ligatures w14:val="none"/>
        </w:rPr>
        <w:t>We confirm that the candidate did the work reported in this thesis under our supervision.</w:t>
      </w:r>
    </w:p>
    <w:p w14:paraId="31E579ED" w14:textId="77777777" w:rsidR="00221112" w:rsidRPr="00DE5E47" w:rsidRDefault="00221112">
      <w:pPr>
        <w:spacing w:after="200" w:line="480" w:lineRule="auto"/>
        <w:jc w:val="both"/>
        <w:rPr>
          <w:rFonts w:eastAsia="Times New Roman" w:cs="Times New Roman"/>
          <w:b/>
          <w:kern w:val="0"/>
          <w:sz w:val="24"/>
          <w:szCs w:val="24"/>
          <w14:ligatures w14:val="none"/>
        </w:rPr>
      </w:pPr>
    </w:p>
    <w:p w14:paraId="4B8347FF" w14:textId="77777777" w:rsidR="00221112" w:rsidRPr="00DE5E47" w:rsidRDefault="00C14051">
      <w:pPr>
        <w:spacing w:after="200" w:line="480" w:lineRule="auto"/>
        <w:jc w:val="both"/>
        <w:rPr>
          <w:rFonts w:eastAsia="Times New Roman" w:cs="Times New Roman"/>
          <w:b/>
          <w:kern w:val="0"/>
          <w:sz w:val="24"/>
          <w:szCs w:val="24"/>
          <w14:ligatures w14:val="none"/>
        </w:rPr>
      </w:pPr>
      <w:r w:rsidRPr="00DE5E47">
        <w:rPr>
          <w:rFonts w:eastAsia="Times New Roman" w:cs="Times New Roman"/>
          <w:b/>
          <w:kern w:val="0"/>
          <w:sz w:val="24"/>
          <w:szCs w:val="24"/>
          <w14:ligatures w14:val="none"/>
        </w:rPr>
        <w:t>SIGN__________________________</w:t>
      </w:r>
      <w:r w:rsidRPr="00DE5E47">
        <w:rPr>
          <w:rFonts w:eastAsia="Times New Roman" w:cs="Times New Roman"/>
          <w:b/>
          <w:kern w:val="0"/>
          <w:sz w:val="24"/>
          <w:szCs w:val="24"/>
          <w14:ligatures w14:val="none"/>
        </w:rPr>
        <w:tab/>
        <w:t>DATE___________ _________ Prof. Andrew Wamukota</w:t>
      </w:r>
    </w:p>
    <w:p w14:paraId="066DE5BF" w14:textId="77777777" w:rsidR="00221112" w:rsidRPr="00DE5E47" w:rsidRDefault="00C14051">
      <w:pPr>
        <w:tabs>
          <w:tab w:val="left" w:pos="1095"/>
        </w:tabs>
        <w:spacing w:after="200" w:line="480" w:lineRule="auto"/>
        <w:jc w:val="both"/>
        <w:rPr>
          <w:rFonts w:eastAsia="Times New Roman" w:cs="Times New Roman"/>
          <w:b/>
          <w:kern w:val="0"/>
          <w:sz w:val="24"/>
          <w:szCs w:val="24"/>
          <w14:ligatures w14:val="none"/>
        </w:rPr>
      </w:pPr>
      <w:r w:rsidRPr="00DE5E47">
        <w:rPr>
          <w:rFonts w:eastAsia="Times New Roman" w:cs="Times New Roman"/>
          <w:b/>
          <w:kern w:val="0"/>
          <w:sz w:val="24"/>
          <w:szCs w:val="24"/>
          <w14:ligatures w14:val="none"/>
        </w:rPr>
        <w:tab/>
      </w:r>
    </w:p>
    <w:p w14:paraId="41137746" w14:textId="77777777" w:rsidR="00221112" w:rsidRPr="00DE5E47" w:rsidRDefault="00C14051">
      <w:pPr>
        <w:spacing w:after="200" w:line="480" w:lineRule="auto"/>
        <w:jc w:val="both"/>
        <w:rPr>
          <w:rFonts w:eastAsia="Times New Roman" w:cs="Times New Roman"/>
          <w:b/>
          <w:kern w:val="0"/>
          <w:sz w:val="24"/>
          <w:szCs w:val="24"/>
          <w14:ligatures w14:val="none"/>
        </w:rPr>
      </w:pPr>
      <w:r w:rsidRPr="00DE5E47">
        <w:rPr>
          <w:rFonts w:eastAsia="Times New Roman" w:cs="Times New Roman"/>
          <w:b/>
          <w:kern w:val="0"/>
          <w:sz w:val="24"/>
          <w:szCs w:val="24"/>
          <w14:ligatures w14:val="none"/>
        </w:rPr>
        <w:t>SIGN__________________________</w:t>
      </w:r>
      <w:r w:rsidRPr="00DE5E47">
        <w:rPr>
          <w:rFonts w:eastAsia="Times New Roman" w:cs="Times New Roman"/>
          <w:b/>
          <w:kern w:val="0"/>
          <w:sz w:val="24"/>
          <w:szCs w:val="24"/>
          <w14:ligatures w14:val="none"/>
        </w:rPr>
        <w:tab/>
        <w:t>DATE___________ _________</w:t>
      </w:r>
    </w:p>
    <w:p w14:paraId="22D39CB0" w14:textId="77777777" w:rsidR="00221112" w:rsidRPr="00DE5E47" w:rsidRDefault="00C14051">
      <w:pPr>
        <w:spacing w:after="200" w:line="480" w:lineRule="auto"/>
        <w:jc w:val="both"/>
        <w:rPr>
          <w:rFonts w:eastAsia="Times New Roman" w:cs="Times New Roman"/>
          <w:b/>
          <w:kern w:val="0"/>
          <w:sz w:val="24"/>
          <w:szCs w:val="24"/>
          <w14:ligatures w14:val="none"/>
        </w:rPr>
      </w:pPr>
      <w:r w:rsidRPr="00DE5E47">
        <w:rPr>
          <w:rFonts w:eastAsia="Times New Roman" w:cs="Times New Roman"/>
          <w:b/>
          <w:kern w:val="0"/>
          <w:sz w:val="24"/>
          <w:szCs w:val="24"/>
          <w14:ligatures w14:val="none"/>
        </w:rPr>
        <w:t>Dr. David O. Mirera</w:t>
      </w:r>
    </w:p>
    <w:p w14:paraId="2B2EC0C3" w14:textId="77777777" w:rsidR="00221112" w:rsidRPr="00DE5E47" w:rsidRDefault="00C14051">
      <w:pPr>
        <w:spacing w:before="600" w:after="240" w:line="480" w:lineRule="auto"/>
        <w:contextualSpacing/>
        <w:jc w:val="center"/>
        <w:outlineLvl w:val="0"/>
        <w:rPr>
          <w:rFonts w:eastAsia="Times New Roman" w:cs="Times New Roman"/>
          <w:b/>
          <w:bCs/>
          <w:kern w:val="0"/>
          <w:sz w:val="24"/>
          <w:szCs w:val="24"/>
          <w14:ligatures w14:val="none"/>
        </w:rPr>
      </w:pPr>
      <w:bookmarkStart w:id="7" w:name="_Toc76558173"/>
      <w:bookmarkStart w:id="8" w:name="_Toc240214077"/>
      <w:bookmarkStart w:id="9" w:name="_Toc241432214"/>
      <w:r w:rsidRPr="00DE5E47">
        <w:rPr>
          <w:rFonts w:eastAsia="Times New Roman" w:cs="Times New Roman"/>
          <w:b/>
          <w:bCs/>
          <w:kern w:val="0"/>
          <w:sz w:val="24"/>
          <w:szCs w:val="24"/>
          <w14:ligatures w14:val="none"/>
        </w:rPr>
        <w:t>DEDICATION</w:t>
      </w:r>
      <w:bookmarkEnd w:id="0"/>
      <w:bookmarkEnd w:id="7"/>
      <w:bookmarkEnd w:id="8"/>
      <w:bookmarkEnd w:id="9"/>
    </w:p>
    <w:p w14:paraId="3BA5D4DA" w14:textId="77777777" w:rsidR="00221112" w:rsidRPr="00DE5E47" w:rsidRDefault="00C14051">
      <w:pPr>
        <w:spacing w:line="480" w:lineRule="auto"/>
        <w:jc w:val="both"/>
        <w:rPr>
          <w:rFonts w:cs="Times New Roman"/>
          <w:color w:val="000000" w:themeColor="text1"/>
          <w:sz w:val="24"/>
          <w:szCs w:val="24"/>
        </w:rPr>
      </w:pPr>
      <w:r w:rsidRPr="00DE5E47">
        <w:rPr>
          <w:rFonts w:cs="Times New Roman"/>
          <w:color w:val="000000" w:themeColor="text1"/>
          <w:sz w:val="24"/>
          <w:szCs w:val="24"/>
        </w:rPr>
        <w:t>I dedicate this work to my God who strengthens me in everything.</w:t>
      </w:r>
    </w:p>
    <w:p w14:paraId="63E38B21" w14:textId="77777777" w:rsidR="00221112" w:rsidRPr="00DE5E47" w:rsidRDefault="00221112">
      <w:pPr>
        <w:spacing w:after="200" w:line="480" w:lineRule="auto"/>
        <w:jc w:val="both"/>
        <w:rPr>
          <w:rFonts w:eastAsia="Times New Roman" w:cs="Times New Roman"/>
          <w:kern w:val="0"/>
          <w:sz w:val="24"/>
          <w:szCs w:val="24"/>
          <w14:ligatures w14:val="none"/>
        </w:rPr>
      </w:pPr>
    </w:p>
    <w:p w14:paraId="2B5D6C52" w14:textId="77777777" w:rsidR="00221112" w:rsidRPr="00DE5E47" w:rsidRDefault="00C14051">
      <w:pPr>
        <w:spacing w:before="600" w:after="240" w:line="480" w:lineRule="auto"/>
        <w:contextualSpacing/>
        <w:jc w:val="center"/>
        <w:outlineLvl w:val="0"/>
        <w:rPr>
          <w:rFonts w:eastAsia="Times New Roman" w:cs="Times New Roman"/>
          <w:b/>
          <w:bCs/>
          <w:kern w:val="0"/>
          <w:sz w:val="24"/>
          <w:szCs w:val="24"/>
          <w14:ligatures w14:val="none"/>
        </w:rPr>
      </w:pPr>
      <w:bookmarkStart w:id="10" w:name="_Toc76558174"/>
      <w:bookmarkStart w:id="11" w:name="_Toc69041131"/>
      <w:bookmarkStart w:id="12" w:name="_Toc240214078"/>
      <w:bookmarkStart w:id="13" w:name="_Toc241432215"/>
      <w:r w:rsidRPr="00DE5E47">
        <w:rPr>
          <w:rFonts w:eastAsia="Times New Roman" w:cs="Times New Roman"/>
          <w:b/>
          <w:bCs/>
          <w:kern w:val="0"/>
          <w:sz w:val="24"/>
          <w:szCs w:val="24"/>
          <w14:ligatures w14:val="none"/>
        </w:rPr>
        <w:t>ACKNOWLEDGEMEN</w:t>
      </w:r>
      <w:bookmarkEnd w:id="10"/>
      <w:bookmarkEnd w:id="11"/>
      <w:r w:rsidR="00020103" w:rsidRPr="00DE5E47">
        <w:rPr>
          <w:rFonts w:eastAsia="Times New Roman" w:cs="Times New Roman"/>
          <w:b/>
          <w:bCs/>
          <w:kern w:val="0"/>
          <w:sz w:val="24"/>
          <w:szCs w:val="24"/>
          <w14:ligatures w14:val="none"/>
        </w:rPr>
        <w:t>T</w:t>
      </w:r>
      <w:bookmarkEnd w:id="12"/>
      <w:bookmarkEnd w:id="13"/>
    </w:p>
    <w:p w14:paraId="3A115EE1" w14:textId="77777777" w:rsidR="00221112" w:rsidRPr="00DE5E47" w:rsidRDefault="00C14051">
      <w:pPr>
        <w:spacing w:line="480" w:lineRule="auto"/>
        <w:jc w:val="both"/>
        <w:rPr>
          <w:rFonts w:cs="Times New Roman"/>
          <w:color w:val="000000" w:themeColor="text1"/>
          <w:sz w:val="24"/>
          <w:szCs w:val="24"/>
        </w:rPr>
      </w:pPr>
      <w:r w:rsidRPr="00DE5E47">
        <w:rPr>
          <w:rFonts w:cs="Times New Roman"/>
          <w:color w:val="000000" w:themeColor="text1"/>
          <w:sz w:val="24"/>
          <w:szCs w:val="24"/>
        </w:rPr>
        <w:t xml:space="preserve">I would like to acknowledge the contribution and support of the following people in the preparation of my thesis. Prof. Andrew Wamukota, for his supervisory role and advice. His patience was my </w:t>
      </w:r>
      <w:r w:rsidRPr="00DE5E47">
        <w:rPr>
          <w:rFonts w:cs="Times New Roman"/>
          <w:color w:val="000000" w:themeColor="text1"/>
          <w:sz w:val="24"/>
          <w:szCs w:val="24"/>
        </w:rPr>
        <w:lastRenderedPageBreak/>
        <w:t>support. Dr. Mirera from KMFRI-Mombasa is acknowledged for his intellectual advice and encouragement. I would also like to acknowledge Mr. Benrick Ogutu from the Kenya Fisheries Service (KeFS) for the immense support during the process of data collection and the officials of BMUs (Vanga, Shimoni and Majoreni) for enabling me to carry out data collection in the region. I would also like to thank my beloved husband Dr. Dan Elisha Mugubi, my son Leslie Johnson, and my parents Mr. Joseph Sangura and Ms. Christine Lusaka for being there socially and financially. Much thanks to Pwani University especially the department of Biological Sciences for giving me the opportunity to pursue my masters degree and for the support throughout my study period. Above all, may God bless and give grace to everyone who had a helping hand in my studies.</w:t>
      </w:r>
    </w:p>
    <w:p w14:paraId="4771B674" w14:textId="77777777" w:rsidR="00A32D91" w:rsidRPr="00DE5E47" w:rsidRDefault="00A32D91">
      <w:pPr>
        <w:jc w:val="center"/>
        <w:rPr>
          <w:rFonts w:eastAsia="Times New Roman" w:cs="Times New Roman"/>
          <w:b/>
          <w:sz w:val="24"/>
          <w:szCs w:val="24"/>
        </w:rPr>
      </w:pPr>
    </w:p>
    <w:p w14:paraId="70715C60" w14:textId="77777777" w:rsidR="00A32D91" w:rsidRPr="00DE5E47" w:rsidRDefault="00A32D91">
      <w:pPr>
        <w:jc w:val="center"/>
        <w:rPr>
          <w:rFonts w:eastAsia="Times New Roman" w:cs="Times New Roman"/>
          <w:b/>
          <w:sz w:val="24"/>
          <w:szCs w:val="24"/>
        </w:rPr>
      </w:pPr>
    </w:p>
    <w:p w14:paraId="47F1BFB8" w14:textId="77777777" w:rsidR="00A32D91" w:rsidRPr="00DE5E47" w:rsidRDefault="00A32D91">
      <w:pPr>
        <w:jc w:val="center"/>
        <w:rPr>
          <w:rFonts w:eastAsia="Times New Roman" w:cs="Times New Roman"/>
          <w:b/>
          <w:sz w:val="24"/>
          <w:szCs w:val="24"/>
        </w:rPr>
      </w:pPr>
    </w:p>
    <w:p w14:paraId="2054BE9A" w14:textId="77777777" w:rsidR="00A32D91" w:rsidRPr="00DE5E47" w:rsidRDefault="00A32D91">
      <w:pPr>
        <w:jc w:val="center"/>
        <w:rPr>
          <w:rFonts w:eastAsia="Times New Roman" w:cs="Times New Roman"/>
          <w:b/>
          <w:sz w:val="24"/>
          <w:szCs w:val="24"/>
        </w:rPr>
      </w:pPr>
    </w:p>
    <w:p w14:paraId="6E20DBBB" w14:textId="77777777" w:rsidR="00A32D91" w:rsidRPr="00DE5E47" w:rsidRDefault="00A32D91">
      <w:pPr>
        <w:jc w:val="center"/>
        <w:rPr>
          <w:rFonts w:eastAsia="Times New Roman" w:cs="Times New Roman"/>
          <w:b/>
          <w:sz w:val="24"/>
          <w:szCs w:val="24"/>
        </w:rPr>
      </w:pPr>
    </w:p>
    <w:p w14:paraId="7D9A8134" w14:textId="77777777" w:rsidR="00A32D91" w:rsidRPr="00DE5E47" w:rsidRDefault="00A32D91">
      <w:pPr>
        <w:jc w:val="center"/>
        <w:rPr>
          <w:rFonts w:eastAsia="Times New Roman" w:cs="Times New Roman"/>
          <w:b/>
          <w:sz w:val="24"/>
          <w:szCs w:val="24"/>
        </w:rPr>
      </w:pPr>
    </w:p>
    <w:p w14:paraId="2B5B93DD" w14:textId="77777777" w:rsidR="00A32D91" w:rsidRPr="00DE5E47" w:rsidRDefault="00A32D91">
      <w:pPr>
        <w:jc w:val="center"/>
        <w:rPr>
          <w:rFonts w:eastAsia="Times New Roman" w:cs="Times New Roman"/>
          <w:b/>
          <w:sz w:val="24"/>
          <w:szCs w:val="24"/>
        </w:rPr>
      </w:pPr>
    </w:p>
    <w:p w14:paraId="73445561" w14:textId="77777777" w:rsidR="00A32D91" w:rsidRPr="00DE5E47" w:rsidRDefault="00A32D91">
      <w:pPr>
        <w:jc w:val="center"/>
        <w:rPr>
          <w:rFonts w:eastAsia="Times New Roman" w:cs="Times New Roman"/>
          <w:b/>
          <w:sz w:val="24"/>
          <w:szCs w:val="24"/>
        </w:rPr>
      </w:pPr>
    </w:p>
    <w:p w14:paraId="1F8C711D" w14:textId="77777777" w:rsidR="00A32D91" w:rsidRPr="00DE5E47" w:rsidRDefault="00A32D91">
      <w:pPr>
        <w:jc w:val="center"/>
        <w:rPr>
          <w:rFonts w:eastAsia="Times New Roman" w:cs="Times New Roman"/>
          <w:b/>
          <w:sz w:val="24"/>
          <w:szCs w:val="24"/>
        </w:rPr>
      </w:pPr>
    </w:p>
    <w:p w14:paraId="69DC1736" w14:textId="77777777" w:rsidR="00A32D91" w:rsidRPr="00DE5E47" w:rsidRDefault="00A32D91">
      <w:pPr>
        <w:jc w:val="center"/>
        <w:rPr>
          <w:rFonts w:eastAsia="Times New Roman" w:cs="Times New Roman"/>
          <w:b/>
          <w:sz w:val="24"/>
          <w:szCs w:val="24"/>
        </w:rPr>
      </w:pPr>
    </w:p>
    <w:p w14:paraId="3B735CDE" w14:textId="77777777" w:rsidR="00A32D91" w:rsidRPr="00DE5E47" w:rsidRDefault="00A32D91">
      <w:pPr>
        <w:jc w:val="center"/>
        <w:rPr>
          <w:rFonts w:eastAsia="Times New Roman" w:cs="Times New Roman"/>
          <w:b/>
          <w:sz w:val="24"/>
          <w:szCs w:val="24"/>
        </w:rPr>
      </w:pPr>
    </w:p>
    <w:p w14:paraId="53BE79DA" w14:textId="77777777" w:rsidR="00A32D91" w:rsidRPr="00DE5E47" w:rsidRDefault="00A32D91">
      <w:pPr>
        <w:jc w:val="center"/>
        <w:rPr>
          <w:rFonts w:eastAsia="Times New Roman" w:cs="Times New Roman"/>
          <w:b/>
          <w:sz w:val="24"/>
          <w:szCs w:val="24"/>
        </w:rPr>
      </w:pPr>
    </w:p>
    <w:p w14:paraId="4D558BCB" w14:textId="77777777" w:rsidR="00A32D91" w:rsidRPr="00DE5E47" w:rsidRDefault="00A32D91">
      <w:pPr>
        <w:jc w:val="center"/>
        <w:rPr>
          <w:rFonts w:eastAsia="Times New Roman" w:cs="Times New Roman"/>
          <w:b/>
          <w:sz w:val="24"/>
          <w:szCs w:val="24"/>
        </w:rPr>
      </w:pPr>
    </w:p>
    <w:p w14:paraId="65E0BE4A" w14:textId="77777777" w:rsidR="00221112" w:rsidRPr="00DE5E47" w:rsidRDefault="00C14051">
      <w:pPr>
        <w:jc w:val="center"/>
        <w:outlineLvl w:val="0"/>
        <w:rPr>
          <w:rFonts w:eastAsia="Times New Roman" w:cs="Times New Roman"/>
          <w:b/>
          <w:bCs/>
          <w:kern w:val="0"/>
          <w:sz w:val="24"/>
          <w:szCs w:val="24"/>
          <w14:ligatures w14:val="none"/>
        </w:rPr>
      </w:pPr>
      <w:r w:rsidRPr="00DE5E47">
        <w:rPr>
          <w:rFonts w:eastAsia="Times New Roman" w:cs="Times New Roman"/>
          <w:b/>
          <w:sz w:val="24"/>
          <w:szCs w:val="24"/>
        </w:rPr>
        <w:t>ABSTRACT</w:t>
      </w:r>
    </w:p>
    <w:p w14:paraId="79F10B06" w14:textId="77777777" w:rsidR="00221112" w:rsidRPr="00DE5E47" w:rsidRDefault="00C14051">
      <w:pPr>
        <w:spacing w:after="0" w:line="276" w:lineRule="auto"/>
        <w:jc w:val="both"/>
        <w:rPr>
          <w:rFonts w:eastAsia="Calibri" w:cs="Times New Roman"/>
          <w:sz w:val="24"/>
          <w:szCs w:val="24"/>
        </w:rPr>
      </w:pPr>
      <w:r>
        <w:t>Mud crab (Scylla serrata) fishing supports coastal livelihoods on the South Coast of Kenya, yet how the market is organised, and how the value of a crab is shared between the people who catch, trade and sell it, has not been documented in detail. This study profiled mud crab actors in Kwale County, examined the functions they perform at each market node, and assessed the constraints and opportunities each actor category reported. A cross-sectional survey of 96 respondents — 65 fishers, 22 middlemen, five hoteliers and four exporters — was carried out between May 2022 and December 2023 using structured questionnaires, field observations and key-informant interviews. Analysis in IBM SPSS Statistics used valid percentages within actor category and Beach Management Unit, descriptive statistics for income and prices, Monte Carlo chi-square tests based on 10,000 resamples for associations with BMU among fishers and middlemen, and Kruskal–Wallis tests for reported prices, at the 5% significance level. Every table reports all four actor categories.</w:t>
      </w:r>
      <w:r/>
    </w:p>
    <w:p w14:paraId="79F10B06" w14:textId="77777777" w:rsidR="00221112" w:rsidRPr="00DE5E47" w:rsidRDefault="00C14051">
      <w:pPr>
        <w:spacing w:after="0" w:line="276" w:lineRule="auto"/>
        <w:jc w:val="both"/>
        <w:rPr>
          <w:rFonts w:eastAsia="Calibri" w:cs="Times New Roman"/>
          <w:sz w:val="24"/>
          <w:szCs w:val="24"/>
        </w:rPr>
      </w:pPr>
      <w:r>
        <w:t xml:space="preserve">The four actor categories differed systematically. Ninety-five of the 96 respondents were men. No fisher or middleman had schooling beyond secondary level while every hotelier and exporter held a certificate, diploma or degree, and no respondent in any category belonged to a cooperative, an association or a self-help group. Operating licences were held by 12.5% of fishers against every hotelier and exporter, 93.8% of fishers named a middleman as their main source of credit, and mean monthly mud crab income rose from KSh 8,969 among fishers to KSh 90,000 among exporters. Of 68 tests against BMU, nine reached the .05 level; fisher age group was the clearest, χ²(12, N = 63) = 30.91, p = .004.</w:t>
      </w:r>
      <w:r/>
    </w:p>
    <w:p w14:paraId="79F10B06" w14:textId="77777777" w:rsidR="00221112" w:rsidRPr="00DE5E47" w:rsidRDefault="00C14051">
      <w:pPr>
        <w:spacing w:after="0" w:line="276" w:lineRule="auto"/>
        <w:jc w:val="both"/>
        <w:rPr>
          <w:rFonts w:eastAsia="Calibri" w:cs="Times New Roman"/>
          <w:sz w:val="24"/>
          <w:szCs w:val="24"/>
        </w:rPr>
      </w:pPr>
      <w:r>
        <w:t xml:space="preserve">Functions divided cleanly by node and so did the information attached to them. All 65 fishers graded on weight alone while 95.5% of middlemen and every hotelier and exporter used size, weight, shell condition and claw size; formal quality control and contact with the final buyer sat entirely downstream. Mean large-crab prices were KSh 604.6/kg for fishers, KSh 945.5/kg for middlemen, KSh 1,700.0/kg for exporters and KSh 2,200.0/kg for hoteliers, H(3) = 55.84, p &lt; .001. Expressed as shares of the end-of-chain price, the fisher retained 27.5% to 39.6%, the middleman added 15.5% to 20.0%, and 44.4% to 57.0% was added at the final buyer. Fisher prices differed across sites, H(3) = 20.32, p &lt; .001, while middleman prices did not, H(2) = 5.33, p = .070, so the first-sale gap was set locally: Majoreni fishers held 91.7% of the local middleman price against close to 54% at Shimoni and Vanga. Since no cost data were collected these are gross price spreads, not net margins.</w:t>
      </w:r>
      <w:r/>
    </w:p>
    <w:p w14:paraId="79F10B06" w14:textId="77777777" w:rsidR="00221112" w:rsidRPr="00DE5E47" w:rsidRDefault="00C14051">
      <w:pPr>
        <w:spacing w:after="0" w:line="276" w:lineRule="auto"/>
        <w:jc w:val="both"/>
        <w:rPr>
          <w:rFonts w:eastAsia="Calibri" w:cs="Times New Roman"/>
          <w:sz w:val="24"/>
          <w:szCs w:val="24"/>
        </w:rPr>
      </w:pPr>
      <w:r>
        <w:t xml:space="preserve">Constraints followed function: price fluctuation and poor roads for fishers, mortality and missing aggregation facilities for middlemen, seasonality for hoteliers, freight cost and flight risk for exporters. Barriers to market access were reported by 95.8% of respondents, no actor had adopted new equipment or conducted market research, and management-plan awareness reached 95.5% of middlemen but only 15.4% of fishers. The market is commercially active but institutionally uneven, with grading knowledge, logistics and access to high-value buyers concentrated downstream. A shared grading standard, a public BMU price register, better live-crab handling and aggregation facilities, transparent credit terms and practical licensing support are recommended.</w:t>
      </w:r>
      <w:r/>
    </w:p>
    <w:p w14:paraId="2F40E5D5" w14:textId="77777777" w:rsidR="00221112" w:rsidRPr="00DE5E47" w:rsidRDefault="00221112">
      <w:pPr>
        <w:pStyle w:val="TableofFigures"/>
        <w:pageBreakBefore/>
        <w:spacing w:line="480" w:lineRule="auto"/>
        <w:jc w:val="center"/>
        <w:rPr>
          <w:rFonts w:eastAsia="Calibri" w:cs="Times New Roman"/>
          <w:sz w:val="24"/>
          <w:szCs w:val="24"/>
        </w:rPr>
      </w:pPr>
      <w:r>
        <w:lastRenderedPageBreak/>
        <w:t>TABLE OF CONTENTS</w:t>
      </w:r>
    </w:p>
    <w:p>
      <w:pPr>
        <w:tabs>
          <w:tab w:val="right" w:leader="dot" w:pos="8827"/>
        </w:tabs>
        <w:spacing w:line="276" w:lineRule="auto" w:after="40"/>
      </w:pPr>
      <w:r>
        <w:rPr>
          <w:rFonts w:ascii="Times New Roman" w:hAnsi="Times New Roman" w:cs="Times New Roman"/>
          <w:b/>
          <w:sz w:val="24"/>
          <w:szCs w:val="24"/>
          <w:color w:val="000000"/>
        </w:rPr>
        <w:t xml:space="preserve">LIST OF TABLES</w:t>
      </w:r>
      <w:r>
        <w:tab/>
      </w:r>
      <w:r>
        <w:fldChar w:fldCharType="begin"/>
      </w:r>
      <w:r>
        <w:instrText xml:space="preserve"> PAGEREF _Toc_1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pPr>
      <w:r>
        <w:rPr>
          <w:rFonts w:ascii="Times New Roman" w:hAnsi="Times New Roman" w:cs="Times New Roman"/>
          <w:b/>
          <w:sz w:val="24"/>
          <w:szCs w:val="24"/>
          <w:color w:val="000000"/>
        </w:rPr>
        <w:t xml:space="preserve">LIST OF FIGURES</w:t>
      </w:r>
      <w:r>
        <w:tab/>
      </w:r>
      <w:r>
        <w:fldChar w:fldCharType="begin"/>
      </w:r>
      <w:r>
        <w:instrText xml:space="preserve"> PAGEREF _Toc_2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pPr>
      <w:r>
        <w:rPr>
          <w:rFonts w:ascii="Times New Roman" w:hAnsi="Times New Roman" w:cs="Times New Roman"/>
          <w:b/>
          <w:sz w:val="24"/>
          <w:szCs w:val="24"/>
          <w:color w:val="000000"/>
        </w:rPr>
        <w:t xml:space="preserve">LIST OF ABBREVIATIONS</w:t>
      </w:r>
      <w:r>
        <w:tab/>
      </w:r>
      <w:r>
        <w:fldChar w:fldCharType="begin"/>
      </w:r>
      <w:r>
        <w:instrText xml:space="preserve"> PAGEREF _Toc_3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pPr>
      <w:r>
        <w:rPr>
          <w:rFonts w:ascii="Times New Roman" w:hAnsi="Times New Roman" w:cs="Times New Roman"/>
          <w:b/>
          <w:sz w:val="24"/>
          <w:szCs w:val="24"/>
          <w:color w:val="000000"/>
        </w:rPr>
        <w:t xml:space="preserve">CHAPTER ONE: INTRODUCTION</w:t>
      </w:r>
      <w:r>
        <w:tab/>
      </w:r>
      <w:r>
        <w:fldChar w:fldCharType="begin"/>
      </w:r>
      <w:r>
        <w:instrText xml:space="preserve"> PAGEREF _Toc_4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1.1 Background information</w:t>
      </w:r>
      <w:r>
        <w:tab/>
      </w:r>
      <w:r>
        <w:fldChar w:fldCharType="begin"/>
      </w:r>
      <w:r>
        <w:instrText xml:space="preserve"> PAGEREF _Toc_5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1.2 Statement of the problem</w:t>
      </w:r>
      <w:r>
        <w:tab/>
      </w:r>
      <w:r>
        <w:fldChar w:fldCharType="begin"/>
      </w:r>
      <w:r>
        <w:instrText xml:space="preserve"> PAGEREF _Toc_6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1.3 Objectives of the Study</w:t>
      </w:r>
      <w:r>
        <w:tab/>
      </w:r>
      <w:r>
        <w:fldChar w:fldCharType="begin"/>
      </w:r>
      <w:r>
        <w:instrText xml:space="preserve"> PAGEREF _Toc_7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1.3.1 General Objective</w:t>
      </w:r>
      <w:r>
        <w:tab/>
      </w:r>
      <w:r>
        <w:fldChar w:fldCharType="begin"/>
      </w:r>
      <w:r>
        <w:instrText xml:space="preserve"> PAGEREF _Toc_8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1.3.2 Specific objectives</w:t>
      </w:r>
      <w:r>
        <w:tab/>
      </w:r>
      <w:r>
        <w:fldChar w:fldCharType="begin"/>
      </w:r>
      <w:r>
        <w:instrText xml:space="preserve"> PAGEREF _Toc_9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1.4 Research Questions</w:t>
      </w:r>
      <w:r>
        <w:tab/>
      </w:r>
      <w:r>
        <w:fldChar w:fldCharType="begin"/>
      </w:r>
      <w:r>
        <w:instrText xml:space="preserve"> PAGEREF _Toc_10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1.5 Significance of the study</w:t>
      </w:r>
      <w:r>
        <w:tab/>
      </w:r>
      <w:r>
        <w:fldChar w:fldCharType="begin"/>
      </w:r>
      <w:r>
        <w:instrText xml:space="preserve"> PAGEREF _Toc_11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pPr>
      <w:r>
        <w:rPr>
          <w:rFonts w:ascii="Times New Roman" w:hAnsi="Times New Roman" w:cs="Times New Roman"/>
          <w:b/>
          <w:sz w:val="24"/>
          <w:szCs w:val="24"/>
          <w:color w:val="000000"/>
        </w:rPr>
        <w:t xml:space="preserve">CHAPTER TWO: LITERATURE REVIEW</w:t>
      </w:r>
      <w:r>
        <w:tab/>
      </w:r>
      <w:r>
        <w:fldChar w:fldCharType="begin"/>
      </w:r>
      <w:r>
        <w:instrText xml:space="preserve"> PAGEREF _Toc_12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2.1 Species biology and Ecological importance</w:t>
      </w:r>
      <w:r>
        <w:tab/>
      </w:r>
      <w:r>
        <w:fldChar w:fldCharType="begin"/>
      </w:r>
      <w:r>
        <w:instrText xml:space="preserve"> PAGEREF _Toc_13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2.2 Mud crab harvesting strategies</w:t>
      </w:r>
      <w:r>
        <w:tab/>
      </w:r>
      <w:r>
        <w:fldChar w:fldCharType="begin"/>
      </w:r>
      <w:r>
        <w:instrText xml:space="preserve"> PAGEREF _Toc_14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2.3 Overview of mud crab fisheries and market structure</w:t>
      </w:r>
      <w:r>
        <w:tab/>
      </w:r>
      <w:r>
        <w:fldChar w:fldCharType="begin"/>
      </w:r>
      <w:r>
        <w:instrText xml:space="preserve"> PAGEREF _Toc_15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2.4 Mud crab fishery actors and their characteristics</w:t>
      </w:r>
      <w:r>
        <w:tab/>
      </w:r>
      <w:r>
        <w:fldChar w:fldCharType="begin"/>
      </w:r>
      <w:r>
        <w:instrText xml:space="preserve"> PAGEREF _Toc_16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2.5 Functions of actors at different market levels</w:t>
      </w:r>
      <w:r>
        <w:tab/>
      </w:r>
      <w:r>
        <w:fldChar w:fldCharType="begin"/>
      </w:r>
      <w:r>
        <w:instrText xml:space="preserve"> PAGEREF _Toc_17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2.6 Business dynamics of the mud crab fishery</w:t>
      </w:r>
      <w:r>
        <w:tab/>
      </w:r>
      <w:r>
        <w:fldChar w:fldCharType="begin"/>
      </w:r>
      <w:r>
        <w:instrText xml:space="preserve"> PAGEREF _Toc_18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2.6.1 Overview of mud crab business dynamics</w:t>
      </w:r>
      <w:r>
        <w:tab/>
      </w:r>
      <w:r>
        <w:fldChar w:fldCharType="begin"/>
      </w:r>
      <w:r>
        <w:instrText xml:space="preserve"> PAGEREF _Toc_19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2.6.2 Grading of mud crabs</w:t>
      </w:r>
      <w:r>
        <w:tab/>
      </w:r>
      <w:r>
        <w:fldChar w:fldCharType="begin"/>
      </w:r>
      <w:r>
        <w:instrText xml:space="preserve"> PAGEREF _Toc_20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2.6.3 Pricing of mud crabs</w:t>
      </w:r>
      <w:r>
        <w:tab/>
      </w:r>
      <w:r>
        <w:fldChar w:fldCharType="begin"/>
      </w:r>
      <w:r>
        <w:instrText xml:space="preserve"> PAGEREF _Toc_21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2.6.4 Transport of mud crabs</w:t>
      </w:r>
      <w:r>
        <w:tab/>
      </w:r>
      <w:r>
        <w:fldChar w:fldCharType="begin"/>
      </w:r>
      <w:r>
        <w:instrText xml:space="preserve"> PAGEREF _Toc_22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2.6.5 Packaging of mud crabs</w:t>
      </w:r>
      <w:r>
        <w:tab/>
      </w:r>
      <w:r>
        <w:fldChar w:fldCharType="begin"/>
      </w:r>
      <w:r>
        <w:instrText xml:space="preserve"> PAGEREF _Toc_23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2.6.6 Modes of payment in the mud crab trade</w:t>
      </w:r>
      <w:r>
        <w:tab/>
      </w:r>
      <w:r>
        <w:fldChar w:fldCharType="begin"/>
      </w:r>
      <w:r>
        <w:instrText xml:space="preserve"> PAGEREF _Toc_24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2.7 Constraints faced by mud crab fishery actors</w:t>
      </w:r>
      <w:r>
        <w:tab/>
      </w:r>
      <w:r>
        <w:fldChar w:fldCharType="begin"/>
      </w:r>
      <w:r>
        <w:instrText xml:space="preserve"> PAGEREF _Toc_25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2.8 Opportunities in the mud crab fishery</w:t>
      </w:r>
      <w:r>
        <w:tab/>
      </w:r>
      <w:r>
        <w:fldChar w:fldCharType="begin"/>
      </w:r>
      <w:r>
        <w:instrText xml:space="preserve"> PAGEREF _Toc_26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2.9 Legal and policy frameworks governing mud crab fishery in Kenya</w:t>
      </w:r>
      <w:r>
        <w:tab/>
      </w:r>
      <w:r>
        <w:fldChar w:fldCharType="begin"/>
      </w:r>
      <w:r>
        <w:instrText xml:space="preserve"> PAGEREF _Toc_27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2.10 Critical Assessment of the Literature</w:t>
      </w:r>
      <w:r>
        <w:tab/>
      </w:r>
      <w:r>
        <w:fldChar w:fldCharType="begin"/>
      </w:r>
      <w:r>
        <w:instrText xml:space="preserve"> PAGEREF _Toc_28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2.10.1 Where the literature agrees</w:t>
      </w:r>
      <w:r>
        <w:tab/>
      </w:r>
      <w:r>
        <w:fldChar w:fldCharType="begin"/>
      </w:r>
      <w:r>
        <w:instrText xml:space="preserve"> PAGEREF _Toc_29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2.10.2 Where the literature conflicts: the role of the middleman</w:t>
      </w:r>
      <w:r>
        <w:tab/>
      </w:r>
      <w:r>
        <w:fldChar w:fldCharType="begin"/>
      </w:r>
      <w:r>
        <w:instrText xml:space="preserve"> PAGEREF _Toc_30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2.10.3 Where the literature conflicts: what grading does</w:t>
      </w:r>
      <w:r>
        <w:tab/>
      </w:r>
      <w:r>
        <w:fldChar w:fldCharType="begin"/>
      </w:r>
      <w:r>
        <w:instrText xml:space="preserve"> PAGEREF _Toc_31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2.10.4 Methodological limitations of previous studies</w:t>
      </w:r>
      <w:r>
        <w:tab/>
      </w:r>
      <w:r>
        <w:fldChar w:fldCharType="begin"/>
      </w:r>
      <w:r>
        <w:instrText xml:space="preserve"> PAGEREF _Toc_32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2.10.5 The South Coast and Kwale County: what is and is not known</w:t>
      </w:r>
      <w:r>
        <w:tab/>
      </w:r>
      <w:r>
        <w:fldChar w:fldCharType="begin"/>
      </w:r>
      <w:r>
        <w:instrText xml:space="preserve"> PAGEREF _Toc_33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2.10.6 The research gap</w:t>
      </w:r>
      <w:r>
        <w:tab/>
      </w:r>
      <w:r>
        <w:fldChar w:fldCharType="begin"/>
      </w:r>
      <w:r>
        <w:instrText xml:space="preserve"> PAGEREF _Toc_34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2.11 Theoretical Framework</w:t>
      </w:r>
      <w:r>
        <w:tab/>
      </w:r>
      <w:r>
        <w:fldChar w:fldCharType="begin"/>
      </w:r>
      <w:r>
        <w:instrText xml:space="preserve"> PAGEREF _Toc_35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2.12 Conceptual Framework</w:t>
      </w:r>
      <w:r>
        <w:tab/>
      </w:r>
      <w:r>
        <w:fldChar w:fldCharType="begin"/>
      </w:r>
      <w:r>
        <w:instrText xml:space="preserve"> PAGEREF _Toc_36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pPr>
      <w:r>
        <w:rPr>
          <w:rFonts w:ascii="Times New Roman" w:hAnsi="Times New Roman" w:cs="Times New Roman"/>
          <w:b/>
          <w:sz w:val="24"/>
          <w:szCs w:val="24"/>
          <w:color w:val="000000"/>
        </w:rPr>
        <w:t xml:space="preserve">CHAPTER THREE: MATERIALS AND METHODS</w:t>
      </w:r>
      <w:r>
        <w:tab/>
      </w:r>
      <w:r>
        <w:fldChar w:fldCharType="begin"/>
      </w:r>
      <w:r>
        <w:instrText xml:space="preserve"> PAGEREF _Toc_37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3.1 Introduction</w:t>
      </w:r>
      <w:r>
        <w:tab/>
      </w:r>
      <w:r>
        <w:fldChar w:fldCharType="begin"/>
      </w:r>
      <w:r>
        <w:instrText xml:space="preserve"> PAGEREF _Toc_38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3.2 Study site</w:t>
      </w:r>
      <w:r>
        <w:tab/>
      </w:r>
      <w:r>
        <w:fldChar w:fldCharType="begin"/>
      </w:r>
      <w:r>
        <w:instrText xml:space="preserve"> PAGEREF _Toc_39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3.3 Research design</w:t>
      </w:r>
      <w:r>
        <w:tab/>
      </w:r>
      <w:r>
        <w:fldChar w:fldCharType="begin"/>
      </w:r>
      <w:r>
        <w:instrText xml:space="preserve"> PAGEREF _Toc_40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3.4 Target population</w:t>
      </w:r>
      <w:r>
        <w:tab/>
      </w:r>
      <w:r>
        <w:fldChar w:fldCharType="begin"/>
      </w:r>
      <w:r>
        <w:instrText xml:space="preserve"> PAGEREF _Toc_41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3.5 Sample size and sampling procedures</w:t>
      </w:r>
      <w:r>
        <w:tab/>
      </w:r>
      <w:r>
        <w:fldChar w:fldCharType="begin"/>
      </w:r>
      <w:r>
        <w:instrText xml:space="preserve"> PAGEREF _Toc_42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3.6 Non-Response and Sampling Limitations</w:t>
      </w:r>
      <w:r>
        <w:tab/>
      </w:r>
      <w:r>
        <w:fldChar w:fldCharType="begin"/>
      </w:r>
      <w:r>
        <w:instrText xml:space="preserve"> PAGEREF _Toc_43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3.7 Pilot study</w:t>
      </w:r>
      <w:r>
        <w:tab/>
      </w:r>
      <w:r>
        <w:fldChar w:fldCharType="begin"/>
      </w:r>
      <w:r>
        <w:instrText xml:space="preserve"> PAGEREF _Toc_44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3.8 Data collection</w:t>
      </w:r>
      <w:r>
        <w:tab/>
      </w:r>
      <w:r>
        <w:fldChar w:fldCharType="begin"/>
      </w:r>
      <w:r>
        <w:instrText xml:space="preserve"> PAGEREF _Toc_45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3.9 Alignment of objectives and analysis</w:t>
      </w:r>
      <w:r>
        <w:tab/>
      </w:r>
      <w:r>
        <w:fldChar w:fldCharType="begin"/>
      </w:r>
      <w:r>
        <w:instrText xml:space="preserve"> PAGEREF _Toc_46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3.10 Data analysis</w:t>
      </w:r>
      <w:r>
        <w:tab/>
      </w:r>
      <w:r>
        <w:fldChar w:fldCharType="begin"/>
      </w:r>
      <w:r>
        <w:instrText xml:space="preserve"> PAGEREF _Toc_47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3.10.1 Data entry and processing</w:t>
      </w:r>
      <w:r>
        <w:tab/>
      </w:r>
      <w:r>
        <w:fldChar w:fldCharType="begin"/>
      </w:r>
      <w:r>
        <w:instrText xml:space="preserve"> PAGEREF _Toc_48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3.10.2 Chi-square tests of association</w:t>
      </w:r>
      <w:r>
        <w:tab/>
      </w:r>
      <w:r>
        <w:fldChar w:fldCharType="begin"/>
      </w:r>
      <w:r>
        <w:instrText xml:space="preserve"> PAGEREF _Toc_49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3.10.3 Kruskal–Wallis tests of reported prices</w:t>
      </w:r>
      <w:r>
        <w:tab/>
      </w:r>
      <w:r>
        <w:fldChar w:fldCharType="begin"/>
      </w:r>
      <w:r>
        <w:instrText xml:space="preserve"> PAGEREF _Toc_50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3.11 Ethical considerations</w:t>
      </w:r>
      <w:r>
        <w:tab/>
      </w:r>
      <w:r>
        <w:fldChar w:fldCharType="begin"/>
      </w:r>
      <w:r>
        <w:instrText xml:space="preserve"> PAGEREF _Toc_51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pPr>
      <w:r>
        <w:rPr>
          <w:rFonts w:ascii="Times New Roman" w:hAnsi="Times New Roman" w:cs="Times New Roman"/>
          <w:b/>
          <w:sz w:val="24"/>
          <w:szCs w:val="24"/>
          <w:color w:val="000000"/>
        </w:rPr>
        <w:t xml:space="preserve">CHAPTER FOUR: RESULTS</w:t>
      </w:r>
      <w:r>
        <w:tab/>
      </w:r>
      <w:r>
        <w:fldChar w:fldCharType="begin"/>
      </w:r>
      <w:r>
        <w:instrText xml:space="preserve"> PAGEREF _Toc_52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4.1 Introduction</w:t>
      </w:r>
      <w:r>
        <w:tab/>
      </w:r>
      <w:r>
        <w:fldChar w:fldCharType="begin"/>
      </w:r>
      <w:r>
        <w:instrText xml:space="preserve"> PAGEREF _Toc_53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4.2 Distribution of Respondents</w:t>
      </w:r>
      <w:r>
        <w:tab/>
      </w:r>
      <w:r>
        <w:fldChar w:fldCharType="begin"/>
      </w:r>
      <w:r>
        <w:instrText xml:space="preserve"> PAGEREF _Toc_54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4.3 Objective One: Profile of Mud Crab Actors and Their Characteristics</w:t>
      </w:r>
      <w:r>
        <w:tab/>
      </w:r>
      <w:r>
        <w:fldChar w:fldCharType="begin"/>
      </w:r>
      <w:r>
        <w:instrText xml:space="preserve"> PAGEREF _Toc_55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4.3.1 Demographic and Personal Characteristics</w:t>
      </w:r>
      <w:r>
        <w:tab/>
      </w:r>
      <w:r>
        <w:fldChar w:fldCharType="begin"/>
      </w:r>
      <w:r>
        <w:instrText xml:space="preserve"> PAGEREF _Toc_56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4.3.2 Business and Operational Characteristics</w:t>
      </w:r>
      <w:r>
        <w:tab/>
      </w:r>
      <w:r>
        <w:fldChar w:fldCharType="begin"/>
      </w:r>
      <w:r>
        <w:instrText xml:space="preserve"> PAGEREF _Toc_57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4.3.3 Knowledge, Training and Group Membership</w:t>
      </w:r>
      <w:r>
        <w:tab/>
      </w:r>
      <w:r>
        <w:fldChar w:fldCharType="begin"/>
      </w:r>
      <w:r>
        <w:instrText xml:space="preserve"> PAGEREF _Toc_58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4.3.4 Summary of Objective One</w:t>
      </w:r>
      <w:r>
        <w:tab/>
      </w:r>
      <w:r>
        <w:fldChar w:fldCharType="begin"/>
      </w:r>
      <w:r>
        <w:instrText xml:space="preserve"> PAGEREF _Toc_59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4.3.5 Discussion of Findings in Relation to Previous Studies</w:t>
      </w:r>
      <w:r>
        <w:tab/>
      </w:r>
      <w:r>
        <w:fldChar w:fldCharType="begin"/>
      </w:r>
      <w:r>
        <w:instrText xml:space="preserve"> PAGEREF _Toc_60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4.4 Objective Two: Functions Performed by Actors at Each Market Node</w:t>
      </w:r>
      <w:r>
        <w:tab/>
      </w:r>
      <w:r>
        <w:fldChar w:fldCharType="begin"/>
      </w:r>
      <w:r>
        <w:instrText xml:space="preserve"> PAGEREF _Toc_61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4.4.1 Acquisition of Crabs and Disposal of the Catch</w:t>
      </w:r>
      <w:r>
        <w:tab/>
      </w:r>
      <w:r>
        <w:fldChar w:fldCharType="begin"/>
      </w:r>
      <w:r>
        <w:instrText xml:space="preserve"> PAGEREF _Toc_62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4.4.2 Buyers and Market Channels</w:t>
      </w:r>
      <w:r>
        <w:tab/>
      </w:r>
      <w:r>
        <w:fldChar w:fldCharType="begin"/>
      </w:r>
      <w:r>
        <w:instrText xml:space="preserve"> PAGEREF _Toc_63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4.4.3 Preparation, Packaging and Transport</w:t>
      </w:r>
      <w:r>
        <w:tab/>
      </w:r>
      <w:r>
        <w:fldChar w:fldCharType="begin"/>
      </w:r>
      <w:r>
        <w:instrText xml:space="preserve"> PAGEREF _Toc_64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4.4.4 Grading and Quality Control</w:t>
      </w:r>
      <w:r>
        <w:tab/>
      </w:r>
      <w:r>
        <w:fldChar w:fldCharType="begin"/>
      </w:r>
      <w:r>
        <w:instrText xml:space="preserve"> PAGEREF _Toc_65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4.4.5 Reported Losses</w:t>
      </w:r>
      <w:r>
        <w:tab/>
      </w:r>
      <w:r>
        <w:fldChar w:fldCharType="begin"/>
      </w:r>
      <w:r>
        <w:instrText xml:space="preserve"> PAGEREF _Toc_66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4.4.6 Payment, Price Setting and Sale Location</w:t>
      </w:r>
      <w:r>
        <w:tab/>
      </w:r>
      <w:r>
        <w:fldChar w:fldCharType="begin"/>
      </w:r>
      <w:r>
        <w:instrText xml:space="preserve"> PAGEREF _Toc_67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4.4.7 Trading Relationships and Market Information</w:t>
      </w:r>
      <w:r>
        <w:tab/>
      </w:r>
      <w:r>
        <w:fldChar w:fldCharType="begin"/>
      </w:r>
      <w:r>
        <w:instrText xml:space="preserve"> PAGEREF _Toc_68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4.4.8 Reported Mud Crab Prices</w:t>
      </w:r>
      <w:r>
        <w:tab/>
      </w:r>
      <w:r>
        <w:fldChar w:fldCharType="begin"/>
      </w:r>
      <w:r>
        <w:instrText xml:space="preserve"> PAGEREF _Toc_69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4.4.9 Marketing Margins and the Distribution of Value</w:t>
      </w:r>
      <w:r>
        <w:tab/>
      </w:r>
      <w:r>
        <w:fldChar w:fldCharType="begin"/>
      </w:r>
      <w:r>
        <w:instrText xml:space="preserve"> PAGEREF _Toc_70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4.4.10 Prices by Study Site</w:t>
      </w:r>
      <w:r>
        <w:tab/>
      </w:r>
      <w:r>
        <w:fldChar w:fldCharType="begin"/>
      </w:r>
      <w:r>
        <w:instrText xml:space="preserve"> PAGEREF _Toc_71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4.4.11 Summary of Objective Two</w:t>
      </w:r>
      <w:r>
        <w:tab/>
      </w:r>
      <w:r>
        <w:fldChar w:fldCharType="begin"/>
      </w:r>
      <w:r>
        <w:instrText xml:space="preserve"> PAGEREF _Toc_72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4.4.12 Discussion of Findings in Relation to Previous Studies</w:t>
      </w:r>
      <w:r>
        <w:tab/>
      </w:r>
      <w:r>
        <w:fldChar w:fldCharType="begin"/>
      </w:r>
      <w:r>
        <w:instrText xml:space="preserve"> PAGEREF _Toc_73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4.5 Objective Three: Constraints and Opportunities Facing Each Actor Category</w:t>
      </w:r>
      <w:r>
        <w:tab/>
      </w:r>
      <w:r>
        <w:fldChar w:fldCharType="begin"/>
      </w:r>
      <w:r>
        <w:instrText xml:space="preserve"> PAGEREF _Toc_74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4.5.1 Operational and Infrastructure Constraints</w:t>
      </w:r>
      <w:r>
        <w:tab/>
      </w:r>
      <w:r>
        <w:fldChar w:fldCharType="begin"/>
      </w:r>
      <w:r>
        <w:instrText xml:space="preserve"> PAGEREF _Toc_75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4.5.2 Market Access, Operational Challenges and Risk</w:t>
      </w:r>
      <w:r>
        <w:tab/>
      </w:r>
      <w:r>
        <w:fldChar w:fldCharType="begin"/>
      </w:r>
      <w:r>
        <w:instrText xml:space="preserve"> PAGEREF _Toc_76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4.5.3 Regulation and Access to Information</w:t>
      </w:r>
      <w:r>
        <w:tab/>
      </w:r>
      <w:r>
        <w:fldChar w:fldCharType="begin"/>
      </w:r>
      <w:r>
        <w:instrText xml:space="preserve"> PAGEREF _Toc_77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4.5.4 Perceptions of Market Organisation and Policy</w:t>
      </w:r>
      <w:r>
        <w:tab/>
      </w:r>
      <w:r>
        <w:fldChar w:fldCharType="begin"/>
      </w:r>
      <w:r>
        <w:instrText xml:space="preserve"> PAGEREF _Toc_78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4.5.5 Opportunities, Youth Participation and Diversification</w:t>
      </w:r>
      <w:r>
        <w:tab/>
      </w:r>
      <w:r>
        <w:fldChar w:fldCharType="begin"/>
      </w:r>
      <w:r>
        <w:instrText xml:space="preserve"> PAGEREF _Toc_79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4.5.6 Summary of Objective Three</w:t>
      </w:r>
      <w:r>
        <w:tab/>
      </w:r>
      <w:r>
        <w:fldChar w:fldCharType="begin"/>
      </w:r>
      <w:r>
        <w:instrText xml:space="preserve"> PAGEREF _Toc_80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4.5.7 Discussion of Findings in Relation to Previous Studies</w:t>
      </w:r>
      <w:r>
        <w:tab/>
      </w:r>
      <w:r>
        <w:fldChar w:fldCharType="begin"/>
      </w:r>
      <w:r>
        <w:instrText xml:space="preserve"> PAGEREF _Toc_81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4.6 Actor-Specific Associations With BMU</w:t>
      </w:r>
      <w:r>
        <w:tab/>
      </w:r>
      <w:r>
        <w:fldChar w:fldCharType="begin"/>
      </w:r>
      <w:r>
        <w:instrText xml:space="preserve"> PAGEREF _Toc_82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4.7 Chapter Summary</w:t>
      </w:r>
      <w:r>
        <w:tab/>
      </w:r>
      <w:r>
        <w:fldChar w:fldCharType="begin"/>
      </w:r>
      <w:r>
        <w:instrText xml:space="preserve"> PAGEREF _Toc_83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pPr>
      <w:r>
        <w:rPr>
          <w:rFonts w:ascii="Times New Roman" w:hAnsi="Times New Roman" w:cs="Times New Roman"/>
          <w:b/>
          <w:sz w:val="24"/>
          <w:szCs w:val="24"/>
          <w:color w:val="000000"/>
        </w:rPr>
        <w:t xml:space="preserve">CHAPTER FIVE: DISCUSSION</w:t>
      </w:r>
      <w:r>
        <w:tab/>
      </w:r>
      <w:r>
        <w:fldChar w:fldCharType="begin"/>
      </w:r>
      <w:r>
        <w:instrText xml:space="preserve"> PAGEREF _Toc_84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5.1 Introduction</w:t>
      </w:r>
      <w:r>
        <w:tab/>
      </w:r>
      <w:r>
        <w:fldChar w:fldCharType="begin"/>
      </w:r>
      <w:r>
        <w:instrText xml:space="preserve"> PAGEREF _Toc_85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5.2 Objective One: Profile of Mud Crab Actors</w:t>
      </w:r>
      <w:r>
        <w:tab/>
      </w:r>
      <w:r>
        <w:fldChar w:fldCharType="begin"/>
      </w:r>
      <w:r>
        <w:instrText xml:space="preserve"> PAGEREF _Toc_86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5.2.1 Key Findings</w:t>
      </w:r>
      <w:r>
        <w:tab/>
      </w:r>
      <w:r>
        <w:fldChar w:fldCharType="begin"/>
      </w:r>
      <w:r>
        <w:instrText xml:space="preserve"> PAGEREF _Toc_87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5.2.2 Gender and the Limits of the Sampling Frame</w:t>
      </w:r>
      <w:r>
        <w:tab/>
      </w:r>
      <w:r>
        <w:fldChar w:fldCharType="begin"/>
      </w:r>
      <w:r>
        <w:instrText xml:space="preserve"> PAGEREF _Toc_88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5.2.3 Experience, Licensing and the Absence of Collective Organisation</w:t>
      </w:r>
      <w:r>
        <w:tab/>
      </w:r>
      <w:r>
        <w:fldChar w:fldCharType="begin"/>
      </w:r>
      <w:r>
        <w:instrText xml:space="preserve"> PAGEREF _Toc_89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5.2.4 Credit and Dependence Within the Chain</w:t>
      </w:r>
      <w:r>
        <w:tab/>
      </w:r>
      <w:r>
        <w:fldChar w:fldCharType="begin"/>
      </w:r>
      <w:r>
        <w:instrText xml:space="preserve"> PAGEREF _Toc_90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5.2.5 Implications</w:t>
      </w:r>
      <w:r>
        <w:tab/>
      </w:r>
      <w:r>
        <w:fldChar w:fldCharType="begin"/>
      </w:r>
      <w:r>
        <w:instrText xml:space="preserve"> PAGEREF _Toc_91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5.3 Objective Two: Functions at Each Market Node and the Distribution of Value</w:t>
      </w:r>
      <w:r>
        <w:tab/>
      </w:r>
      <w:r>
        <w:fldChar w:fldCharType="begin"/>
      </w:r>
      <w:r>
        <w:instrText xml:space="preserve"> PAGEREF _Toc_92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5.3.1 Key Findings</w:t>
      </w:r>
      <w:r>
        <w:tab/>
      </w:r>
      <w:r>
        <w:fldChar w:fldCharType="begin"/>
      </w:r>
      <w:r>
        <w:instrText xml:space="preserve"> PAGEREF _Toc_93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5.3.2 Grading as a Mechanism of Value Capture</w:t>
      </w:r>
      <w:r>
        <w:tab/>
      </w:r>
      <w:r>
        <w:fldChar w:fldCharType="begin"/>
      </w:r>
      <w:r>
        <w:instrText xml:space="preserve"> PAGEREF _Toc_94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5.3.3 Handling, Packaging and Loss</w:t>
      </w:r>
      <w:r>
        <w:tab/>
      </w:r>
      <w:r>
        <w:fldChar w:fldCharType="begin"/>
      </w:r>
      <w:r>
        <w:instrText xml:space="preserve"> PAGEREF _Toc_95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5.3.4 Price Formation and the Distribution of Value</w:t>
      </w:r>
      <w:r>
        <w:tab/>
      </w:r>
      <w:r>
        <w:fldChar w:fldCharType="begin"/>
      </w:r>
      <w:r>
        <w:instrText xml:space="preserve"> PAGEREF _Toc_96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5.3.5 Site Differences and What Drives Them</w:t>
      </w:r>
      <w:r>
        <w:tab/>
      </w:r>
      <w:r>
        <w:fldChar w:fldCharType="begin"/>
      </w:r>
      <w:r>
        <w:instrText xml:space="preserve"> PAGEREF _Toc_97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5.3.6 The Hotelier Medium-Grade Anomaly</w:t>
      </w:r>
      <w:r>
        <w:tab/>
      </w:r>
      <w:r>
        <w:fldChar w:fldCharType="begin"/>
      </w:r>
      <w:r>
        <w:instrText xml:space="preserve"> PAGEREF _Toc_98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5.3.7 Implications</w:t>
      </w:r>
      <w:r>
        <w:tab/>
      </w:r>
      <w:r>
        <w:fldChar w:fldCharType="begin"/>
      </w:r>
      <w:r>
        <w:instrText xml:space="preserve"> PAGEREF _Toc_99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5.4 Objective Three: Constraints and Opportunities</w:t>
      </w:r>
      <w:r>
        <w:tab/>
      </w:r>
      <w:r>
        <w:fldChar w:fldCharType="begin"/>
      </w:r>
      <w:r>
        <w:instrText xml:space="preserve"> PAGEREF _Toc_100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5.4.1 Key Findings</w:t>
      </w:r>
      <w:r>
        <w:tab/>
      </w:r>
      <w:r>
        <w:fldChar w:fldCharType="begin"/>
      </w:r>
      <w:r>
        <w:instrText xml:space="preserve"> PAGEREF _Toc_101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5.4.2 Constraints Follow Function</w:t>
      </w:r>
      <w:r>
        <w:tab/>
      </w:r>
      <w:r>
        <w:fldChar w:fldCharType="begin"/>
      </w:r>
      <w:r>
        <w:instrText xml:space="preserve"> PAGEREF _Toc_102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5.4.3 Governance and the Direction Information Travels</w:t>
      </w:r>
      <w:r>
        <w:tab/>
      </w:r>
      <w:r>
        <w:fldChar w:fldCharType="begin"/>
      </w:r>
      <w:r>
        <w:instrText xml:space="preserve"> PAGEREF _Toc_103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5.4.4 Opposing Priorities Within One Transaction</w:t>
      </w:r>
      <w:r>
        <w:tab/>
      </w:r>
      <w:r>
        <w:fldChar w:fldCharType="begin"/>
      </w:r>
      <w:r>
        <w:instrText xml:space="preserve"> PAGEREF _Toc_104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5.4.5 Implications</w:t>
      </w:r>
      <w:r>
        <w:tab/>
      </w:r>
      <w:r>
        <w:fldChar w:fldCharType="begin"/>
      </w:r>
      <w:r>
        <w:instrText xml:space="preserve"> PAGEREF _Toc_105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5.5 Synthesis Using the Structure-Conduct-Performance Framework</w:t>
      </w:r>
      <w:r>
        <w:tab/>
      </w:r>
      <w:r>
        <w:fldChar w:fldCharType="begin"/>
      </w:r>
      <w:r>
        <w:instrText xml:space="preserve"> PAGEREF _Toc_106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5.6 What This Study Could Not Measure</w:t>
      </w:r>
      <w:r>
        <w:tab/>
      </w:r>
      <w:r>
        <w:fldChar w:fldCharType="begin"/>
      </w:r>
      <w:r>
        <w:instrText xml:space="preserve"> PAGEREF _Toc_107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5.7 Study Limitations</w:t>
      </w:r>
      <w:r>
        <w:tab/>
      </w:r>
      <w:r>
        <w:fldChar w:fldCharType="begin"/>
      </w:r>
      <w:r>
        <w:instrText xml:space="preserve"> PAGEREF _Toc_108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pPr>
      <w:r>
        <w:rPr>
          <w:rFonts w:ascii="Times New Roman" w:hAnsi="Times New Roman" w:cs="Times New Roman"/>
          <w:b/>
          <w:sz w:val="24"/>
          <w:szCs w:val="24"/>
          <w:color w:val="000000"/>
        </w:rPr>
        <w:t xml:space="preserve">CHAPTER SIX: CONCLUSIONS AND RECOMMENDATIONS</w:t>
      </w:r>
      <w:r>
        <w:tab/>
      </w:r>
      <w:r>
        <w:fldChar w:fldCharType="begin"/>
      </w:r>
      <w:r>
        <w:instrText xml:space="preserve"> PAGEREF _Toc_109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6.1 Introduction</w:t>
      </w:r>
      <w:r>
        <w:tab/>
      </w:r>
      <w:r>
        <w:fldChar w:fldCharType="begin"/>
      </w:r>
      <w:r>
        <w:instrText xml:space="preserve"> PAGEREF _Toc_110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6.2 Conclusions</w:t>
      </w:r>
      <w:r>
        <w:tab/>
      </w:r>
      <w:r>
        <w:fldChar w:fldCharType="begin"/>
      </w:r>
      <w:r>
        <w:instrText xml:space="preserve"> PAGEREF _Toc_111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6.2.1 Conclusion for Objective One</w:t>
      </w:r>
      <w:r>
        <w:tab/>
      </w:r>
      <w:r>
        <w:fldChar w:fldCharType="begin"/>
      </w:r>
      <w:r>
        <w:instrText xml:space="preserve"> PAGEREF _Toc_112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6.2.2 Conclusion for Objective Two</w:t>
      </w:r>
      <w:r>
        <w:tab/>
      </w:r>
      <w:r>
        <w:fldChar w:fldCharType="begin"/>
      </w:r>
      <w:r>
        <w:instrText xml:space="preserve"> PAGEREF _Toc_113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6.2.3 Conclusion for Objective Three</w:t>
      </w:r>
      <w:r>
        <w:tab/>
      </w:r>
      <w:r>
        <w:fldChar w:fldCharType="begin"/>
      </w:r>
      <w:r>
        <w:instrText xml:space="preserve"> PAGEREF _Toc_114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6.3 Overall Conclusion</w:t>
      </w:r>
      <w:r>
        <w:tab/>
      </w:r>
      <w:r>
        <w:fldChar w:fldCharType="begin"/>
      </w:r>
      <w:r>
        <w:instrText xml:space="preserve"> PAGEREF _Toc_115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6.4 Recommendations</w:t>
      </w:r>
      <w:r>
        <w:tab/>
      </w:r>
      <w:r>
        <w:fldChar w:fldCharType="begin"/>
      </w:r>
      <w:r>
        <w:instrText xml:space="preserve"> PAGEREF _Toc_116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6.4.1 Recommendations From Objective One</w:t>
      </w:r>
      <w:r>
        <w:tab/>
      </w:r>
      <w:r>
        <w:fldChar w:fldCharType="begin"/>
      </w:r>
      <w:r>
        <w:instrText xml:space="preserve"> PAGEREF _Toc_117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6.4.2 Recommendations From Objective Two</w:t>
      </w:r>
      <w:r>
        <w:tab/>
      </w:r>
      <w:r>
        <w:fldChar w:fldCharType="begin"/>
      </w:r>
      <w:r>
        <w:instrText xml:space="preserve"> PAGEREF _Toc_118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6.4.3 Recommendations From Objective Three</w:t>
      </w:r>
      <w:r>
        <w:tab/>
      </w:r>
      <w:r>
        <w:fldChar w:fldCharType="begin"/>
      </w:r>
      <w:r>
        <w:instrText xml:space="preserve"> PAGEREF _Toc_119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6.5 Recommendations for Further Research</w:t>
      </w:r>
      <w:r>
        <w:tab/>
      </w:r>
      <w:r>
        <w:fldChar w:fldCharType="begin"/>
      </w:r>
      <w:r>
        <w:instrText xml:space="preserve"> PAGEREF _Toc_120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pPr>
      <w:r>
        <w:rPr>
          <w:rFonts w:ascii="Times New Roman" w:hAnsi="Times New Roman" w:cs="Times New Roman"/>
          <w:b/>
          <w:sz w:val="24"/>
          <w:szCs w:val="24"/>
          <w:color w:val="000000"/>
        </w:rPr>
        <w:t xml:space="preserve">REFERENCES</w:t>
      </w:r>
      <w:r>
        <w:tab/>
      </w:r>
      <w:r>
        <w:fldChar w:fldCharType="begin"/>
      </w:r>
      <w:r>
        <w:instrText xml:space="preserve"> PAGEREF _Toc_121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pPr>
      <w:r>
        <w:rPr>
          <w:rFonts w:ascii="Times New Roman" w:hAnsi="Times New Roman" w:cs="Times New Roman"/>
          <w:b/>
          <w:sz w:val="24"/>
          <w:szCs w:val="24"/>
          <w:color w:val="000000"/>
        </w:rPr>
        <w:t xml:space="preserve">APPENDICES</w:t>
      </w:r>
      <w:r>
        <w:tab/>
      </w:r>
      <w:r>
        <w:fldChar w:fldCharType="begin"/>
      </w:r>
      <w:r>
        <w:instrText xml:space="preserve"> PAGEREF _Toc_122 \h </w:instrText>
      </w:r>
      <w:r>
        <w:fldChar w:fldCharType="separate"/>
      </w:r>
      <w:r>
        <w:rPr>
          <w:rFonts w:ascii="Times New Roman" w:hAnsi="Times New Roman" w:cs="Times New Roman"/>
          <w:sz w:val="24"/>
          <w:szCs w:val="24"/>
          <w:color w:val="000000"/>
        </w:rPr>
        <w:t xml:space="preserve">  </w:t>
      </w:r>
      <w:r>
        <w:fldChar w:fldCharType="end"/>
      </w:r>
    </w:p>
    <w:p w14:paraId="609C3C8A" w14:textId="77777777" w:rsidR="00221112" w:rsidRPr="00DE5E47" w:rsidRDefault="00C14051" w:rsidP="00A32D91">
      <w:pPr>
        <w:pStyle w:val="TableofFigures"/>
        <w:pageBreakBefore/>
        <w:tabs>
          <w:tab w:val="right" w:leader="dot" w:pos="8827"/>
        </w:tabs>
        <w:spacing w:line="360" w:lineRule="auto"/>
        <w:jc w:val="center"/>
        <w:outlineLvl w:val="0"/>
        <w:rPr>
          <w:rFonts w:eastAsia="Times New Roman" w:cs="Times New Roman"/>
          <w:b/>
          <w:bCs/>
          <w:kern w:val="0"/>
          <w:sz w:val="24"/>
          <w:szCs w:val="24"/>
          <w14:ligatures w14:val="none"/>
        </w:rPr>
      </w:pPr>
      <w:bookmarkStart w:id="52001" w:name="_Toc_1"/>
      <w:r w:rsidRPr="00DE5E47">
        <w:rPr>
          <w:rFonts w:eastAsia="Times New Roman" w:cs="Times New Roman"/>
          <w:b/>
          <w:bCs/>
          <w:kern w:val="0"/>
          <w:sz w:val="24"/>
          <w:szCs w:val="24"/>
          <w14:ligatures w14:val="none"/>
        </w:rPr>
        <w:lastRenderedPageBreak/>
        <w:t>LIST OF TABLES</w:t>
      </w:r>
      <w:bookmarkEnd w:id="52001"/>
    </w:p>
    <w:p>
      <w:pPr>
        <w:tabs>
          <w:tab w:val="right" w:leader="dot" w:pos="8827"/>
        </w:tabs>
        <w:spacing w:line="276" w:lineRule="auto" w:after="60"/>
      </w:pPr>
      <w:r>
        <w:rPr>
          <w:rFonts w:ascii="Times New Roman" w:hAnsi="Times New Roman" w:cs="Times New Roman"/>
          <w:sz w:val="24"/>
          <w:szCs w:val="24"/>
          <w:color w:val="000000"/>
        </w:rPr>
        <w:t xml:space="preserve">Table 1: Alignment of Study Objectives, Variables Measured and Analysis Applied</w:t>
      </w:r>
      <w:r>
        <w:tab/>
      </w:r>
      <w:r>
        <w:fldChar w:fldCharType="begin"/>
      </w:r>
      <w:r>
        <w:instrText xml:space="preserve"> PAGEREF _Tbl1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2: Distribution of Respondents by Actor Category and BMU</w:t>
      </w:r>
      <w:r>
        <w:tab/>
      </w:r>
      <w:r>
        <w:fldChar w:fldCharType="begin"/>
      </w:r>
      <w:r>
        <w:instrText xml:space="preserve"> PAGEREF _Tbl2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3: Age Group of Fishers, Middlemen, Hoteliers and Exporters by BMU</w:t>
      </w:r>
      <w:r>
        <w:tab/>
      </w:r>
      <w:r>
        <w:fldChar w:fldCharType="begin"/>
      </w:r>
      <w:r>
        <w:instrText xml:space="preserve"> PAGEREF _Tbl3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4: Gender of Fishers, Middlemen, Hoteliers and Exporters by BMU</w:t>
      </w:r>
      <w:r>
        <w:tab/>
      </w:r>
      <w:r>
        <w:fldChar w:fldCharType="begin"/>
      </w:r>
      <w:r>
        <w:instrText xml:space="preserve"> PAGEREF _Tbl4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5: Highest Education Attained by Fishers, Middlemen, Hoteliers and Exporters by BMU</w:t>
      </w:r>
      <w:r>
        <w:tab/>
      </w:r>
      <w:r>
        <w:fldChar w:fldCharType="begin"/>
      </w:r>
      <w:r>
        <w:instrText xml:space="preserve"> PAGEREF _Tbl5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6: Ethnic Group of Fishers, Middlemen, Hoteliers and Exporters by BMU</w:t>
      </w:r>
      <w:r>
        <w:tab/>
      </w:r>
      <w:r>
        <w:fldChar w:fldCharType="begin"/>
      </w:r>
      <w:r>
        <w:instrText xml:space="preserve"> PAGEREF _Tbl6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7: Marital Status of Fishers, Middlemen, Hoteliers and Exporters by BMU</w:t>
      </w:r>
      <w:r>
        <w:tab/>
      </w:r>
      <w:r>
        <w:fldChar w:fldCharType="begin"/>
      </w:r>
      <w:r>
        <w:instrText xml:space="preserve"> PAGEREF _Tbl7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8: Years of Experience of Fishers, Middlemen, Hoteliers and Exporters by BMU</w:t>
      </w:r>
      <w:r>
        <w:tab/>
      </w:r>
      <w:r>
        <w:fldChar w:fldCharType="begin"/>
      </w:r>
      <w:r>
        <w:instrText xml:space="preserve"> PAGEREF _Tbl8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9: Primary Role and Business Ownership of Fishers, Middlemen, Hoteliers and Exporters by BMU</w:t>
      </w:r>
      <w:r>
        <w:tab/>
      </w:r>
      <w:r>
        <w:fldChar w:fldCharType="begin"/>
      </w:r>
      <w:r>
        <w:instrText xml:space="preserve"> PAGEREF _Tbl9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10: Scale of Operation of Fishers, Middlemen, Hoteliers and Exporters by BMU</w:t>
      </w:r>
      <w:r>
        <w:tab/>
      </w:r>
      <w:r>
        <w:fldChar w:fldCharType="begin"/>
      </w:r>
      <w:r>
        <w:instrText xml:space="preserve"> PAGEREF _Tbl10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11: Monthly Mud Crab Income Band of Fishers, Middlemen, Hoteliers and Exporters by BMU</w:t>
      </w:r>
      <w:r>
        <w:tab/>
      </w:r>
      <w:r>
        <w:fldChar w:fldCharType="begin"/>
      </w:r>
      <w:r>
        <w:instrText xml:space="preserve"> PAGEREF _Tbl11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12: Reported Monthly Income and Age of Respondents by Actor Category</w:t>
      </w:r>
      <w:r>
        <w:tab/>
      </w:r>
      <w:r>
        <w:fldChar w:fldCharType="begin"/>
      </w:r>
      <w:r>
        <w:instrText xml:space="preserve"> PAGEREF _Tbl12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13: Other Income Activities, Operating Licence and Loan Use by Actor and BMU</w:t>
      </w:r>
      <w:r>
        <w:tab/>
      </w:r>
      <w:r>
        <w:fldChar w:fldCharType="begin"/>
      </w:r>
      <w:r>
        <w:instrText xml:space="preserve"> PAGEREF _Tbl13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14: Main Source of Business Credit by Actor and BMU</w:t>
      </w:r>
      <w:r>
        <w:tab/>
      </w:r>
      <w:r>
        <w:fldChar w:fldCharType="begin"/>
      </w:r>
      <w:r>
        <w:instrText xml:space="preserve"> PAGEREF _Tbl14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15: Knowledge Acquisition and Formal Training by Actor and BMU</w:t>
      </w:r>
      <w:r>
        <w:tab/>
      </w:r>
      <w:r>
        <w:fldChar w:fldCharType="begin"/>
      </w:r>
      <w:r>
        <w:instrText xml:space="preserve"> PAGEREF _Tbl15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16: Cooperative Membership, Self-Help Group Participation and Primary Market Supplied by Actor and BMU</w:t>
      </w:r>
      <w:r>
        <w:tab/>
      </w:r>
      <w:r>
        <w:fldChar w:fldCharType="begin"/>
      </w:r>
      <w:r>
        <w:instrText xml:space="preserve"> PAGEREF _Tbl16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17: How Mud Crabs Are Acquired and Source of Crabs for Sale by Actor and BMU</w:t>
      </w:r>
      <w:r>
        <w:tab/>
      </w:r>
      <w:r>
        <w:fldChar w:fldCharType="begin"/>
      </w:r>
      <w:r>
        <w:instrText xml:space="preserve"> PAGEREF _Tbl17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18: Fishing or Collection Gear Used by Actor and BMU</w:t>
      </w:r>
      <w:r>
        <w:tab/>
      </w:r>
      <w:r>
        <w:fldChar w:fldCharType="begin"/>
      </w:r>
      <w:r>
        <w:instrText xml:space="preserve"> PAGEREF _Tbl18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19: Daily Mud Crab Catch Reported by Actor and BMU</w:t>
      </w:r>
      <w:r>
        <w:tab/>
      </w:r>
      <w:r>
        <w:fldChar w:fldCharType="begin"/>
      </w:r>
      <w:r>
        <w:instrText xml:space="preserve"> PAGEREF _Tbl19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20: Proportion of Catch Sold and Travel Time from Fishing Grounds to Market by Actor and BMU</w:t>
      </w:r>
      <w:r>
        <w:tab/>
      </w:r>
      <w:r>
        <w:fldChar w:fldCharType="begin"/>
      </w:r>
      <w:r>
        <w:instrText xml:space="preserve"> PAGEREF _Tbl20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21: Main Buyer Category by Actor and BMU</w:t>
      </w:r>
      <w:r>
        <w:tab/>
      </w:r>
      <w:r>
        <w:fldChar w:fldCharType="begin"/>
      </w:r>
      <w:r>
        <w:instrText xml:space="preserve"> PAGEREF _Tbl21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22: Primary Market Channel and Contact With Final Consumers by Actor and BMU</w:t>
      </w:r>
      <w:r>
        <w:tab/>
      </w:r>
      <w:r>
        <w:fldChar w:fldCharType="begin"/>
      </w:r>
      <w:r>
        <w:instrText xml:space="preserve"> PAGEREF _Tbl22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23: Number of Buyers, State of Crabs Sold and Regularity of the Main Buyer by Actor and BMU</w:t>
      </w:r>
      <w:r>
        <w:tab/>
      </w:r>
      <w:r>
        <w:fldChar w:fldCharType="begin"/>
      </w:r>
      <w:r>
        <w:instrText xml:space="preserve"> PAGEREF _Tbl23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24: Location of Sale and Knowledge of the Onward Sale by Actor and BMU</w:t>
      </w:r>
      <w:r>
        <w:tab/>
      </w:r>
      <w:r>
        <w:fldChar w:fldCharType="begin"/>
      </w:r>
      <w:r>
        <w:instrText xml:space="preserve"> PAGEREF _Tbl24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25: First Buyer Location Reported by Fishers by BMU</w:t>
      </w:r>
      <w:r>
        <w:tab/>
      </w:r>
      <w:r>
        <w:fldChar w:fldCharType="begin"/>
      </w:r>
      <w:r>
        <w:instrText xml:space="preserve"> PAGEREF _Tbl25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26: Second Buyer Location Reported by Fishers by BMU</w:t>
      </w:r>
      <w:r>
        <w:tab/>
      </w:r>
      <w:r>
        <w:fldChar w:fldCharType="begin"/>
      </w:r>
      <w:r>
        <w:instrText xml:space="preserve"> PAGEREF _Tbl26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27: Preparation of Mud Crabs for Market and Preservation by Actor and BMU</w:t>
      </w:r>
      <w:r>
        <w:tab/>
      </w:r>
      <w:r>
        <w:fldChar w:fldCharType="begin"/>
      </w:r>
      <w:r>
        <w:instrText xml:space="preserve"> PAGEREF _Tbl27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28: Packaging Used for Transporting Mud Crabs by Actor and BMU</w:t>
      </w:r>
      <w:r>
        <w:tab/>
      </w:r>
      <w:r>
        <w:fldChar w:fldCharType="begin"/>
      </w:r>
      <w:r>
        <w:instrText xml:space="preserve"> PAGEREF _Tbl28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29: Mode of Transporting Mud Crabs to Market by Actor and BMU</w:t>
      </w:r>
      <w:r>
        <w:tab/>
      </w:r>
      <w:r>
        <w:fldChar w:fldCharType="begin"/>
      </w:r>
      <w:r>
        <w:instrText xml:space="preserve"> PAGEREF _Tbl29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30: Grading Practice and Criteria Used to Determine Grade by Actor and BMU</w:t>
      </w:r>
      <w:r>
        <w:tab/>
      </w:r>
      <w:r>
        <w:fldChar w:fldCharType="begin"/>
      </w:r>
      <w:r>
        <w:instrText xml:space="preserve"> PAGEREF _Tbl30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31: Quality Measures Before Market and Use of Formal Quality Control by Actor and BMU</w:t>
      </w:r>
      <w:r>
        <w:tab/>
      </w:r>
      <w:r>
        <w:fldChar w:fldCharType="begin"/>
      </w:r>
      <w:r>
        <w:instrText xml:space="preserve"> PAGEREF _Tbl31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32: Size Label and Grade Assignment for Large Crabs by Actor and BMU</w:t>
      </w:r>
      <w:r>
        <w:tab/>
      </w:r>
      <w:r>
        <w:fldChar w:fldCharType="begin"/>
      </w:r>
      <w:r>
        <w:instrText xml:space="preserve"> PAGEREF _Tbl32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33: Size Label and Grade Assignment for Medium Crabs by Actor and BMU</w:t>
      </w:r>
      <w:r>
        <w:tab/>
      </w:r>
      <w:r>
        <w:fldChar w:fldCharType="begin"/>
      </w:r>
      <w:r>
        <w:instrText xml:space="preserve"> PAGEREF _Tbl33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34: Size Label and Grade Assignment for Small Crabs by Actor and BMU</w:t>
      </w:r>
      <w:r>
        <w:tab/>
      </w:r>
      <w:r>
        <w:fldChar w:fldCharType="begin"/>
      </w:r>
      <w:r>
        <w:instrText xml:space="preserve"> PAGEREF _Tbl34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35: Reported Daily Mortality by Actor and BMU</w:t>
      </w:r>
      <w:r>
        <w:tab/>
      </w:r>
      <w:r>
        <w:fldChar w:fldCharType="begin"/>
      </w:r>
      <w:r>
        <w:instrText xml:space="preserve"> PAGEREF _Tbl35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36: Reported Loss Through Spoilage by Actor and BMU</w:t>
      </w:r>
      <w:r>
        <w:tab/>
      </w:r>
      <w:r>
        <w:fldChar w:fldCharType="begin"/>
      </w:r>
      <w:r>
        <w:instrText xml:space="preserve"> PAGEREF _Tbl36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37: Mode of Payment by Actor and BMU</w:t>
      </w:r>
      <w:r>
        <w:tab/>
      </w:r>
      <w:r>
        <w:fldChar w:fldCharType="begin"/>
      </w:r>
      <w:r>
        <w:instrText xml:space="preserve"> PAGEREF _Tbl37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38: Pricing Mechanism and How Prices Are Set by Actor and BMU</w:t>
      </w:r>
      <w:r>
        <w:tab/>
      </w:r>
      <w:r>
        <w:fldChar w:fldCharType="begin"/>
      </w:r>
      <w:r>
        <w:instrText xml:space="preserve"> PAGEREF _Tbl38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39: Factors Influencing Price Fluctuations by Actor and BMU</w:t>
      </w:r>
      <w:r>
        <w:tab/>
      </w:r>
      <w:r>
        <w:fldChar w:fldCharType="begin"/>
      </w:r>
      <w:r>
        <w:instrText xml:space="preserve"> PAGEREF _Tbl39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40: Tied Depot Owners and Arrangements With Tied Fishers and Traders by Actor and BMU</w:t>
      </w:r>
      <w:r>
        <w:tab/>
      </w:r>
      <w:r>
        <w:fldChar w:fldCharType="begin"/>
      </w:r>
      <w:r>
        <w:instrText xml:space="preserve"> PAGEREF _Tbl40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41: Arrangements Used With Tied Depot Owners by Actor and BMU</w:t>
      </w:r>
      <w:r>
        <w:tab/>
      </w:r>
      <w:r>
        <w:fldChar w:fldCharType="begin"/>
      </w:r>
      <w:r>
        <w:instrText xml:space="preserve"> PAGEREF _Tbl41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42: Tied Fishers, Tied Traders and Trading Agreements by Actor and BMU</w:t>
      </w:r>
      <w:r>
        <w:tab/>
      </w:r>
      <w:r>
        <w:fldChar w:fldCharType="begin"/>
      </w:r>
      <w:r>
        <w:instrText xml:space="preserve"> PAGEREF _Tbl42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43: Role of Intermediaries and Negotiation Terms by Actor and BMU</w:t>
      </w:r>
      <w:r>
        <w:tab/>
      </w:r>
      <w:r>
        <w:fldChar w:fldCharType="begin"/>
      </w:r>
      <w:r>
        <w:instrText xml:space="preserve"> PAGEREF _Tbl43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44: Technology Adoption and Market Research by Actor and BMU</w:t>
      </w:r>
      <w:r>
        <w:tab/>
      </w:r>
      <w:r>
        <w:fldChar w:fldCharType="begin"/>
      </w:r>
      <w:r>
        <w:instrText xml:space="preserve"> PAGEREF _Tbl44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45: Reported Mud Crab Prices by Actor Category and Size Grade</w:t>
      </w:r>
      <w:r>
        <w:tab/>
      </w:r>
      <w:r>
        <w:fldChar w:fldCharType="begin"/>
      </w:r>
      <w:r>
        <w:instrText xml:space="preserve"> PAGEREF _Tbl45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46: Kruskal–Wallis Comparisons of Reported Mud Crab Prices</w:t>
      </w:r>
      <w:r>
        <w:tab/>
      </w:r>
      <w:r>
        <w:fldChar w:fldCharType="begin"/>
      </w:r>
      <w:r>
        <w:instrText xml:space="preserve"> PAGEREF _Tbl46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47: Marketing Margins and the Distribution of the Final Chain Price Across Actor Nodes</w:t>
      </w:r>
      <w:r>
        <w:tab/>
      </w:r>
      <w:r>
        <w:fldChar w:fldCharType="begin"/>
      </w:r>
      <w:r>
        <w:instrText xml:space="preserve"> PAGEREF _Tbl47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48: Mean Reported Mud Crab Price by Actor Category, BMU and Size Grade</w:t>
      </w:r>
      <w:r>
        <w:tab/>
      </w:r>
      <w:r>
        <w:fldChar w:fldCharType="begin"/>
      </w:r>
      <w:r>
        <w:instrText xml:space="preserve"> PAGEREF _Tbl48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49: First-Sale Price Spread Between Fishers and Middlemen Within Each BMU</w:t>
      </w:r>
      <w:r>
        <w:tab/>
      </w:r>
      <w:r>
        <w:fldChar w:fldCharType="begin"/>
      </w:r>
      <w:r>
        <w:instrText xml:space="preserve"> PAGEREF _Tbl49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50: Main Operational or Marketing Constraint by Actor and BMU</w:t>
      </w:r>
      <w:r>
        <w:tab/>
      </w:r>
      <w:r>
        <w:fldChar w:fldCharType="begin"/>
      </w:r>
      <w:r>
        <w:instrText xml:space="preserve"> PAGEREF _Tbl50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51: Main Infrastructure or Logistics Constraint and Need for Improvement by Actor and BMU</w:t>
      </w:r>
      <w:r>
        <w:tab/>
      </w:r>
      <w:r>
        <w:fldChar w:fldCharType="begin"/>
      </w:r>
      <w:r>
        <w:instrText xml:space="preserve"> PAGEREF _Tbl51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52: Barriers to Market Access and Operational Challenges by Actor and BMU</w:t>
      </w:r>
      <w:r>
        <w:tab/>
      </w:r>
      <w:r>
        <w:fldChar w:fldCharType="begin"/>
      </w:r>
      <w:r>
        <w:instrText xml:space="preserve"> PAGEREF _Tbl52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53: Risk Management Method by Actor and BMU</w:t>
      </w:r>
      <w:r>
        <w:tab/>
      </w:r>
      <w:r>
        <w:fldChar w:fldCharType="begin"/>
      </w:r>
      <w:r>
        <w:instrText xml:space="preserve"> PAGEREF _Tbl53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54: Innovation, Changes in Marketing Strategy and Adaptation by Actor and BMU</w:t>
      </w:r>
      <w:r>
        <w:tab/>
      </w:r>
      <w:r>
        <w:fldChar w:fldCharType="begin"/>
      </w:r>
      <w:r>
        <w:instrText xml:space="preserve"> PAGEREF _Tbl54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55: Regulation, Management-Plan Awareness and Sources of Industry Information by Actor and BMU</w:t>
      </w:r>
      <w:r>
        <w:tab/>
      </w:r>
      <w:r>
        <w:fldChar w:fldCharType="begin"/>
      </w:r>
      <w:r>
        <w:instrText xml:space="preserve"> PAGEREF _Tbl55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56: Perception That the Mud Crab Market Is Well Structured by Actor and BMU</w:t>
      </w:r>
      <w:r>
        <w:tab/>
      </w:r>
      <w:r>
        <w:fldChar w:fldCharType="begin"/>
      </w:r>
      <w:r>
        <w:instrText xml:space="preserve"> PAGEREF _Tbl56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57: Perception That Mud Crab Marketing Is Integrated With Other Fisheries by Actor and BMU</w:t>
      </w:r>
      <w:r>
        <w:tab/>
      </w:r>
      <w:r>
        <w:fldChar w:fldCharType="begin"/>
      </w:r>
      <w:r>
        <w:instrText xml:space="preserve"> PAGEREF _Tbl57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58: Awareness of a Policy Framework for Crab Markets by Actor and BMU</w:t>
      </w:r>
      <w:r>
        <w:tab/>
      </w:r>
      <w:r>
        <w:fldChar w:fldCharType="begin"/>
      </w:r>
      <w:r>
        <w:instrText xml:space="preserve"> PAGEREF _Tbl58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59: Priority Opportunity and Recommended Market-System Enhancement by Actor and BMU</w:t>
      </w:r>
      <w:r>
        <w:tab/>
      </w:r>
      <w:r>
        <w:fldChar w:fldCharType="begin"/>
      </w:r>
      <w:r>
        <w:instrText xml:space="preserve"> PAGEREF _Tbl59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60: Reported Youth Involvement and Perceived Diversification Potential by Actor and BMU</w:t>
      </w:r>
      <w:r>
        <w:tab/>
      </w:r>
      <w:r>
        <w:fldChar w:fldCharType="begin"/>
      </w:r>
      <w:r>
        <w:instrText xml:space="preserve"> PAGEREF _Tbl60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61: Statistically Significant Actor-Specific Associations With BMU</w:t>
      </w:r>
      <w:r>
        <w:tab/>
      </w:r>
      <w:r>
        <w:fldChar w:fldCharType="begin"/>
      </w:r>
      <w:r>
        <w:instrText xml:space="preserve"> PAGEREF _Tbl61 \h </w:instrText>
      </w:r>
      <w:r>
        <w:fldChar w:fldCharType="separate"/>
      </w:r>
      <w:r>
        <w:rPr>
          <w:rFonts w:ascii="Times New Roman" w:hAnsi="Times New Roman" w:cs="Times New Roman"/>
          <w:sz w:val="24"/>
          <w:szCs w:val="24"/>
          <w:color w:val="000000"/>
        </w:rPr>
        <w:t xml:space="preserve">  </w:t>
      </w:r>
      <w:r>
        <w:fldChar w:fldCharType="end"/>
      </w:r>
    </w:p>
    <w:p w14:paraId="6853EE13"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bookmarkStart w:id="14" w:name="_Toc240214079"/>
    </w:p>
    <w:p w14:paraId="76E149DB"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3BDB5989"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6906A3B9"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3EC3F0EF"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7DFEDCE8"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356DB98D"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4D742712"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7C0BB700"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6878768E"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706913A7"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0A23E75B"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1E6F40F0"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2D1AF77A"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7E94D750"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2F1509A8"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55203398"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4F682596"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6976BD63" w14:textId="77777777" w:rsidR="00221112" w:rsidRPr="00DE5E47" w:rsidRDefault="00C14051" w:rsidP="00A32D91">
      <w:pPr>
        <w:spacing w:before="600" w:after="240" w:line="360" w:lineRule="auto"/>
        <w:contextualSpacing/>
        <w:jc w:val="center"/>
        <w:outlineLvl w:val="0"/>
        <w:rPr>
          <w:rFonts w:eastAsia="Times New Roman" w:cs="Times New Roman"/>
          <w:b/>
          <w:bCs/>
          <w:kern w:val="0"/>
          <w:sz w:val="24"/>
          <w:szCs w:val="24"/>
          <w14:ligatures w14:val="none"/>
        </w:rPr>
      </w:pPr>
      <w:bookmarkStart w:id="52002" w:name="_Toc_2"/>
      <w:bookmarkStart w:id="15" w:name="_Toc241432216"/>
      <w:r w:rsidRPr="00DE5E47">
        <w:rPr>
          <w:rFonts w:eastAsia="Times New Roman" w:cs="Times New Roman"/>
          <w:b/>
          <w:bCs/>
          <w:kern w:val="0"/>
          <w:sz w:val="24"/>
          <w:szCs w:val="24"/>
          <w14:ligatures w14:val="none"/>
        </w:rPr>
        <w:lastRenderedPageBreak/>
        <w:t>LIST OF FIGURES</w:t>
      </w:r>
      <w:bookmarkEnd w:id="14"/>
      <w:bookmarkEnd w:id="15"/>
      <w:bookmarkEnd w:id="52002"/>
    </w:p>
    <w:p>
      <w:pPr>
        <w:tabs>
          <w:tab w:val="right" w:leader="dot" w:pos="8827"/>
        </w:tabs>
        <w:spacing w:line="276" w:lineRule="auto" w:after="60"/>
      </w:pPr>
      <w:r>
        <w:rPr>
          <w:rFonts w:ascii="Times New Roman" w:hAnsi="Times New Roman" w:cs="Times New Roman"/>
          <w:sz w:val="24"/>
          <w:szCs w:val="24"/>
          <w:color w:val="000000"/>
        </w:rPr>
        <w:t xml:space="preserve">Figure 1: Mangrove mud crab (Scylla serrata)</w:t>
      </w:r>
      <w:r>
        <w:tab/>
      </w:r>
      <w:r>
        <w:fldChar w:fldCharType="begin"/>
      </w:r>
      <w:r>
        <w:instrText xml:space="preserve"> PAGEREF _Fig1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2: Structure-Conduct-Performance (SCP) linkages guiding the study</w:t>
      </w:r>
      <w:r>
        <w:tab/>
      </w:r>
      <w:r>
        <w:fldChar w:fldCharType="begin"/>
      </w:r>
      <w:r>
        <w:instrText xml:space="preserve"> PAGEREF _Fig2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3: Descriptive framework linking the study objectives to the analysis</w:t>
      </w:r>
      <w:r>
        <w:tab/>
      </w:r>
      <w:r>
        <w:fldChar w:fldCharType="begin"/>
      </w:r>
      <w:r>
        <w:instrText xml:space="preserve"> PAGEREF _Fig3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4: Study site (Author, 2026)</w:t>
      </w:r>
      <w:r>
        <w:tab/>
      </w:r>
      <w:r>
        <w:fldChar w:fldCharType="begin"/>
      </w:r>
      <w:r>
        <w:instrText xml:space="preserve"> PAGEREF _Fig4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5: Composition of the Sample by Actor Category Within Each BMU</w:t>
      </w:r>
      <w:r>
        <w:tab/>
      </w:r>
      <w:r>
        <w:fldChar w:fldCharType="begin"/>
      </w:r>
      <w:r>
        <w:instrText xml:space="preserve"> PAGEREF _Fig5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6: Age Distribution Within Each Actor Category</w:t>
      </w:r>
      <w:r>
        <w:tab/>
      </w:r>
      <w:r>
        <w:fldChar w:fldCharType="begin"/>
      </w:r>
      <w:r>
        <w:instrText xml:space="preserve"> PAGEREF _Fig6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7: Age Distribution of Fishers Within Each BMU</w:t>
      </w:r>
      <w:r>
        <w:tab/>
      </w:r>
      <w:r>
        <w:fldChar w:fldCharType="begin"/>
      </w:r>
      <w:r>
        <w:instrText xml:space="preserve"> PAGEREF _Fig7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8: Highest Education Attained Within Each Actor Category</w:t>
      </w:r>
      <w:r>
        <w:tab/>
      </w:r>
      <w:r>
        <w:fldChar w:fldCharType="begin"/>
      </w:r>
      <w:r>
        <w:instrText xml:space="preserve"> PAGEREF _Fig8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9: Scale of Operation Within Each Actor Category</w:t>
      </w:r>
      <w:r>
        <w:tab/>
      </w:r>
      <w:r>
        <w:fldChar w:fldCharType="begin"/>
      </w:r>
      <w:r>
        <w:instrText xml:space="preserve"> PAGEREF _Fig9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10: Monthly Mud Crab Income Band Within Each Actor Category</w:t>
      </w:r>
      <w:r>
        <w:tab/>
      </w:r>
      <w:r>
        <w:fldChar w:fldCharType="begin"/>
      </w:r>
      <w:r>
        <w:instrText xml:space="preserve"> PAGEREF _Fig10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11: Licensing, Credit, Training and Collective Membership by Actor Category</w:t>
      </w:r>
      <w:r>
        <w:tab/>
      </w:r>
      <w:r>
        <w:fldChar w:fldCharType="begin"/>
      </w:r>
      <w:r>
        <w:instrText xml:space="preserve"> PAGEREF _Fig11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12: Source of Crabs for Sale Within Each Actor Category</w:t>
      </w:r>
      <w:r>
        <w:tab/>
      </w:r>
      <w:r>
        <w:fldChar w:fldCharType="begin"/>
      </w:r>
      <w:r>
        <w:instrText xml:space="preserve"> PAGEREF _Fig12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13: Fishing or Collection Gear Used by Fishers Within Each BMU</w:t>
      </w:r>
      <w:r>
        <w:tab/>
      </w:r>
      <w:r>
        <w:fldChar w:fldCharType="begin"/>
      </w:r>
      <w:r>
        <w:instrText xml:space="preserve"> PAGEREF _Fig13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14: Daily Mud Crab Catch Reported by Fishers Within Each BMU</w:t>
      </w:r>
      <w:r>
        <w:tab/>
      </w:r>
      <w:r>
        <w:fldChar w:fldCharType="begin"/>
      </w:r>
      <w:r>
        <w:instrText xml:space="preserve"> PAGEREF _Fig14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15: Travel Time from Fishing Grounds to Market, Fishers by BMU</w:t>
      </w:r>
      <w:r>
        <w:tab/>
      </w:r>
      <w:r>
        <w:fldChar w:fldCharType="begin"/>
      </w:r>
      <w:r>
        <w:instrText xml:space="preserve"> PAGEREF _Fig15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16: Main Buyer Category Within Each Actor Category</w:t>
      </w:r>
      <w:r>
        <w:tab/>
      </w:r>
      <w:r>
        <w:fldChar w:fldCharType="begin"/>
      </w:r>
      <w:r>
        <w:instrText xml:space="preserve"> PAGEREF _Fig16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17: Preparation of Mud Crabs for Market by Actor Category</w:t>
      </w:r>
      <w:r>
        <w:tab/>
      </w:r>
      <w:r>
        <w:fldChar w:fldCharType="begin"/>
      </w:r>
      <w:r>
        <w:instrText xml:space="preserve"> PAGEREF _Fig17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18: Packaging Used for Transporting Mud Crabs by Actor Category</w:t>
      </w:r>
      <w:r>
        <w:tab/>
      </w:r>
      <w:r>
        <w:fldChar w:fldCharType="begin"/>
      </w:r>
      <w:r>
        <w:instrText xml:space="preserve"> PAGEREF _Fig18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19: Mode of Transporting Mud Crabs to Market by Actor Category</w:t>
      </w:r>
      <w:r>
        <w:tab/>
      </w:r>
      <w:r>
        <w:fldChar w:fldCharType="begin"/>
      </w:r>
      <w:r>
        <w:instrText xml:space="preserve"> PAGEREF _Fig19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20: Criteria Used to Determine Crab Grade by Actor Category</w:t>
      </w:r>
      <w:r>
        <w:tab/>
      </w:r>
      <w:r>
        <w:fldChar w:fldCharType="begin"/>
      </w:r>
      <w:r>
        <w:instrText xml:space="preserve"> PAGEREF _Fig20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21: Large-Crab Size Label Reported by Fishers Within Each BMU</w:t>
      </w:r>
      <w:r>
        <w:tab/>
      </w:r>
      <w:r>
        <w:fldChar w:fldCharType="begin"/>
      </w:r>
      <w:r>
        <w:instrText xml:space="preserve"> PAGEREF _Fig21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22: Reported Daily Mortality by Actor Category</w:t>
      </w:r>
      <w:r>
        <w:tab/>
      </w:r>
      <w:r>
        <w:fldChar w:fldCharType="begin"/>
      </w:r>
      <w:r>
        <w:instrText xml:space="preserve"> PAGEREF _Fig22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23: Mode of Payment by Actor Category</w:t>
      </w:r>
      <w:r>
        <w:tab/>
      </w:r>
      <w:r>
        <w:fldChar w:fldCharType="begin"/>
      </w:r>
      <w:r>
        <w:instrText xml:space="preserve"> PAGEREF _Fig23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24: How Mud Crab Prices Are Set, by Actor Category</w:t>
      </w:r>
      <w:r>
        <w:tab/>
      </w:r>
      <w:r>
        <w:fldChar w:fldCharType="begin"/>
      </w:r>
      <w:r>
        <w:instrText xml:space="preserve"> PAGEREF _Fig24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25: Mean Reported Mud Crab Price by Actor Category and Size Grade</w:t>
      </w:r>
      <w:r>
        <w:tab/>
      </w:r>
      <w:r>
        <w:fldChar w:fldCharType="begin"/>
      </w:r>
      <w:r>
        <w:instrText xml:space="preserve"> PAGEREF _Fig25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26: Share of the Final Chain Price Held at Each Actor Node, by Size Grade and Outlet</w:t>
      </w:r>
      <w:r>
        <w:tab/>
      </w:r>
      <w:r>
        <w:fldChar w:fldCharType="begin"/>
      </w:r>
      <w:r>
        <w:instrText xml:space="preserve"> PAGEREF _Fig26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27: Mean Large-Crab Price by Actor Category and BMU</w:t>
      </w:r>
      <w:r>
        <w:tab/>
      </w:r>
      <w:r>
        <w:fldChar w:fldCharType="begin"/>
      </w:r>
      <w:r>
        <w:instrText xml:space="preserve"> PAGEREF _Fig27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28: Fisher Price as a Percentage of the Middleman Price Within Each BMU</w:t>
      </w:r>
      <w:r>
        <w:tab/>
      </w:r>
      <w:r>
        <w:fldChar w:fldCharType="begin"/>
      </w:r>
      <w:r>
        <w:instrText xml:space="preserve"> PAGEREF _Fig28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29: Main Operational or Marketing Constraint by Actor Category</w:t>
      </w:r>
      <w:r>
        <w:tab/>
      </w:r>
      <w:r>
        <w:fldChar w:fldCharType="begin"/>
      </w:r>
      <w:r>
        <w:instrText xml:space="preserve"> PAGEREF _Fig29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30: Main Constraint Reported by Middlemen Within Each BMU</w:t>
      </w:r>
      <w:r>
        <w:tab/>
      </w:r>
      <w:r>
        <w:fldChar w:fldCharType="begin"/>
      </w:r>
      <w:r>
        <w:instrText xml:space="preserve"> PAGEREF _Fig30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31: Main Infrastructure or Logistics Constraint by Actor Category</w:t>
      </w:r>
      <w:r>
        <w:tab/>
      </w:r>
      <w:r>
        <w:fldChar w:fldCharType="begin"/>
      </w:r>
      <w:r>
        <w:instrText xml:space="preserve"> PAGEREF _Fig31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32: Awareness of the Crab Fishery Management Plan Among Fishers, by BMU</w:t>
      </w:r>
      <w:r>
        <w:tab/>
      </w:r>
      <w:r>
        <w:fldChar w:fldCharType="begin"/>
      </w:r>
      <w:r>
        <w:instrText xml:space="preserve"> PAGEREF _Fig32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33: Perception That the Mud Crab Market Is Well Structured, by Actor Category</w:t>
      </w:r>
      <w:r>
        <w:tab/>
      </w:r>
      <w:r>
        <w:fldChar w:fldCharType="begin"/>
      </w:r>
      <w:r>
        <w:instrText xml:space="preserve"> PAGEREF _Fig33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34: Priority Opportunity for Improving Mud Crab Marketing by Actor Category</w:t>
      </w:r>
      <w:r>
        <w:tab/>
      </w:r>
      <w:r>
        <w:fldChar w:fldCharType="begin"/>
      </w:r>
      <w:r>
        <w:instrText xml:space="preserve"> PAGEREF _Fig34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35: Recommended Market-System Enhancement by Actor Category</w:t>
      </w:r>
      <w:r>
        <w:tab/>
      </w:r>
      <w:r>
        <w:fldChar w:fldCharType="begin"/>
      </w:r>
      <w:r>
        <w:instrText xml:space="preserve"> PAGEREF _Fig35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36: Reported Involvement of Youth by Actor Category</w:t>
      </w:r>
      <w:r>
        <w:tab/>
      </w:r>
      <w:r>
        <w:fldChar w:fldCharType="begin"/>
      </w:r>
      <w:r>
        <w:instrText xml:space="preserve"> PAGEREF _Fig36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37: Perceived Potential for Product or Market Diversification by Actor Category</w:t>
      </w:r>
      <w:r>
        <w:tab/>
      </w:r>
      <w:r>
        <w:fldChar w:fldCharType="begin"/>
      </w:r>
      <w:r>
        <w:instrText xml:space="preserve"> PAGEREF _Fig37 \h </w:instrText>
      </w:r>
      <w:r>
        <w:fldChar w:fldCharType="separate"/>
      </w:r>
      <w:r>
        <w:rPr>
          <w:rFonts w:ascii="Times New Roman" w:hAnsi="Times New Roman" w:cs="Times New Roman"/>
          <w:sz w:val="24"/>
          <w:szCs w:val="24"/>
          <w:color w:val="000000"/>
        </w:rPr>
        <w:t xml:space="preserve">  </w:t>
      </w:r>
      <w:r>
        <w:fldChar w:fldCharType="end"/>
      </w:r>
    </w:p>
    <w:p w14:paraId="575C1069" w14:textId="77777777" w:rsidR="00A32D91" w:rsidRPr="00DE5E47" w:rsidRDefault="00A32D91" w:rsidP="00A32D91">
      <w:pPr>
        <w:rPr>
          <w:rFonts w:cs="Times New Roman"/>
        </w:rPr>
      </w:pPr>
    </w:p>
    <w:p w14:paraId="01EE81C9" w14:textId="77777777" w:rsidR="00A32D91" w:rsidRPr="00DE5E47" w:rsidRDefault="00A32D91" w:rsidP="00A32D91">
      <w:pPr>
        <w:rPr>
          <w:rFonts w:cs="Times New Roman"/>
        </w:rPr>
      </w:pPr>
    </w:p>
    <w:p w14:paraId="35F5B63D" w14:textId="77777777" w:rsidR="00A32D91" w:rsidRPr="00DE5E47" w:rsidRDefault="00A32D91" w:rsidP="00A32D91">
      <w:pPr>
        <w:rPr>
          <w:rFonts w:cs="Times New Roman"/>
        </w:rPr>
      </w:pPr>
    </w:p>
    <w:p w14:paraId="2E5D212C" w14:textId="77777777" w:rsidR="00A32D91" w:rsidRPr="00DE5E47" w:rsidRDefault="00A32D91" w:rsidP="00A32D91">
      <w:pPr>
        <w:rPr>
          <w:rFonts w:cs="Times New Roman"/>
        </w:rPr>
      </w:pPr>
    </w:p>
    <w:p w14:paraId="45CE6BC0" w14:textId="77777777" w:rsidR="00A32D91" w:rsidRPr="00DE5E47" w:rsidRDefault="00A32D91" w:rsidP="00A32D91">
      <w:pPr>
        <w:rPr>
          <w:rFonts w:cs="Times New Roman"/>
        </w:rPr>
      </w:pPr>
    </w:p>
    <w:p w14:paraId="1B088BA1" w14:textId="77777777" w:rsidR="00A32D91" w:rsidRPr="00DE5E47" w:rsidRDefault="00A32D91" w:rsidP="00A32D91">
      <w:pPr>
        <w:rPr>
          <w:rFonts w:cs="Times New Roman"/>
        </w:rPr>
      </w:pPr>
    </w:p>
    <w:p>
      <w:pPr>
        <w:spacing w:before="240" w:after="180" w:line="276" w:lineRule="auto"/>
        <w:outlineLvl w:val="0"/>
      </w:pPr>
      <w:bookmarkStart w:id="52003" w:name="_Toc_3"/>
      <w:r>
        <w:rPr>
          <w:rFonts w:ascii="Times New Roman" w:hAnsi="Times New Roman" w:cs="Times New Roman"/>
          <w:b/>
          <w:sz w:val="24"/>
          <w:color w:val="000000"/>
        </w:rPr>
        <w:t xml:space="preserve">LIST OF ABBREVIATIONS</w:t>
      </w:r>
      <w:bookmarkEnd w:id="52003"/>
    </w:p>
    <w:tbl>
      <w:tblPr>
        <w:tblStyle w:val="TableNormal"/>
        <w:tblW w:w="9026" w:type="dxa"/>
        <w:tblLayout w:type="fixed"/>
        <w:tblCellMar>
          <w:top w:w="30" w:type="dxa"/>
          <w:left w:w="80" w:type="dxa"/>
          <w:bottom w:w="30" w:type="dxa"/>
          <w:right w:w="80" w:type="dxa"/>
        </w:tblCellMar>
      </w:tblPr>
      <w:tblGrid>
        <w:gridCol w:w="2100"/>
        <w:gridCol w:w="6926"/>
      </w:tblGrid>
      <w:tr>
        <w:tc>
          <w:tcPr>
            <w:tcW w:w="2100" w:type="dxa"/>
            <w:tcBorders>
              <w:top w:val="single" w:sz="8" w:space="0" w:color="000000"/>
              <w:bottom w:val="single" w:sz="8" w:space="0" w:color="000000"/>
            </w:tcBorders>
            <w:tcMar>
              <w:top w:w="40" w:type="dxa"/>
              <w:left w:w="80" w:type="dxa"/>
              <w:bottom w:w="40" w:type="dxa"/>
              <w:right w:w="80" w:type="dxa"/>
            </w:tcMar>
            <w:vAlign w:val="center"/>
          </w:tcPr>
          <w:p>
            <w:pPr>
              <w:spacing w:before="20" w:after="20" w:line="240" w:lineRule="auto"/>
            </w:pPr>
            <w:r>
              <w:rPr>
                <w:rFonts w:ascii="Times New Roman" w:hAnsi="Times New Roman" w:cs="Times New Roman"/>
                <w:b/>
                <w:sz w:val="24"/>
                <w:color w:val="000000"/>
              </w:rPr>
              <w:t xml:space="preserve">Abbreviation</w:t>
            </w:r>
          </w:p>
        </w:tc>
        <w:tc>
          <w:tcPr>
            <w:tcW w:w="6926" w:type="dxa"/>
            <w:tcBorders>
              <w:top w:val="single" w:sz="8" w:space="0" w:color="000000"/>
              <w:bottom w:val="single" w:sz="8" w:space="0" w:color="000000"/>
            </w:tcBorders>
            <w:tcMar>
              <w:top w:w="40" w:type="dxa"/>
              <w:left w:w="80" w:type="dxa"/>
              <w:bottom w:w="40" w:type="dxa"/>
              <w:right w:w="80" w:type="dxa"/>
            </w:tcMar>
            <w:vAlign w:val="center"/>
          </w:tcPr>
          <w:p>
            <w:pPr>
              <w:spacing w:before="20" w:after="20" w:line="240" w:lineRule="auto"/>
            </w:pPr>
            <w:r>
              <w:rPr>
                <w:rFonts w:ascii="Times New Roman" w:hAnsi="Times New Roman" w:cs="Times New Roman"/>
                <w:b/>
                <w:sz w:val="24"/>
                <w:color w:val="000000"/>
              </w:rPr>
              <w:t xml:space="preserve">Meaning</w:t>
            </w:r>
          </w:p>
        </w:tc>
      </w:tr>
      <w:tr>
        <w:tc>
          <w:tcPr>
            <w:tcW w:w="2100"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BMU</w:t>
            </w:r>
          </w:p>
        </w:tc>
        <w:tc>
          <w:tcPr>
            <w:tcW w:w="6926"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Beach Management Unit</w:t>
            </w:r>
          </w:p>
        </w:tc>
      </w:tr>
      <w:tr>
        <w:tc>
          <w:tcPr>
            <w:tcW w:w="2100"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df</w:t>
            </w:r>
          </w:p>
        </w:tc>
        <w:tc>
          <w:tcPr>
            <w:tcW w:w="6926"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Degrees of freedom</w:t>
            </w:r>
          </w:p>
        </w:tc>
      </w:tr>
      <w:tr>
        <w:tc>
          <w:tcPr>
            <w:tcW w:w="2100"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FAO</w:t>
            </w:r>
          </w:p>
        </w:tc>
        <w:tc>
          <w:tcPr>
            <w:tcW w:w="6926"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Food and Agriculture Organization of the United Nations</w:t>
            </w:r>
          </w:p>
        </w:tc>
      </w:tr>
      <w:tr>
        <w:tc>
          <w:tcPr>
            <w:tcW w:w="2100"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H</w:t>
            </w:r>
          </w:p>
        </w:tc>
        <w:tc>
          <w:tcPr>
            <w:tcW w:w="6926"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Kruskal–Wallis test statistic</w:t>
            </w:r>
          </w:p>
        </w:tc>
      </w:tr>
      <w:tr>
        <w:tc>
          <w:tcPr>
            <w:tcW w:w="2100"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IBM SPSS</w:t>
            </w:r>
          </w:p>
        </w:tc>
        <w:tc>
          <w:tcPr>
            <w:tcW w:w="6926"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IBM Statistical Package for the Social Sciences</w:t>
            </w:r>
          </w:p>
        </w:tc>
      </w:tr>
      <w:tr>
        <w:tc>
          <w:tcPr>
            <w:tcW w:w="2100"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IQR</w:t>
            </w:r>
          </w:p>
        </w:tc>
        <w:tc>
          <w:tcPr>
            <w:tcW w:w="6926"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Interquartile range (reported as the first to third quartile)</w:t>
            </w:r>
          </w:p>
        </w:tc>
      </w:tr>
      <w:tr>
        <w:tc>
          <w:tcPr>
            <w:tcW w:w="2100"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IUCN</w:t>
            </w:r>
          </w:p>
        </w:tc>
        <w:tc>
          <w:tcPr>
            <w:tcW w:w="6926"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International Union for Conservation of Nature</w:t>
            </w:r>
          </w:p>
        </w:tc>
      </w:tr>
      <w:tr>
        <w:tc>
          <w:tcPr>
            <w:tcW w:w="2100"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KeFS</w:t>
            </w:r>
          </w:p>
        </w:tc>
        <w:tc>
          <w:tcPr>
            <w:tcW w:w="6926"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Kenya Fisheries Service</w:t>
            </w:r>
          </w:p>
        </w:tc>
      </w:tr>
      <w:tr>
        <w:tc>
          <w:tcPr>
            <w:tcW w:w="2100"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KMFRI</w:t>
            </w:r>
          </w:p>
        </w:tc>
        <w:tc>
          <w:tcPr>
            <w:tcW w:w="6926"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Kenya Marine and Fisheries Research Institute</w:t>
            </w:r>
          </w:p>
        </w:tc>
      </w:tr>
      <w:tr>
        <w:tc>
          <w:tcPr>
            <w:tcW w:w="2100"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KSh</w:t>
            </w:r>
          </w:p>
        </w:tc>
        <w:tc>
          <w:tcPr>
            <w:tcW w:w="6926"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Kenya Shilling</w:t>
            </w:r>
          </w:p>
        </w:tc>
      </w:tr>
      <w:tr>
        <w:tc>
          <w:tcPr>
            <w:tcW w:w="2100"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M</w:t>
            </w:r>
          </w:p>
        </w:tc>
        <w:tc>
          <w:tcPr>
            <w:tcW w:w="6926"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Mean</w:t>
            </w:r>
          </w:p>
        </w:tc>
      </w:tr>
      <w:tr>
        <w:tc>
          <w:tcPr>
            <w:tcW w:w="2100"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Mdn</w:t>
            </w:r>
          </w:p>
        </w:tc>
        <w:tc>
          <w:tcPr>
            <w:tcW w:w="6926"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Median</w:t>
            </w:r>
          </w:p>
        </w:tc>
      </w:tr>
      <w:tr>
        <w:tc>
          <w:tcPr>
            <w:tcW w:w="2100"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MSc</w:t>
            </w:r>
          </w:p>
        </w:tc>
        <w:tc>
          <w:tcPr>
            <w:tcW w:w="6926"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Master of Science</w:t>
            </w:r>
          </w:p>
        </w:tc>
      </w:tr>
      <w:tr>
        <w:tc>
          <w:tcPr>
            <w:tcW w:w="2100"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N / n</w:t>
            </w:r>
          </w:p>
        </w:tc>
        <w:tc>
          <w:tcPr>
            <w:tcW w:w="6926"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Sample size / subgroup count</w:t>
            </w:r>
          </w:p>
        </w:tc>
      </w:tr>
      <w:tr>
        <w:tc>
          <w:tcPr>
            <w:tcW w:w="2100"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p</w:t>
            </w:r>
          </w:p>
        </w:tc>
        <w:tc>
          <w:tcPr>
            <w:tcW w:w="6926"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Probability value (significance level)</w:t>
            </w:r>
          </w:p>
        </w:tc>
      </w:tr>
      <w:tr>
        <w:tc>
          <w:tcPr>
            <w:tcW w:w="2100"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SCP</w:t>
            </w:r>
          </w:p>
        </w:tc>
        <w:tc>
          <w:tcPr>
            <w:tcW w:w="6926"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Structure–Conduct–Performance (framework)</w:t>
            </w:r>
          </w:p>
        </w:tc>
      </w:tr>
      <w:tr>
        <w:tc>
          <w:tcPr>
            <w:tcW w:w="2100"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SD</w:t>
            </w:r>
          </w:p>
        </w:tc>
        <w:tc>
          <w:tcPr>
            <w:tcW w:w="6926"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Standard deviation</w:t>
            </w:r>
          </w:p>
        </w:tc>
      </w:tr>
      <w:tr>
        <w:tc>
          <w:tcPr>
            <w:tcW w:w="2100"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WIO</w:t>
            </w:r>
          </w:p>
        </w:tc>
        <w:tc>
          <w:tcPr>
            <w:tcW w:w="6926"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Western Indian Ocean</w:t>
            </w:r>
          </w:p>
        </w:tc>
      </w:tr>
      <w:tr>
        <w:tc>
          <w:tcPr>
            <w:tcW w:w="2100" w:type="dxa"/>
            <w:tcBorders>
              <w:bottom w:val="single" w:sz="8" w:space="0" w:color="000000"/>
            </w:tcBorders>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χ²</w:t>
            </w:r>
          </w:p>
        </w:tc>
        <w:tc>
          <w:tcPr>
            <w:tcW w:w="6926" w:type="dxa"/>
            <w:tcBorders>
              <w:bottom w:val="single" w:sz="8" w:space="0" w:color="000000"/>
            </w:tcBorders>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Chi-square test statistic</w:t>
            </w:r>
          </w:p>
        </w:tc>
      </w:tr>
    </w:tbl>
    <w:p>
      <w:pPr>
        <w:spacing w:before="0" w:after="120" w:line="276" w:lineRule="auto"/>
      </w:pPr>
    </w:p>
    <w:p w14:paraId="31E16207" w14:textId="77777777" w:rsidR="00221112" w:rsidRPr="00DE5E47" w:rsidRDefault="00C14051">
      <w:pPr>
        <w:pStyle w:val="Heading1"/>
        <w:ind w:left="2977"/>
        <w:jc w:val="both"/>
        <w:outlineLvl w:val="0"/>
        <w:rPr>
          <w:rFonts w:cs="Times New Roman"/>
          <w:szCs w:val="24"/>
        </w:rPr>
      </w:pPr>
      <w:bookmarkStart w:id="52004" w:name="_Toc_4"/>
      <w:bookmarkStart w:id="16" w:name="_Toc236308214"/>
      <w:bookmarkStart w:id="17" w:name="_Toc236311273"/>
      <w:bookmarkStart w:id="18" w:name="_Toc236308046"/>
      <w:bookmarkStart w:id="19" w:name="_Toc236308460"/>
      <w:bookmarkStart w:id="20" w:name="_Toc236307926"/>
      <w:bookmarkStart w:id="21" w:name="_Toc76558178"/>
      <w:bookmarkStart w:id="22" w:name="_Toc69041134"/>
      <w:bookmarkStart w:id="23" w:name="_Toc240214080"/>
      <w:bookmarkStart w:id="24" w:name="_Toc241432217"/>
      <w:bookmarkEnd w:id="1"/>
      <w:bookmarkEnd w:id="2"/>
      <w:bookmarkEnd w:id="16"/>
      <w:bookmarkEnd w:id="17"/>
      <w:bookmarkEnd w:id="18"/>
      <w:bookmarkEnd w:id="19"/>
      <w:bookmarkEnd w:id="20"/>
      <w:r w:rsidRPr="00DE5E47">
        <w:rPr>
          <w:rFonts w:cs="Times New Roman"/>
          <w:szCs w:val="24"/>
        </w:rPr>
        <w:lastRenderedPageBreak/>
        <w:t xml:space="preserve">CHAPTER ONE: INTRODUCTION</w:t>
      </w:r>
      <w:bookmarkEnd w:id="21"/>
      <w:bookmarkEnd w:id="22"/>
      <w:bookmarkEnd w:id="23"/>
      <w:bookmarkEnd w:id="24"/>
      <w:bookmarkEnd w:id="52004"/>
    </w:p>
    <w:p w14:paraId="2E7A6569" w14:textId="77777777" w:rsidR="00221112" w:rsidRPr="00DE5E47" w:rsidRDefault="00C14051">
      <w:pPr>
        <w:pStyle w:val="Heading2"/>
        <w:jc w:val="both"/>
        <w:outlineLvl w:val="1"/>
        <w:rPr>
          <w:rFonts w:cs="Times New Roman"/>
          <w:szCs w:val="24"/>
        </w:rPr>
      </w:pPr>
      <w:bookmarkStart w:id="52005" w:name="_Toc_5"/>
      <w:bookmarkStart w:id="25" w:name="_Toc240214081"/>
      <w:bookmarkStart w:id="26" w:name="_Toc241432218"/>
      <w:r w:rsidRPr="00DE5E47">
        <w:rPr>
          <w:rFonts w:cs="Times New Roman"/>
          <w:szCs w:val="24"/>
        </w:rPr>
        <w:t xml:space="preserve">1.1 Background information</w:t>
      </w:r>
      <w:bookmarkEnd w:id="25"/>
      <w:bookmarkEnd w:id="26"/>
      <w:bookmarkEnd w:id="52005"/>
    </w:p>
    <w:p w14:paraId="28912FD5" w14:textId="77777777" w:rsidR="00221112" w:rsidRPr="00DE5E47" w:rsidRDefault="00C14051">
      <w:pPr>
        <w:spacing w:line="480" w:lineRule="auto"/>
        <w:jc w:val="both"/>
        <w:rPr>
          <w:rFonts w:cs="Times New Roman"/>
          <w:sz w:val="24"/>
          <w:szCs w:val="24"/>
        </w:rPr>
      </w:pPr>
      <w:r>
        <w:t>Mud crabs (Scylla spp.), including Scylla serrata, are high-value crustaceans traded in tropical and subtropical regions. Demand for live, hard-shell and soft-shell crabs supports coastal livelihoods and aquaculture, but much of the supply still depends on wild stocks, wild-caught juveniles and mangrove habitats. Market conditions therefore matter to both income and resource use: demand, grading and price can shape harvesting decisions as directly as biological factors.</w:t>
      </w:r>
    </w:p>
    <w:p w14:paraId="64E4CB2E" w14:textId="77777777" w:rsidR="00221112" w:rsidRPr="00DE5E47" w:rsidRDefault="00C14051">
      <w:pPr>
        <w:spacing w:line="480" w:lineRule="auto"/>
        <w:jc w:val="both"/>
        <w:rPr>
          <w:rFonts w:cs="Times New Roman"/>
          <w:sz w:val="24"/>
          <w:szCs w:val="24"/>
        </w:rPr>
      </w:pPr>
      <w:r>
        <w:t>Across the Western Indian Ocean, artisanal fishers harvest mud crabs in nearshore mangroves, often on foot or from small canoes. Commercialisation has linked these fishers to traders, hotels and export markets. Those links create income opportunities, but they also determine who has market information, who sets grades and prices, and who bears the cost of keeping crabs alive.</w:t>
      </w:r>
    </w:p>
    <w:p w14:paraId="38538485" w14:textId="77777777" w:rsidR="00221112" w:rsidRPr="00DE5E47" w:rsidRDefault="00C14051">
      <w:pPr>
        <w:spacing w:line="480" w:lineRule="auto"/>
        <w:jc w:val="both"/>
        <w:rPr>
          <w:rFonts w:cs="Times New Roman"/>
          <w:sz w:val="24"/>
          <w:szCs w:val="24"/>
        </w:rPr>
      </w:pPr>
      <w:r>
        <w:t>On the Kenyan coast, Scylla serrata is one of the commercially important crustaceans available to small-scale fishers with relatively little equipment. Demand from hotels, local markets and export buyers has raised its commercial value. At the same time, reports of smaller crabs and the capture of immature animals suggest pressure on stocks and mangrove-dependent habitats. Market analysis is therefore relevant to both livelihoods and management.</w:t>
      </w:r>
    </w:p>
    <w:p w14:paraId="770FAFDD" w14:textId="77777777" w:rsidR="00221112" w:rsidRPr="00DE5E47" w:rsidRDefault="00C14051">
      <w:pPr>
        <w:spacing w:line="480" w:lineRule="auto"/>
        <w:jc w:val="both"/>
        <w:rPr>
          <w:rFonts w:cs="Times New Roman"/>
          <w:sz w:val="24"/>
          <w:szCs w:val="24"/>
        </w:rPr>
      </w:pPr>
      <w:r>
        <w:t>Kenyan research has examined the biology and ecology of mud crabs more closely than their markets. Yet fishers also respond to the prices buyers offer, the grades buyers apply, access to alternative outlets, transport, credit and payment terms. When these conditions are poorly understood, management may address harvesting without addressing the incentives that influence it.</w:t>
      </w:r>
    </w:p>
    <w:p w14:paraId="2FDAB16A" w14:textId="77777777" w:rsidR="00221112" w:rsidRPr="00DE5E47" w:rsidRDefault="00C14051">
      <w:pPr>
        <w:spacing w:line="480" w:lineRule="auto"/>
        <w:jc w:val="both"/>
        <w:rPr>
          <w:rFonts w:cs="Times New Roman"/>
          <w:sz w:val="24"/>
          <w:szCs w:val="24"/>
        </w:rPr>
      </w:pPr>
      <w:r>
        <w:t xml:space="preserve">The trade connects fishers, brokers, traders, retailers, hoteliers, exporters and consumers through grading, pricing, storage, transport, packaging and credit. At many landing sites, buyers grade and price crabs informally. Fishers who lack an independent price reference or another buyer may have little room to </w:t>
      </w:r>
      <w:r>
        <w:lastRenderedPageBreak/>
        <w:t>challenge those decisions. Market organisation can therefore affect bargaining power and the distribution of returns along the chain.</w:t>
      </w:r>
    </w:p>
    <w:p w14:paraId="73D4FA5C" w14:textId="77777777" w:rsidR="00221112" w:rsidRPr="00DE5E47" w:rsidRDefault="00C14051">
      <w:pPr>
        <w:spacing w:line="480" w:lineRule="auto"/>
        <w:jc w:val="both"/>
        <w:rPr>
          <w:rFonts w:cs="Times New Roman"/>
          <w:sz w:val="24"/>
          <w:szCs w:val="24"/>
        </w:rPr>
      </w:pPr>
      <w:r>
        <w:t>Post-harvest handling is especially important because mud crabs are usually sold alive and their value depends on size, condition and survival. Poor containment, unsuitable packaging and long journeys can cause mortality or reduce quality. These losses lower returns without reducing fishing effort and may encourage additional harvesting to replace lost income.</w:t>
      </w:r>
    </w:p>
    <w:p w14:paraId="4C9586DE" w14:textId="77777777" w:rsidR="00221112" w:rsidRPr="00DE5E47" w:rsidRDefault="00C14051">
      <w:pPr>
        <w:spacing w:line="480" w:lineRule="auto"/>
        <w:jc w:val="both"/>
        <w:rPr>
          <w:rFonts w:cs="Times New Roman"/>
          <w:sz w:val="24"/>
          <w:szCs w:val="24"/>
        </w:rPr>
      </w:pPr>
      <w:r>
        <w:t>Kenya’s Blue Economy agenda has renewed interest in mud crabs as a source of food, income and coastal employment. Crab fattening, community-based aquaculture and hatchery development are among the proposed alternatives to greater pressure on wild stocks. Their value, however, depends on the market that already exists: who controls grades and prices, how crabs reach buyers, and where actors incur losses.</w:t>
      </w:r>
    </w:p>
    <w:p w14:paraId="1F63DEC6" w14:textId="77777777" w:rsidR="00221112" w:rsidRPr="00DE5E47" w:rsidRDefault="00C14051">
      <w:pPr>
        <w:spacing w:line="480" w:lineRule="auto"/>
        <w:jc w:val="both"/>
        <w:rPr>
          <w:rFonts w:cs="Times New Roman"/>
          <w:sz w:val="24"/>
          <w:szCs w:val="24"/>
        </w:rPr>
      </w:pPr>
      <w:r>
        <w:t>Kwale County supports active mud crab harvesting in mangrove creeks and supplies traders, hotels and export-oriented markets. Even so, there is limited evidence on the roles of different actors, the way grades and prices are set, how crabs are transported and packaged, the payment arrangements used, and the constraints faced at each market node. This study addresses that gap by examining the market structure and day-to-day business practices of the South Coast mud crab fishery.</w:t>
      </w:r>
    </w:p>
    <w:p w14:paraId="55660987" w14:textId="77777777" w:rsidR="00221112" w:rsidRPr="00DE5E47" w:rsidRDefault="00C14051">
      <w:pPr>
        <w:pStyle w:val="Heading2"/>
        <w:jc w:val="both"/>
        <w:outlineLvl w:val="1"/>
        <w:rPr>
          <w:rFonts w:cs="Times New Roman"/>
          <w:szCs w:val="24"/>
        </w:rPr>
      </w:pPr>
      <w:bookmarkStart w:id="52006" w:name="_Toc_6"/>
      <w:bookmarkStart w:id="27" w:name="_Toc240214082"/>
      <w:bookmarkStart w:id="28" w:name="_Toc241432219"/>
      <w:r w:rsidRPr="00DE5E47">
        <w:rPr>
          <w:rFonts w:cs="Times New Roman"/>
          <w:szCs w:val="24"/>
        </w:rPr>
        <w:t xml:space="preserve">1.2 Statement of the problem</w:t>
      </w:r>
      <w:bookmarkEnd w:id="27"/>
      <w:bookmarkEnd w:id="28"/>
      <w:bookmarkEnd w:id="52006"/>
    </w:p>
    <w:p w14:paraId="46885157" w14:textId="77777777" w:rsidR="00221112" w:rsidRPr="00DE5E47" w:rsidRDefault="00C14051">
      <w:pPr>
        <w:spacing w:line="480" w:lineRule="auto"/>
        <w:jc w:val="both"/>
        <w:rPr>
          <w:rFonts w:cs="Times New Roman"/>
          <w:sz w:val="24"/>
          <w:szCs w:val="24"/>
        </w:rPr>
      </w:pPr>
      <w:r>
        <w:t>Mud crab fishing on Kenya’s South Coast contributes to livelihoods and food security, but the marketing system is not well documented. Demand from local, tourism-linked and export markets has grown alongside concern about pressure on the resource (Fondo et al., 2020; Mirera, 2017a; Fondo &amp; Ogutu, 2021).</w:t>
      </w:r>
    </w:p>
    <w:p w14:paraId="76A55383" w14:textId="77777777" w:rsidR="00221112" w:rsidRPr="00DE5E47" w:rsidRDefault="00C14051">
      <w:pPr>
        <w:spacing w:line="480" w:lineRule="auto"/>
        <w:jc w:val="both"/>
        <w:rPr>
          <w:rFonts w:cs="Times New Roman"/>
          <w:sz w:val="24"/>
          <w:szCs w:val="24"/>
        </w:rPr>
      </w:pPr>
      <w:r>
        <w:t>Previous studies have concentrated on mud crab biology, ecology, production and aquaculture, including population structure, maturity, exploitation pressure, capture-based aquaculture and small-scale culture (Fondo et al., 2020; Mirera, 2014a; Mirera, 2017a). Much less is known about how actor characteristics vary with market roles, access to buyers, collective organisation, technology, credit, payment terms and bargaining conditions. This leaves important gaps in the evidence on where value is added and how gross returns are distributed.</w:t>
      </w:r>
      <w:r/>
    </w:p>
    <w:p w14:paraId="3F81D1C9" w14:textId="77777777" w:rsidR="00221112" w:rsidRPr="00DE5E47" w:rsidRDefault="00C14051">
      <w:pPr>
        <w:spacing w:line="480" w:lineRule="auto"/>
        <w:jc w:val="both"/>
        <w:rPr>
          <w:rFonts w:cs="Times New Roman"/>
          <w:sz w:val="24"/>
          <w:szCs w:val="24"/>
        </w:rPr>
      </w:pPr>
      <w:r>
        <w:t>Available studies point to unstable prices, weak market links, limited participation in organised groups and uneven management support (Mirera, 2014a; Mirera, 2017a; Fondo &amp; Ogutu, 2021). These conditions may restrict income, particularly for small-scale fishers, and can reinforce harvesting pressure when demand is met mainly from wild stocks (Fondo et al., 2020; FAO, 2025). Opportunities for better handling, market access and value addition are difficult to design without evidence from the actors involved.</w:t>
      </w:r>
    </w:p>
    <w:p w14:paraId="7259D5F9" w14:textId="77777777" w:rsidR="00221112" w:rsidRPr="00DE5E47" w:rsidRDefault="00C14051">
      <w:pPr>
        <w:spacing w:line="480" w:lineRule="auto"/>
        <w:jc w:val="both"/>
        <w:rPr>
          <w:rFonts w:cs="Times New Roman"/>
          <w:sz w:val="24"/>
          <w:szCs w:val="24"/>
        </w:rPr>
      </w:pPr>
      <w:r>
        <w:t>The practical problem is therefore an evidence gap. Without a clear account of market structure, actor functions and the constraints encountered at each node, interventions may address one part of the chain while leaving the underlying trading conditions unchanged. The study provides that account for the South Coast of Kenya.</w:t>
      </w:r>
    </w:p>
    <w:p w14:paraId="7B729602" w14:textId="77777777" w:rsidR="00221112" w:rsidRPr="00DE5E47" w:rsidRDefault="00C14051">
      <w:pPr>
        <w:pStyle w:val="Heading2"/>
        <w:jc w:val="both"/>
        <w:outlineLvl w:val="1"/>
        <w:rPr>
          <w:rFonts w:cs="Times New Roman"/>
          <w:szCs w:val="24"/>
        </w:rPr>
      </w:pPr>
      <w:bookmarkStart w:id="52007" w:name="_Toc_7"/>
      <w:bookmarkStart w:id="29" w:name="_Toc235346783"/>
      <w:bookmarkStart w:id="30" w:name="_Toc235347391"/>
      <w:bookmarkStart w:id="31" w:name="_Toc235350901"/>
      <w:bookmarkStart w:id="32" w:name="_Toc235347568"/>
      <w:bookmarkStart w:id="33" w:name="_Toc235350900"/>
      <w:bookmarkStart w:id="34" w:name="_Toc235350902"/>
      <w:bookmarkStart w:id="35" w:name="_Toc235347567"/>
      <w:bookmarkStart w:id="36" w:name="_Toc235351193"/>
      <w:bookmarkStart w:id="37" w:name="_Toc235346782"/>
      <w:bookmarkStart w:id="38" w:name="_Toc235347468"/>
      <w:bookmarkStart w:id="39" w:name="_Toc235347571"/>
      <w:bookmarkStart w:id="40" w:name="_Toc235351194"/>
      <w:bookmarkStart w:id="41" w:name="_Toc235347470"/>
      <w:bookmarkStart w:id="42" w:name="_Toc235347393"/>
      <w:bookmarkStart w:id="43" w:name="_Toc235350904"/>
      <w:bookmarkStart w:id="44" w:name="_Toc235347390"/>
      <w:bookmarkStart w:id="45" w:name="_Toc235347392"/>
      <w:bookmarkStart w:id="46" w:name="_Toc235347570"/>
      <w:bookmarkStart w:id="47" w:name="_Toc235346779"/>
      <w:bookmarkStart w:id="48" w:name="_Toc235350903"/>
      <w:bookmarkStart w:id="49" w:name="_Toc235351195"/>
      <w:bookmarkStart w:id="50" w:name="_Toc235346781"/>
      <w:bookmarkStart w:id="51" w:name="_Toc235351196"/>
      <w:bookmarkStart w:id="52" w:name="_Toc235351192"/>
      <w:bookmarkStart w:id="53" w:name="_Toc235347471"/>
      <w:bookmarkStart w:id="54" w:name="_Toc235347469"/>
      <w:bookmarkStart w:id="55" w:name="_Toc235347467"/>
      <w:bookmarkStart w:id="56" w:name="_Toc235347569"/>
      <w:bookmarkStart w:id="57" w:name="_Toc235347394"/>
      <w:bookmarkStart w:id="58" w:name="_Toc235346780"/>
      <w:bookmarkStart w:id="59" w:name="_Toc69041138"/>
      <w:bookmarkStart w:id="60" w:name="_Toc76558182"/>
      <w:bookmarkStart w:id="61" w:name="_Toc240214083"/>
      <w:bookmarkStart w:id="62" w:name="_Hlk157261415"/>
      <w:bookmarkStart w:id="63" w:name="_Toc241432220"/>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r w:rsidRPr="00DE5E47">
        <w:rPr>
          <w:rFonts w:cs="Times New Roman"/>
          <w:szCs w:val="24"/>
        </w:rPr>
        <w:t xml:space="preserve">1.3 Objectives of the Study</w:t>
      </w:r>
      <w:bookmarkEnd w:id="59"/>
      <w:bookmarkEnd w:id="60"/>
      <w:bookmarkEnd w:id="61"/>
      <w:bookmarkEnd w:id="63"/>
      <w:bookmarkEnd w:id="52007"/>
    </w:p>
    <w:p w14:paraId="75F1C1EF" w14:textId="77777777" w:rsidR="00221112" w:rsidRPr="00DE5E47" w:rsidRDefault="00C14051">
      <w:pPr>
        <w:pStyle w:val="Heading3"/>
        <w:jc w:val="both"/>
        <w:outlineLvl w:val="2"/>
        <w:rPr>
          <w:rFonts w:cs="Times New Roman"/>
        </w:rPr>
      </w:pPr>
      <w:bookmarkStart w:id="52008" w:name="_Toc_8"/>
      <w:bookmarkStart w:id="64" w:name="_Toc76558183"/>
      <w:bookmarkStart w:id="65" w:name="_Toc69041139"/>
      <w:bookmarkStart w:id="66" w:name="_Toc240214084"/>
      <w:bookmarkStart w:id="67" w:name="_Toc241432221"/>
      <w:r w:rsidRPr="00DE5E47">
        <w:rPr>
          <w:rFonts w:cs="Times New Roman"/>
        </w:rPr>
        <w:t xml:space="preserve">1.3.1 General Objective</w:t>
      </w:r>
      <w:bookmarkEnd w:id="64"/>
      <w:bookmarkEnd w:id="65"/>
      <w:bookmarkEnd w:id="66"/>
      <w:bookmarkEnd w:id="67"/>
      <w:bookmarkEnd w:id="52008"/>
    </w:p>
    <w:p w14:paraId="56A9EDBA" w14:textId="77777777" w:rsidR="00221112" w:rsidRPr="00DE5E47" w:rsidRDefault="00C14051">
      <w:pPr>
        <w:spacing w:line="480" w:lineRule="auto"/>
        <w:jc w:val="both"/>
        <w:rPr>
          <w:rFonts w:cs="Times New Roman"/>
          <w:sz w:val="24"/>
          <w:szCs w:val="24"/>
        </w:rPr>
      </w:pPr>
      <w:r>
        <w:t>The overall objective was to analyse the market structure of the mud crab fishery on the South Coast of Kenya.</w:t>
      </w:r>
    </w:p>
    <w:p w14:paraId="5011D4CE" w14:textId="77777777" w:rsidR="00221112" w:rsidRPr="00DE5E47" w:rsidRDefault="00C14051">
      <w:pPr>
        <w:pStyle w:val="Heading3"/>
        <w:jc w:val="both"/>
        <w:outlineLvl w:val="2"/>
        <w:rPr>
          <w:rFonts w:cs="Times New Roman"/>
        </w:rPr>
      </w:pPr>
      <w:bookmarkStart w:id="52009" w:name="_Toc_9"/>
      <w:bookmarkStart w:id="68" w:name="_Toc240214085"/>
      <w:bookmarkStart w:id="69" w:name="_Toc241432222"/>
      <w:r w:rsidRPr="00DE5E47">
        <w:rPr>
          <w:rFonts w:cs="Times New Roman"/>
        </w:rPr>
        <w:t xml:space="preserve">1.3.2 Specific objectives</w:t>
      </w:r>
      <w:bookmarkEnd w:id="68"/>
      <w:bookmarkEnd w:id="69"/>
      <w:bookmarkEnd w:id="52009"/>
    </w:p>
    <w:p w14:paraId="571DD3AD" w14:textId="77777777" w:rsidR="00221112" w:rsidRPr="00DE5E47" w:rsidRDefault="00C14051">
      <w:pPr>
        <w:spacing w:line="480" w:lineRule="auto"/>
        <w:jc w:val="both"/>
        <w:rPr>
          <w:rFonts w:cs="Times New Roman"/>
          <w:sz w:val="24"/>
          <w:szCs w:val="24"/>
        </w:rPr>
      </w:pPr>
      <w:r>
        <w:t>The study addressed the following specific objectives:</w:t>
      </w:r>
    </w:p>
    <w:p w14:paraId="2E4E82D1" w14:textId="77777777" w:rsidR="00221112" w:rsidRPr="00DE5E47" w:rsidRDefault="00C14051">
      <w:pPr>
        <w:numPr>
          <w:ilvl w:val="0"/>
          <w:numId w:val="3"/>
        </w:numPr>
        <w:spacing w:line="480" w:lineRule="auto"/>
        <w:jc w:val="both"/>
        <w:rPr>
          <w:rFonts w:cs="Times New Roman"/>
          <w:sz w:val="24"/>
          <w:szCs w:val="24"/>
        </w:rPr>
      </w:pPr>
      <w:r>
        <w:t>1. To profile mud crab fishery actors and their characteristics.</w:t>
      </w:r>
    </w:p>
    <w:p w14:paraId="14FD6624" w14:textId="77777777" w:rsidR="00221112" w:rsidRPr="00DE5E47" w:rsidRDefault="00C14051">
      <w:pPr>
        <w:numPr>
          <w:ilvl w:val="0"/>
          <w:numId w:val="3"/>
        </w:numPr>
        <w:spacing w:line="480" w:lineRule="auto"/>
        <w:jc w:val="both"/>
        <w:rPr>
          <w:rFonts w:cs="Times New Roman"/>
          <w:sz w:val="24"/>
          <w:szCs w:val="24"/>
        </w:rPr>
      </w:pPr>
      <w:r>
        <w:t>2. To examine the functions performed by mud crab fishery actors at each market node.</w:t>
      </w:r>
    </w:p>
    <w:p w14:paraId="5844413A" w14:textId="77777777" w:rsidR="00DD0A67" w:rsidRPr="00DE5E47" w:rsidRDefault="00C14051" w:rsidP="00DD0A67">
      <w:pPr>
        <w:numPr>
          <w:ilvl w:val="0"/>
          <w:numId w:val="3"/>
        </w:numPr>
        <w:spacing w:line="480" w:lineRule="auto"/>
        <w:jc w:val="both"/>
        <w:rPr>
          <w:rFonts w:cs="Times New Roman"/>
          <w:sz w:val="24"/>
          <w:szCs w:val="24"/>
        </w:rPr>
      </w:pPr>
      <w:r>
        <w:t>3. To assess the constraints and opportunities reported by each actor category.</w:t>
      </w:r>
    </w:p>
    <w:p w14:paraId="4D873938" w14:textId="77777777" w:rsidR="00DD0A67" w:rsidRPr="00DE5E47" w:rsidRDefault="00DD0A67" w:rsidP="00DD0A67">
      <w:pPr>
        <w:tabs>
          <w:tab w:val="left" w:pos="2136"/>
        </w:tabs>
        <w:rPr>
          <w:rFonts w:cs="Times New Roman"/>
          <w:sz w:val="24"/>
          <w:szCs w:val="24"/>
        </w:rPr>
        <w:sectPr w:rsidR="00DD0A67" w:rsidRPr="00DE5E47">
          <w:footerReference w:type="default" r:id="rId12"/>
          <w:pgSz w:w="12240" w:h="15840"/>
          <w:pgMar w:top="1440" w:right="1440" w:bottom="1440" w:left="1440" w:header="504" w:footer="504" w:gutter="0"/>
          <w:cols w:space="720"/>
          <w:docGrid w:linePitch="360"/>
        </w:sectPr>
      </w:pPr>
      <w:r w:rsidRPr="00DE5E47">
        <w:rPr>
          <w:rFonts w:cs="Times New Roman"/>
          <w:sz w:val="24"/>
          <w:szCs w:val="24"/>
        </w:rPr>
        <w:tab/>
      </w:r>
    </w:p>
    <w:p w14:paraId="57AAE971" w14:textId="77777777" w:rsidR="00221112" w:rsidRPr="00DE5E47" w:rsidRDefault="00C14051">
      <w:pPr>
        <w:pStyle w:val="Heading2"/>
        <w:jc w:val="both"/>
        <w:outlineLvl w:val="1"/>
        <w:rPr>
          <w:rFonts w:cs="Times New Roman"/>
          <w:szCs w:val="24"/>
        </w:rPr>
      </w:pPr>
      <w:bookmarkStart w:id="52010" w:name="_Toc_10"/>
      <w:bookmarkStart w:id="70" w:name="_Toc76558184"/>
      <w:bookmarkStart w:id="71" w:name="_Toc69041140"/>
      <w:bookmarkStart w:id="72" w:name="_Toc240214086"/>
      <w:bookmarkStart w:id="73" w:name="_Toc241432223"/>
      <w:r w:rsidRPr="00DE5E47">
        <w:rPr>
          <w:rFonts w:cs="Times New Roman"/>
          <w:szCs w:val="24"/>
        </w:rPr>
        <w:lastRenderedPageBreak/>
        <w:t xml:space="preserve">1.4 Research Questions</w:t>
      </w:r>
      <w:bookmarkEnd w:id="70"/>
      <w:bookmarkEnd w:id="71"/>
      <w:bookmarkEnd w:id="72"/>
      <w:bookmarkEnd w:id="73"/>
      <w:bookmarkEnd w:id="52010"/>
    </w:p>
    <w:p w14:paraId="52CA748F" w14:textId="77777777" w:rsidR="00221112" w:rsidRPr="00DE5E47" w:rsidRDefault="00C14051">
      <w:pPr>
        <w:numPr>
          <w:ilvl w:val="0"/>
          <w:numId w:val="4"/>
        </w:numPr>
        <w:spacing w:line="480" w:lineRule="auto"/>
        <w:jc w:val="both"/>
        <w:rPr>
          <w:rFonts w:cs="Times New Roman"/>
          <w:sz w:val="24"/>
          <w:szCs w:val="24"/>
        </w:rPr>
      </w:pPr>
      <w:r>
        <w:t>1. What are the characteristics of mud crab fishery actors?</w:t>
      </w:r>
    </w:p>
    <w:p w14:paraId="3BE669FE" w14:textId="77777777" w:rsidR="00221112" w:rsidRPr="00DE5E47" w:rsidRDefault="00C14051">
      <w:pPr>
        <w:numPr>
          <w:ilvl w:val="0"/>
          <w:numId w:val="4"/>
        </w:numPr>
        <w:spacing w:line="480" w:lineRule="auto"/>
        <w:jc w:val="both"/>
        <w:rPr>
          <w:rFonts w:cs="Times New Roman"/>
          <w:sz w:val="24"/>
          <w:szCs w:val="24"/>
        </w:rPr>
      </w:pPr>
      <w:r>
        <w:t>2. What functions do mud crab fishery actors perform at each market node?</w:t>
      </w:r>
    </w:p>
    <w:p w14:paraId="117CF929" w14:textId="77777777" w:rsidR="00221112" w:rsidRPr="00DE5E47" w:rsidRDefault="00C14051">
      <w:pPr>
        <w:numPr>
          <w:ilvl w:val="0"/>
          <w:numId w:val="4"/>
        </w:numPr>
        <w:spacing w:line="480" w:lineRule="auto"/>
        <w:jc w:val="both"/>
        <w:rPr>
          <w:rFonts w:cs="Times New Roman"/>
          <w:sz w:val="24"/>
          <w:szCs w:val="24"/>
        </w:rPr>
      </w:pPr>
      <w:r>
        <w:t>3. What constraints and opportunities are reported by each actor category?</w:t>
      </w:r>
    </w:p>
    <w:p w14:paraId="026F631B" w14:textId="77777777" w:rsidR="00221112" w:rsidRPr="00DE5E47" w:rsidRDefault="00C14051">
      <w:pPr>
        <w:pStyle w:val="Heading2"/>
        <w:jc w:val="both"/>
        <w:outlineLvl w:val="1"/>
        <w:rPr>
          <w:rFonts w:cs="Times New Roman"/>
          <w:szCs w:val="24"/>
        </w:rPr>
      </w:pPr>
      <w:bookmarkStart w:id="52011" w:name="_Toc_11"/>
      <w:bookmarkStart w:id="74" w:name="_Toc240214087"/>
      <w:bookmarkStart w:id="75" w:name="_Toc241432224"/>
      <w:bookmarkEnd w:id="62"/>
      <w:r w:rsidRPr="00DE5E47">
        <w:rPr>
          <w:rFonts w:cs="Times New Roman"/>
          <w:szCs w:val="24"/>
        </w:rPr>
        <w:t xml:space="preserve">1.5 Significance of the study</w:t>
      </w:r>
      <w:bookmarkEnd w:id="74"/>
      <w:bookmarkEnd w:id="75"/>
      <w:bookmarkEnd w:id="52011"/>
    </w:p>
    <w:p w14:paraId="0639A1AF" w14:textId="77777777" w:rsidR="00221112" w:rsidRPr="00DE5E47" w:rsidRDefault="00C14051">
      <w:pPr>
        <w:pStyle w:val="NormalWeb"/>
        <w:spacing w:line="480" w:lineRule="auto"/>
        <w:jc w:val="both"/>
      </w:pPr>
      <w:r>
        <w:t>The study documents a part of the South Coast mud crab fishery that is often discussed but rarely measured: the organisation of exchange between harvesters, traders and downstream buyers.</w:t>
      </w:r>
    </w:p>
    <w:p w14:paraId="6BFC63C2" w14:textId="77777777" w:rsidR="00221112" w:rsidRPr="00DE5E47" w:rsidRDefault="00C14051">
      <w:pPr>
        <w:pStyle w:val="NormalWeb"/>
        <w:spacing w:line="480" w:lineRule="auto"/>
        <w:jc w:val="both"/>
      </w:pPr>
      <w:r>
        <w:t>The analysis connects actor profiles with grading, pricing, transport, packaging and payment practices. It also identifies where respondents reported limited market access, post-harvest loss, weak infrastructure or gaps in institutional support.</w:t>
      </w:r>
    </w:p>
    <w:p w14:paraId="4C8BE840" w14:textId="77777777" w:rsidR="00221112" w:rsidRPr="00DE5E47" w:rsidRDefault="00C14051">
      <w:pPr>
        <w:pStyle w:val="NormalWeb"/>
        <w:spacing w:line="480" w:lineRule="auto"/>
        <w:jc w:val="both"/>
      </w:pPr>
      <w:r>
        <w:t>For fishers and traders, the results provide a basis for clearer grades, more transparent prices and better live-crab handling. They also show where transport, packaging and payment arrangements may expose actors to avoidable loss or dependence.</w:t>
      </w:r>
    </w:p>
    <w:p w14:paraId="2E59C7A0" w14:textId="77777777" w:rsidR="00221112" w:rsidRPr="00DE5E47" w:rsidRDefault="00C14051">
      <w:pPr>
        <w:pStyle w:val="NormalWeb"/>
        <w:spacing w:line="480" w:lineRule="auto"/>
        <w:jc w:val="both"/>
      </w:pPr>
      <w:r>
        <w:t>For BMUs, county officers and national fisheries agencies, the study offers actor-specific evidence for licensing support, training, infrastructure planning and communication about management measures. The cross-sectional data do not establish causal effects, but they show where practical interventions can be tested.</w:t>
      </w:r>
    </w:p>
    <w:p w14:paraId="454C1FF0" w14:textId="77777777" w:rsidR="00221112" w:rsidRPr="00DE5E47" w:rsidRDefault="00C14051">
      <w:pPr>
        <w:pStyle w:val="NormalWeb"/>
        <w:spacing w:line="480" w:lineRule="auto"/>
        <w:jc w:val="both"/>
      </w:pPr>
      <w:r>
        <w:t>The study also records opportunities for women and young people in processing, hospitality procurement, trade and crab fattening, while recognising that these groups were under-represented in the sample. Academically, it adds a South Coast case to the limited literature on small-scale fishery markets in the Western Indian Ocean.</w:t>
      </w:r>
    </w:p>
    <w:p w14:paraId="147219B9" w14:textId="77777777" w:rsidR="00221112" w:rsidRPr="00DE5E47" w:rsidRDefault="00221112">
      <w:pPr>
        <w:spacing w:before="600" w:after="240" w:line="480" w:lineRule="auto"/>
        <w:contextualSpacing/>
        <w:jc w:val="both"/>
        <w:outlineLvl w:val="0"/>
        <w:rPr>
          <w:rFonts w:eastAsia="Times New Roman" w:cs="Times New Roman"/>
          <w:b/>
          <w:bCs/>
          <w:kern w:val="0"/>
          <w:sz w:val="24"/>
          <w:szCs w:val="24"/>
          <w14:ligatures w14:val="none"/>
        </w:rPr>
        <w:sectPr w:rsidR="00221112" w:rsidRPr="00DE5E47">
          <w:pgSz w:w="12240" w:h="15840"/>
          <w:pgMar w:top="1440" w:right="1440" w:bottom="1440" w:left="1440" w:header="504" w:footer="504" w:gutter="0"/>
          <w:cols w:space="720"/>
          <w:docGrid w:linePitch="360"/>
        </w:sectPr>
      </w:pPr>
    </w:p>
    <w:p w14:paraId="78519862" w14:textId="77777777" w:rsidR="00221112" w:rsidRPr="00DE5E47" w:rsidRDefault="00C14051">
      <w:pPr>
        <w:pStyle w:val="Heading1"/>
        <w:ind w:left="2977"/>
        <w:jc w:val="both"/>
        <w:outlineLvl w:val="0"/>
        <w:rPr>
          <w:rFonts w:cs="Times New Roman"/>
          <w:szCs w:val="24"/>
        </w:rPr>
      </w:pPr>
      <w:bookmarkStart w:id="52012" w:name="_Toc_12"/>
      <w:bookmarkStart w:id="76" w:name="_Toc69041142"/>
      <w:bookmarkStart w:id="77" w:name="_Toc76558186"/>
      <w:bookmarkStart w:id="78" w:name="_Toc240214088"/>
      <w:bookmarkStart w:id="79" w:name="_Toc241432225"/>
      <w:r w:rsidRPr="00DE5E47">
        <w:rPr>
          <w:rFonts w:cs="Times New Roman"/>
          <w:szCs w:val="24"/>
        </w:rPr>
        <w:lastRenderedPageBreak/>
        <w:t xml:space="preserve">CHAPTER TWO: LITERATURE REVIEW</w:t>
      </w:r>
      <w:bookmarkStart w:id="80" w:name="_Toc69041143"/>
      <w:bookmarkStart w:id="81" w:name="_Toc76558187"/>
      <w:bookmarkEnd w:id="76"/>
      <w:bookmarkEnd w:id="77"/>
      <w:bookmarkEnd w:id="78"/>
      <w:bookmarkEnd w:id="79"/>
      <w:bookmarkEnd w:id="52012"/>
    </w:p>
    <w:p w14:paraId="6D4FE10F" w14:textId="77777777" w:rsidR="00221112" w:rsidRPr="00DE5E47" w:rsidRDefault="00C14051">
      <w:pPr>
        <w:pStyle w:val="Heading2"/>
        <w:jc w:val="both"/>
        <w:outlineLvl w:val="1"/>
        <w:rPr>
          <w:rFonts w:cs="Times New Roman"/>
          <w:szCs w:val="24"/>
        </w:rPr>
      </w:pPr>
      <w:bookmarkStart w:id="52013" w:name="_Toc_13"/>
      <w:bookmarkStart w:id="82" w:name="_Toc228037540"/>
      <w:bookmarkStart w:id="83" w:name="_Toc228027949"/>
      <w:bookmarkStart w:id="84" w:name="_Toc228036125"/>
      <w:bookmarkStart w:id="85" w:name="_Toc228027728"/>
      <w:bookmarkStart w:id="86" w:name="_Toc228034521"/>
      <w:bookmarkStart w:id="87" w:name="_Toc228034705"/>
      <w:bookmarkStart w:id="88" w:name="_Toc228026076"/>
      <w:bookmarkStart w:id="89" w:name="_Toc228037385"/>
      <w:bookmarkStart w:id="90" w:name="_Toc228034166"/>
      <w:bookmarkStart w:id="91" w:name="_Toc228026151"/>
      <w:bookmarkStart w:id="92" w:name="_Toc228027805"/>
      <w:bookmarkStart w:id="93" w:name="_Toc228037462"/>
      <w:bookmarkStart w:id="94" w:name="_Toc228037306"/>
      <w:bookmarkStart w:id="95" w:name="_Toc228037618"/>
      <w:bookmarkStart w:id="96" w:name="_Toc240214089"/>
      <w:bookmarkStart w:id="97" w:name="_Toc241432226"/>
      <w:bookmarkEnd w:id="82"/>
      <w:bookmarkEnd w:id="83"/>
      <w:bookmarkEnd w:id="84"/>
      <w:bookmarkEnd w:id="85"/>
      <w:bookmarkEnd w:id="86"/>
      <w:bookmarkEnd w:id="87"/>
      <w:bookmarkEnd w:id="88"/>
      <w:bookmarkEnd w:id="89"/>
      <w:bookmarkEnd w:id="90"/>
      <w:bookmarkEnd w:id="91"/>
      <w:bookmarkEnd w:id="92"/>
      <w:bookmarkEnd w:id="93"/>
      <w:bookmarkEnd w:id="94"/>
      <w:bookmarkEnd w:id="95"/>
      <w:r w:rsidRPr="00DE5E47">
        <w:rPr>
          <w:rFonts w:cs="Times New Roman"/>
          <w:szCs w:val="24"/>
        </w:rPr>
        <w:t xml:space="preserve">2.1 Species biology and Ecological importance</w:t>
      </w:r>
      <w:bookmarkEnd w:id="96"/>
      <w:bookmarkEnd w:id="97"/>
      <w:bookmarkEnd w:id="52013"/>
    </w:p>
    <w:p w14:paraId="2C79E739" w14:textId="77777777" w:rsidR="00221112" w:rsidRPr="00DE5E47" w:rsidRDefault="00C14051">
      <w:pPr>
        <w:spacing w:before="240" w:after="200" w:line="480" w:lineRule="auto"/>
        <w:jc w:val="both"/>
        <w:rPr>
          <w:rFonts w:eastAsia="Times New Roman" w:cs="Times New Roman"/>
          <w:kern w:val="0"/>
          <w:sz w:val="24"/>
          <w:szCs w:val="24"/>
          <w14:ligatures w14:val="none"/>
        </w:rPr>
      </w:pPr>
      <w:r>
        <w:t>The genus Scylla contains four recognised mud crab species: S. serrata, S. tranquebarica, S. olivacea and S. paramamosain (Ogawa et al., 2011). These crabs occur in mangrove estuaries and coastal waters of the Indian and Pacific oceans. Scylla serrata grows by moulting; cultured crabs weighing 33-76 g have recorded daily gains of 0.68-1.58 g, while adults can exceed 2 kg and 250 mm carapace width (Webley, 2008). Females migrate offshore to spawn. The species is a benthic predator of slow-moving crustaceans, gastropods and molluscs and is also cannibalistic (Allan &amp; Fielder, 2003).</w:t>
      </w:r>
    </w:p>
    <w:p>
      <w:pPr>
        <w:spacing w:line="240" w:lineRule="auto" w:after="60"/>
      </w:pPr>
      <w:bookmarkStart w:id="41001" w:name="_Fig1"/>
      <w:r>
        <w:rPr>
          <w:rFonts w:ascii="Times New Roman" w:hAnsi="Times New Roman" w:cs="Times New Roman"/>
          <w:b/>
          <w:sz w:val="24"/>
          <w:szCs w:val="24"/>
          <w:color w:val="000000"/>
        </w:rPr>
        <w:t xml:space="preserve">Figure 1</w:t>
      </w:r>
      <w:bookmarkEnd w:id="41001"/>
    </w:p>
    <w:p>
      <w:pPr>
        <w:spacing w:line="240" w:lineRule="auto" w:after="60"/>
      </w:pPr>
      <w:r>
        <w:rPr>
          <w:rFonts w:ascii="Times New Roman" w:hAnsi="Times New Roman" w:cs="Times New Roman"/>
          <w:i/>
          <w:sz w:val="24"/>
          <w:szCs w:val="24"/>
          <w:color w:val="000000"/>
        </w:rPr>
        <w:t xml:space="preserve">Mangrove mud crab (Scylla serrata)</w:t>
      </w:r>
    </w:p>
    <w:p w14:paraId="5BA84967" w14:textId="77777777" w:rsidR="00221112" w:rsidRPr="00DE5E47" w:rsidRDefault="00C14051" w:rsidP="00DD0A67">
      <w:pPr>
        <w:keepNext/>
        <w:spacing w:before="240" w:after="200" w:line="480" w:lineRule="auto"/>
        <w:jc w:val="center"/>
        <w:rPr>
          <w:rFonts w:cs="Times New Roman"/>
          <w:sz w:val="24"/>
          <w:szCs w:val="24"/>
        </w:rPr>
      </w:pPr>
      <w:r w:rsidRPr="00DE5E47">
        <w:rPr>
          <w:rFonts w:eastAsia="Times New Roman" w:cs="Times New Roman"/>
          <w:noProof/>
          <w:kern w:val="0"/>
          <w:sz w:val="24"/>
          <w:szCs w:val="24"/>
          <w14:ligatures w14:val="none"/>
        </w:rPr>
        <w:drawing>
          <wp:inline distT="0" distB="0" distL="0" distR="0" wp14:anchorId="11F49F9E" wp14:editId="709C310F">
            <wp:extent cx="3657600" cy="2465070"/>
            <wp:effectExtent l="0" t="0" r="0" b="0"/>
            <wp:docPr id="11" name="Picture 11" descr="Grey Mud Crab Frozen Food, Williamson Overseas Trading Corporation | ID:  18346539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Grey Mud Crab Frozen Food, Williamson Overseas Trading Corporation | ID:  18346539062"/>
                    <pic:cNvPicPr>
                      <a:picLocks noChangeAspect="1" noChangeArrowheads="1"/>
                    </pic:cNvPicPr>
                  </pic:nvPicPr>
                  <pic:blipFill>
                    <a:blip r:embed="rId13">
                      <a:extLst>
                        <a:ext uri="{28A0092B-C50C-407E-A947-70E740481C1C}">
                          <a14:useLocalDpi xmlns:a14="http://schemas.microsoft.com/office/drawing/2010/main" val="0"/>
                        </a:ext>
                      </a:extLst>
                    </a:blip>
                    <a:srcRect l="2200"/>
                    <a:stretch>
                      <a:fillRect/>
                    </a:stretch>
                  </pic:blipFill>
                  <pic:spPr>
                    <a:xfrm>
                      <a:off x="0" y="0"/>
                      <a:ext cx="3657600" cy="2465070"/>
                    </a:xfrm>
                    <a:prstGeom prst="rect">
                      <a:avLst/>
                    </a:prstGeom>
                    <a:noFill/>
                    <a:ln>
                      <a:noFill/>
                    </a:ln>
                  </pic:spPr>
                </pic:pic>
              </a:graphicData>
            </a:graphic>
          </wp:inline>
        </w:drawing>
      </w:r>
    </w:p>
    <w:p w14:paraId="529B72C3" w14:textId="77777777" w:rsidR="00DD0A67" w:rsidRPr="00DE5E47" w:rsidRDefault="00DD0A67" w:rsidP="00DD0A67">
      <w:pPr>
        <w:rPr>
          <w:rFonts w:cs="Times New Roman"/>
          <w:sz w:val="24"/>
          <w:szCs w:val="24"/>
        </w:rPr>
      </w:pPr>
    </w:p>
    <w:p w14:paraId="308E78B5" w14:textId="77777777" w:rsidR="00221112" w:rsidRPr="00DE5E47" w:rsidRDefault="00C14051">
      <w:pPr>
        <w:pStyle w:val="Heading2"/>
        <w:jc w:val="both"/>
        <w:outlineLvl w:val="1"/>
        <w:rPr>
          <w:rFonts w:eastAsia="Times New Roman" w:cs="Times New Roman"/>
          <w:szCs w:val="24"/>
        </w:rPr>
      </w:pPr>
      <w:bookmarkStart w:id="52014" w:name="_Toc_14"/>
      <w:bookmarkStart w:id="98" w:name="_Toc240214090"/>
      <w:bookmarkStart w:id="99" w:name="_Toc241432227"/>
      <w:r w:rsidRPr="00DE5E47">
        <w:rPr>
          <w:rFonts w:eastAsia="Times New Roman" w:cs="Times New Roman"/>
          <w:szCs w:val="24"/>
        </w:rPr>
        <w:t xml:space="preserve">2.2 Mud crab harvesting strategies</w:t>
      </w:r>
      <w:bookmarkEnd w:id="98"/>
      <w:bookmarkEnd w:id="99"/>
      <w:bookmarkEnd w:id="52014"/>
    </w:p>
    <w:p w14:paraId="64B997BC" w14:textId="77777777" w:rsidR="00221112" w:rsidRPr="00DE5E47" w:rsidRDefault="00C14051">
      <w:pPr>
        <w:spacing w:after="200" w:line="480" w:lineRule="auto"/>
        <w:jc w:val="both"/>
        <w:rPr>
          <w:rFonts w:eastAsia="Times New Roman" w:cs="Times New Roman"/>
          <w:kern w:val="0"/>
          <w:sz w:val="24"/>
          <w:szCs w:val="24"/>
          <w14:ligatures w14:val="none"/>
        </w:rPr>
      </w:pPr>
      <w:r>
        <w:t>Fishing grounds and capture methods vary with the target crab, habitat, tide, available gear and the fisher’s experience (Mirera, 2017a). Reported methods include hand collection, hooks and sticks, baited pots or traps, scoop or seine nets, and hooked metal rods (Richmond et al., 2006; Bonine et al., 2008; Mirera, 2017a). Kenyan fishers commonly remove crabs from mangrove burrows, taking market-sized animals for sale and smaller animals for culture. Harvesting is concentrated around low spring tides, when mangrove areas are accessible (Moser et al., 2005).</w:t>
      </w:r>
      <w:r/>
    </w:p>
    <w:p w14:paraId="3EFEFB49" w14:textId="77777777" w:rsidR="00221112" w:rsidRPr="00DE5E47" w:rsidRDefault="00C14051">
      <w:pPr>
        <w:spacing w:after="200" w:line="480" w:lineRule="auto"/>
        <w:jc w:val="both"/>
        <w:rPr>
          <w:rFonts w:eastAsia="Times New Roman" w:cs="Times New Roman"/>
          <w:kern w:val="0"/>
          <w:sz w:val="24"/>
          <w:szCs w:val="24"/>
          <w14:ligatures w14:val="none"/>
        </w:rPr>
      </w:pPr>
      <w:r>
        <w:t>Along the Kenyan coast, many mud crab fishers work on foot in mangroves and rely on detailed knowledge of burrows and tidal creeks rather than specialised equipment (Fondo et al., 2020; Mirera et al., 2013). Catches may be held at home for several days until enough crabs have been accumulated for sale to a trader (Mirera et al., 2013; Ochiewo et al., 2010). The holding period makes survival and handling part of the marketing problem, not only a harvesting issue.</w:t>
      </w:r>
    </w:p>
    <w:p w14:paraId="56FB0040" w14:textId="77777777" w:rsidR="00221112" w:rsidRPr="00DE5E47" w:rsidRDefault="00C14051">
      <w:pPr>
        <w:spacing w:after="200" w:line="480" w:lineRule="auto"/>
        <w:jc w:val="both"/>
        <w:rPr>
          <w:rFonts w:eastAsia="Times New Roman" w:cs="Times New Roman"/>
          <w:kern w:val="0"/>
          <w:sz w:val="24"/>
          <w:szCs w:val="24"/>
          <w14:ligatures w14:val="none"/>
        </w:rPr>
      </w:pPr>
      <w:r>
        <w:t>The Fisheries Management and Development Act, 2016 provides for designated landing and management arrangements. Mud crab fishers, however, do not always use formal landing sites or licences, so catches may remain outside routine landing records. This weakens the information available for both market planning and stock management.</w:t>
      </w:r>
    </w:p>
    <w:p w14:paraId="76458431" w14:textId="77777777" w:rsidR="00221112" w:rsidRPr="00DE5E47" w:rsidRDefault="00C14051">
      <w:pPr>
        <w:pStyle w:val="Heading2"/>
        <w:jc w:val="both"/>
        <w:outlineLvl w:val="1"/>
        <w:rPr>
          <w:rFonts w:cs="Times New Roman"/>
          <w:szCs w:val="24"/>
        </w:rPr>
      </w:pPr>
      <w:bookmarkStart w:id="52015" w:name="_Toc_15"/>
      <w:bookmarkStart w:id="100" w:name="_Toc240214091"/>
      <w:bookmarkStart w:id="101" w:name="_Toc241432228"/>
      <w:r w:rsidRPr="00DE5E47">
        <w:rPr>
          <w:rFonts w:cs="Times New Roman"/>
          <w:szCs w:val="24"/>
        </w:rPr>
        <w:t xml:space="preserve">2.3 Overview of mud crab fisheries and market structure</w:t>
      </w:r>
      <w:bookmarkEnd w:id="100"/>
      <w:bookmarkEnd w:id="101"/>
      <w:bookmarkEnd w:id="52015"/>
    </w:p>
    <w:p w14:paraId="63ED500C" w14:textId="77777777" w:rsidR="00221112" w:rsidRPr="00DE5E47" w:rsidRDefault="00C14051">
      <w:pPr>
        <w:spacing w:after="200" w:line="480" w:lineRule="auto"/>
        <w:jc w:val="both"/>
        <w:rPr>
          <w:rFonts w:eastAsia="Times New Roman" w:cs="Times New Roman"/>
          <w:kern w:val="0"/>
          <w:sz w:val="24"/>
          <w:szCs w:val="24"/>
          <w14:ligatures w14:val="none"/>
        </w:rPr>
      </w:pPr>
      <w:r>
        <w:t>Scylla serrata is among the more valuable shellfish harvested from tropical mangroves. On Kenya’s South Coast, the fishery provides cash income to coastal households and connects small-scale harvesters with traders and downstream buyers. Its commercial growth has created a longer market chain rather than replacing small-scale production (FAO, 2025).</w:t>
      </w:r>
    </w:p>
    <w:p w14:paraId="2224CD21" w14:textId="77777777" w:rsidR="00221112" w:rsidRPr="00DE5E47" w:rsidRDefault="00C14051">
      <w:pPr>
        <w:spacing w:after="200" w:line="480" w:lineRule="auto"/>
        <w:jc w:val="both"/>
        <w:rPr>
          <w:rFonts w:eastAsia="Times New Roman" w:cs="Times New Roman"/>
          <w:kern w:val="0"/>
          <w:sz w:val="24"/>
          <w:szCs w:val="24"/>
          <w14:ligatures w14:val="none"/>
        </w:rPr>
      </w:pPr>
      <w:r>
        <w:t>Demand for live crabs can increase both harvesting pressure and the value of keeping crabs alive. Evidence from the Western Indian Ocean and other regions suggests that buyer concentration, grade setting and access to markets shape prices and the distribution of gross returns (Jacinto, 2004; Crona et al., 2016). Market structure is therefore relevant to sustainability as well as livelihoods.</w:t>
      </w:r>
    </w:p>
    <w:p w14:paraId="78DE2C9F" w14:textId="77777777" w:rsidR="00221112" w:rsidRPr="00DE5E47" w:rsidRDefault="00C14051">
      <w:pPr>
        <w:pStyle w:val="Heading2"/>
        <w:jc w:val="both"/>
        <w:outlineLvl w:val="1"/>
        <w:rPr>
          <w:rFonts w:cs="Times New Roman"/>
          <w:szCs w:val="24"/>
        </w:rPr>
      </w:pPr>
      <w:bookmarkStart w:id="52016" w:name="_Toc_16"/>
      <w:bookmarkStart w:id="102" w:name="_Toc240214092"/>
      <w:bookmarkStart w:id="103" w:name="_Toc241432229"/>
      <w:r w:rsidRPr="00DE5E47">
        <w:rPr>
          <w:rFonts w:cs="Times New Roman"/>
          <w:szCs w:val="24"/>
        </w:rPr>
        <w:t xml:space="preserve">2.4 Mud crab fishery actors and their characteristics</w:t>
      </w:r>
      <w:bookmarkEnd w:id="102"/>
      <w:bookmarkEnd w:id="103"/>
      <w:bookmarkEnd w:id="52016"/>
    </w:p>
    <w:p w14:paraId="7E62D475"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The mud crab fishery involves fishers, brokers or middlemen, traders, wholesalers, retailers and final buyers. Fishers are typically small-scale operators who depend directly on mangrove habitats and use hand collection or simple gear (Mirera et al., 2013). Other actors aggregate, grade, transport, process or sell the catch.</w:t>
      </w:r>
      <w:r/>
    </w:p>
    <w:p w14:paraId="307D80B8" w14:textId="77777777" w:rsidR="00221112" w:rsidRPr="00DE5E47" w:rsidRDefault="00C14051" w:rsidP="00DD0A67">
      <w:pPr>
        <w:spacing w:before="100" w:beforeAutospacing="1" w:after="100" w:afterAutospacing="1" w:line="480" w:lineRule="auto"/>
        <w:jc w:val="both"/>
        <w:rPr>
          <w:rFonts w:eastAsia="Times New Roman" w:cs="Times New Roman"/>
          <w:kern w:val="0"/>
          <w:sz w:val="24"/>
          <w:szCs w:val="24"/>
          <w14:ligatures w14:val="none"/>
        </w:rPr>
      </w:pPr>
      <w:r>
        <w:t>Participation differs by age, experience, education, gender and access to finance. Along the Kenyan coast, mud crab income may support several members of a household, while harvesting and formal leadership have largely been male-dominated. Women are more visible in trade, processing and crab-fattening activities (Ochiewo et al., 2010; Mirera, 2014a). Earlier studies place many Kenyan crab fishers between 23 and 55 years of age and report that primary education is much more common than secondary education among East African crab fishers (Fulanda et al., 2009; Ndanga et al., 2013). These patterns provide useful context, but they do not show whether actor profiles are the same across BMUs or market nodes.</w:t>
      </w:r>
    </w:p>
    <w:p w14:paraId="59BFE231" w14:textId="77777777" w:rsidR="00221112" w:rsidRPr="00DE5E47" w:rsidRDefault="00C14051">
      <w:pPr>
        <w:pStyle w:val="Heading2"/>
        <w:jc w:val="both"/>
        <w:outlineLvl w:val="1"/>
        <w:rPr>
          <w:rFonts w:cs="Times New Roman"/>
          <w:szCs w:val="24"/>
        </w:rPr>
      </w:pPr>
      <w:bookmarkStart w:id="52017" w:name="_Toc_17"/>
      <w:bookmarkStart w:id="104" w:name="_Toc240214093"/>
      <w:bookmarkStart w:id="105" w:name="_Toc241432230"/>
      <w:r w:rsidRPr="00DE5E47">
        <w:rPr>
          <w:rFonts w:cs="Times New Roman"/>
          <w:szCs w:val="24"/>
        </w:rPr>
        <w:t xml:space="preserve">2.5 Functions of actors at different market levels</w:t>
      </w:r>
      <w:bookmarkEnd w:id="104"/>
      <w:bookmarkEnd w:id="105"/>
      <w:bookmarkEnd w:id="52017"/>
    </w:p>
    <w:p w14:paraId="3155595A"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Functions change as crabs move through the chain. Fishers capture crabs by hand, from burrows or with baited gear. The method can affect size, condition and survival, which are relevant to the price offered at first sale (Sultana et al., 2018).</w:t>
      </w:r>
    </w:p>
    <w:p w14:paraId="3251AC96"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Middlemen buy from landing sites or villages, combine catches from several fishers, grade crabs and arrange temporary holding and transport. Their networks connect fishers to distant buyers, but the same position may give them an information and bargaining advantage when fishers have few alternative outlets.</w:t>
      </w:r>
    </w:p>
    <w:p w14:paraId="0256B6A3"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sectPr w:rsidR="00221112" w:rsidRPr="00DE5E47">
          <w:pgSz w:w="12240" w:h="15840"/>
          <w:pgMar w:top="1440" w:right="1440" w:bottom="1440" w:left="1440" w:header="504" w:footer="504" w:gutter="0"/>
          <w:cols w:space="720"/>
          <w:docGrid w:linePitch="360"/>
        </w:sectPr>
      </w:pPr>
      <w:r>
        <w:t>Wholesalers, retailers, hotels, restaurants and exporters place greater emphasis on consistent quality and survival, especially when crabs are traded alive (FAO, 2025). The chain should therefore be examined as a sequence of distinct functions rather than as a single group of ‘traders’.</w:t>
      </w:r>
    </w:p>
    <w:p w14:paraId="53A92AE9" w14:textId="77777777" w:rsidR="00DD0A67" w:rsidRPr="00DE5E47" w:rsidRDefault="00DD0A67" w:rsidP="00DD0A67">
      <w:pPr>
        <w:tabs>
          <w:tab w:val="left" w:pos="780"/>
        </w:tabs>
        <w:rPr>
          <w:rFonts w:eastAsia="Times New Roman" w:cs="Times New Roman"/>
          <w:sz w:val="24"/>
          <w:szCs w:val="24"/>
        </w:rPr>
        <w:sectPr w:rsidR="00DD0A67" w:rsidRPr="00DE5E47">
          <w:type w:val="continuous"/>
          <w:pgSz w:w="12240" w:h="15840"/>
          <w:pgMar w:top="1440" w:right="1440" w:bottom="1440" w:left="1440" w:header="504" w:footer="504" w:gutter="0"/>
          <w:pgNumType w:fmt="lowerRoman"/>
          <w:cols w:space="720"/>
          <w:docGrid w:linePitch="360"/>
        </w:sectPr>
      </w:pPr>
    </w:p>
    <w:p w14:paraId="1BE0001F" w14:textId="77777777" w:rsidR="00221112" w:rsidRPr="00DE5E47" w:rsidRDefault="00C14051">
      <w:pPr>
        <w:pStyle w:val="Heading2"/>
        <w:jc w:val="both"/>
        <w:outlineLvl w:val="1"/>
        <w:rPr>
          <w:rFonts w:eastAsia="Times New Roman" w:cs="Times New Roman"/>
          <w:szCs w:val="24"/>
        </w:rPr>
      </w:pPr>
      <w:bookmarkStart w:id="52018" w:name="_Toc_18"/>
      <w:bookmarkStart w:id="106" w:name="_Toc240214094"/>
      <w:bookmarkStart w:id="107" w:name="_Toc241432231"/>
      <w:r w:rsidRPr="00DE5E47">
        <w:rPr>
          <w:rFonts w:eastAsia="Times New Roman" w:cs="Times New Roman"/>
          <w:szCs w:val="24"/>
        </w:rPr>
        <w:lastRenderedPageBreak/>
        <w:t xml:space="preserve">2.6 Business dynamics of the mud crab fishery</w:t>
      </w:r>
      <w:bookmarkEnd w:id="106"/>
      <w:bookmarkEnd w:id="107"/>
      <w:bookmarkEnd w:id="52018"/>
    </w:p>
    <w:p w14:paraId="7B7156B6" w14:textId="77777777" w:rsidR="00221112" w:rsidRPr="00DE5E47" w:rsidRDefault="00C14051">
      <w:pPr>
        <w:pStyle w:val="Heading3"/>
        <w:jc w:val="both"/>
        <w:outlineLvl w:val="2"/>
        <w:rPr>
          <w:rFonts w:eastAsia="Times New Roman" w:cs="Times New Roman"/>
          <w:kern w:val="36"/>
        </w:rPr>
      </w:pPr>
      <w:bookmarkStart w:id="52019" w:name="_Toc_19"/>
      <w:r w:rsidRPr="00DE5E47">
        <w:rPr>
          <w:rFonts w:eastAsia="Times New Roman" w:cs="Times New Roman"/>
        </w:rPr>
        <w:t xml:space="preserve">2.6.1 Overview of mud crab business dynamics</w:t>
      </w:r>
      <w:bookmarkStart w:id="108" w:name="_Toc240214095"/>
      <w:bookmarkStart w:id="109" w:name="_Toc241432232"/>
      <w:bookmarkEnd w:id="108"/>
      <w:bookmarkEnd w:id="109"/>
      <w:bookmarkEnd w:id="52019"/>
    </w:p>
    <w:p w14:paraId="46187FD3"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Mud crab trade depends on keeping a live, perishable product in saleable condition. Grading, price setting, transport, packaging and payment are therefore part of production economics, not secondary activities (FAO, 2025).</w:t>
      </w:r>
    </w:p>
    <w:p w14:paraId="34EC974C"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These practices distribute both opportunity and risk. The actor who controls grading or transport may reach a higher-value buyer, while the actor holding live crabs bears the risk of mortality, delayed payment or a rejected consignment.</w:t>
      </w:r>
    </w:p>
    <w:p w14:paraId="737509AF" w14:textId="77777777" w:rsidR="00221112" w:rsidRPr="00DE5E47" w:rsidRDefault="00C14051">
      <w:pPr>
        <w:pStyle w:val="Heading3"/>
        <w:jc w:val="both"/>
        <w:outlineLvl w:val="2"/>
        <w:rPr>
          <w:rFonts w:eastAsia="Times New Roman" w:cs="Times New Roman"/>
        </w:rPr>
      </w:pPr>
      <w:bookmarkStart w:id="52020" w:name="_Toc_20"/>
      <w:r w:rsidRPr="00DE5E47">
        <w:rPr>
          <w:rFonts w:eastAsia="Times New Roman" w:cs="Times New Roman"/>
        </w:rPr>
        <w:t xml:space="preserve">2.6.2 Grading of mud crabs</w:t>
      </w:r>
      <w:bookmarkStart w:id="110" w:name="_Toc240214096"/>
      <w:bookmarkStart w:id="111" w:name="_Toc241432233"/>
      <w:bookmarkEnd w:id="110"/>
      <w:bookmarkEnd w:id="111"/>
      <w:bookmarkEnd w:id="52020"/>
    </w:p>
    <w:p w14:paraId="6C017EED"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Crabs are commonly graded by size, weight, sex, shell hardness and physical condition. Large hard-shell crabs are often preferred because they contain more meat and tolerate transport better. Male crabs may command higher prices, while trade in berried females may be restricted for conservation reasons (FAO, 2025).</w:t>
      </w:r>
    </w:p>
    <w:p w14:paraId="106F29C9"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Grading may occur at the landing site or after a middleman has aggregated several catches. When the criteria are informal or applied visually, fishers may be unable to verify why a crab was placed in a particular grade. The issue is not grading itself, which can reflect real quality differences, but whether the criteria and price consequences are transparent.</w:t>
      </w:r>
    </w:p>
    <w:p w14:paraId="13A2B5DA" w14:textId="77777777" w:rsidR="00221112" w:rsidRPr="00DE5E47" w:rsidRDefault="00C14051">
      <w:pPr>
        <w:pStyle w:val="Heading3"/>
        <w:jc w:val="both"/>
        <w:outlineLvl w:val="2"/>
        <w:rPr>
          <w:rFonts w:eastAsia="Times New Roman" w:cs="Times New Roman"/>
        </w:rPr>
      </w:pPr>
      <w:bookmarkStart w:id="52021" w:name="_Toc_21"/>
      <w:r w:rsidRPr="00DE5E47">
        <w:rPr>
          <w:rFonts w:eastAsia="Times New Roman" w:cs="Times New Roman"/>
        </w:rPr>
        <w:t xml:space="preserve">2.6.3 Pricing of mud crabs</w:t>
      </w:r>
      <w:bookmarkStart w:id="112" w:name="_Toc240214097"/>
      <w:bookmarkStart w:id="113" w:name="_Toc241432234"/>
      <w:bookmarkEnd w:id="112"/>
      <w:bookmarkEnd w:id="113"/>
      <w:bookmarkEnd w:id="52021"/>
    </w:p>
    <w:p w14:paraId="642717A7"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Mud crab prices vary with grade, season, demand, distance to market and whether crabs are sold alive. Large live crabs generally receive higher prices in urban, hotel and export markets, while seasonal supply and demand can shift the amount offered (FAO, 2025).</w:t>
      </w:r>
    </w:p>
    <w:p w14:paraId="4AC348FE"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Small-scale fishers may accept a buyer’s price when they lack holding facilities, need cash immediately or depend on that buyer for transport and credit. Informal agreements can reduce transaction costs, but they can also make the basis of a price difficult to challenge (Crona et al., 2016). This makes buyer choice and independent market information important alongside the nominal price.</w:t>
      </w:r>
    </w:p>
    <w:p w14:paraId="40D4249F" w14:textId="77777777" w:rsidR="00221112" w:rsidRPr="00DE5E47" w:rsidRDefault="00C14051">
      <w:pPr>
        <w:pStyle w:val="Heading3"/>
        <w:jc w:val="both"/>
        <w:outlineLvl w:val="2"/>
        <w:rPr>
          <w:rFonts w:eastAsia="Times New Roman" w:cs="Times New Roman"/>
        </w:rPr>
      </w:pPr>
      <w:bookmarkStart w:id="52022" w:name="_Toc_22"/>
      <w:r w:rsidRPr="00DE5E47">
        <w:rPr>
          <w:rFonts w:eastAsia="Times New Roman" w:cs="Times New Roman"/>
        </w:rPr>
        <w:t xml:space="preserve">2.6.4 Transport of mud crabs</w:t>
      </w:r>
      <w:bookmarkStart w:id="114" w:name="_Toc240214098"/>
      <w:bookmarkStart w:id="115" w:name="_Toc241432235"/>
      <w:bookmarkEnd w:id="114"/>
      <w:bookmarkEnd w:id="115"/>
      <w:bookmarkEnd w:id="52022"/>
    </w:p>
    <w:p w14:paraId="258DB444"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Transport affects both survival and quality. Live mud crabs are vulnerable to heat, dehydration and handling stress, and deaths in transit reduce the quantity that can be sold. Traders use baskets, plastic crates or wooden boxes, often with damp material to limit dehydration.</w:t>
      </w:r>
    </w:p>
    <w:p w14:paraId="484959A3"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Long distances, poor roads and limited cold-chain or live-holding facilities add to transport risk in the Western Indian Ocean. Shorter journeys and better containment may reduce mortality and protect value without increasing fishing effort. The relevant question is which actors have access to those options and who pays for them.</w:t>
      </w:r>
    </w:p>
    <w:p w14:paraId="4100A040" w14:textId="77777777" w:rsidR="00221112" w:rsidRPr="00DE5E47" w:rsidRDefault="00C14051">
      <w:pPr>
        <w:pStyle w:val="Heading3"/>
        <w:jc w:val="both"/>
        <w:outlineLvl w:val="2"/>
        <w:rPr>
          <w:rFonts w:eastAsia="Times New Roman" w:cs="Times New Roman"/>
        </w:rPr>
      </w:pPr>
      <w:bookmarkStart w:id="52023" w:name="_Toc_23"/>
      <w:r w:rsidRPr="00DE5E47">
        <w:rPr>
          <w:rFonts w:eastAsia="Times New Roman" w:cs="Times New Roman"/>
        </w:rPr>
        <w:t xml:space="preserve">2.6.5 Packaging of mud crabs</w:t>
      </w:r>
      <w:bookmarkStart w:id="116" w:name="_Toc240214099"/>
      <w:bookmarkStart w:id="117" w:name="_Toc241432236"/>
      <w:bookmarkEnd w:id="116"/>
      <w:bookmarkEnd w:id="117"/>
      <w:bookmarkEnd w:id="52023"/>
    </w:p>
    <w:p w14:paraId="50108F84"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Packaging controls movement, moisture and physical damage during transport. Live crabs may be tied or separated to reduce injury and cannibalism. Containers must also allow enough ventilation and protect claws and legs, which affect market acceptance.</w:t>
      </w:r>
    </w:p>
    <w:p w14:paraId="265E93BF"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Export markets often require consistent packaging, labels and traceability. Small-scale traders may instead use low-cost materials that are locally available. The trade-off between container cost, survival and reusability should be assessed under normal trading conditions rather than assumed.</w:t>
      </w:r>
    </w:p>
    <w:p w14:paraId="1556C33B" w14:textId="77777777" w:rsidR="00221112" w:rsidRPr="00DE5E47" w:rsidRDefault="00C14051">
      <w:pPr>
        <w:pStyle w:val="Heading3"/>
        <w:jc w:val="both"/>
        <w:outlineLvl w:val="2"/>
        <w:rPr>
          <w:rFonts w:eastAsia="Times New Roman" w:cs="Times New Roman"/>
        </w:rPr>
      </w:pPr>
      <w:bookmarkStart w:id="52024" w:name="_Toc_24"/>
      <w:r w:rsidRPr="00DE5E47">
        <w:rPr>
          <w:rFonts w:eastAsia="Times New Roman" w:cs="Times New Roman"/>
        </w:rPr>
        <w:lastRenderedPageBreak/>
        <w:t xml:space="preserve">2.6.6 Modes of payment in the mud crab trade</w:t>
      </w:r>
      <w:bookmarkStart w:id="118" w:name="_Toc240214100"/>
      <w:bookmarkStart w:id="119" w:name="_Toc241432237"/>
      <w:bookmarkEnd w:id="118"/>
      <w:bookmarkEnd w:id="119"/>
      <w:bookmarkEnd w:id="52024"/>
    </w:p>
    <w:p w14:paraId="3C8C74CB"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Cash remains common at landing sites because fishers need immediate income. Payment may also be delayed until a broker has sold the crabs, especially when the broker provides transport or holding services (Crona et al., 2016).</w:t>
      </w:r>
    </w:p>
    <w:p w14:paraId="736958B9"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Buyers may advance cash or gear in return for continued or exclusive supply. Such arrangements can solve a short-term financing problem while narrowing the fisher’s choice of buyer. Buyers may also advance cash or gear in return for continued or exclusive supply, an arrangement Crona et al. (2016) describe as solving a short-term financing problem while narrowing the seller’s choice of buyer. Whether mobile money changes that balance in this fishery is an empirical question taken up in Chapter Four.</w:t>
      </w:r>
    </w:p>
    <w:p w14:paraId="2B7DAE44" w14:textId="77777777" w:rsidR="00221112" w:rsidRPr="00DE5E47" w:rsidRDefault="00C14051">
      <w:pPr>
        <w:pStyle w:val="Heading2"/>
        <w:jc w:val="both"/>
        <w:outlineLvl w:val="1"/>
        <w:rPr>
          <w:rFonts w:eastAsia="Times New Roman" w:cs="Times New Roman"/>
          <w:szCs w:val="24"/>
        </w:rPr>
      </w:pPr>
      <w:bookmarkStart w:id="52025" w:name="_Toc_25"/>
      <w:r w:rsidRPr="00DE5E47">
        <w:rPr>
          <w:rFonts w:eastAsia="Times New Roman" w:cs="Times New Roman"/>
          <w:szCs w:val="24"/>
        </w:rPr>
        <w:t xml:space="preserve">2.7 Constraints faced by mud crab fishery actors</w:t>
      </w:r>
      <w:bookmarkStart w:id="120" w:name="_Toc240214101"/>
      <w:bookmarkStart w:id="121" w:name="_Toc241432238"/>
      <w:bookmarkEnd w:id="120"/>
      <w:bookmarkEnd w:id="121"/>
      <w:bookmarkEnd w:id="52025"/>
    </w:p>
    <w:p w14:paraId="0F932054"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Mud crab actors face ecological, operational and market constraints. Fishers report seasonal availability and declining catches where juvenile or berried crabs are harvested and mangrove habitats are degraded (Mirera, 2017a). Traders face the additional problem of keeping live crabs in saleable condition while assembling enough volume for buyers.</w:t>
      </w:r>
    </w:p>
    <w:p w14:paraId="1A4BDDC8"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Limited credit, unstable prices, inadequate holding facilities and dependence on a small number of brokers can reduce bargaining options. Weak enforcement of size or harvest rules may also allow short-term market demand to undermine the resource on which the trade depends (Mirera, 2017a).</w:t>
      </w:r>
    </w:p>
    <w:p w14:paraId="6B87FC06" w14:textId="77777777" w:rsidR="00221112" w:rsidRPr="00DE5E47" w:rsidRDefault="00C14051">
      <w:pPr>
        <w:pStyle w:val="Heading2"/>
        <w:jc w:val="both"/>
        <w:outlineLvl w:val="1"/>
        <w:rPr>
          <w:rFonts w:eastAsia="Times New Roman" w:cs="Times New Roman"/>
          <w:szCs w:val="24"/>
        </w:rPr>
      </w:pPr>
      <w:bookmarkStart w:id="52026" w:name="_Toc_26"/>
      <w:bookmarkStart w:id="122" w:name="_Toc240214102"/>
      <w:bookmarkStart w:id="123" w:name="_Toc241432239"/>
      <w:r w:rsidRPr="00DE5E47">
        <w:rPr>
          <w:rFonts w:eastAsia="Times New Roman" w:cs="Times New Roman"/>
          <w:szCs w:val="24"/>
        </w:rPr>
        <w:t xml:space="preserve">2.8 Opportunities in the mud crab fishery</w:t>
      </w:r>
      <w:bookmarkEnd w:id="122"/>
      <w:bookmarkEnd w:id="123"/>
      <w:bookmarkEnd w:id="52026"/>
    </w:p>
    <w:p w14:paraId="5ADC5F20"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Demand for large, healthy crabs creates room for better handling, clearer grades and higher-value products. Crab fattening can increase sale weight before marketing, although its value depends on survival, feed, labour, seed sourcing and a confirmed buyer (Mirera, 2014b).</w:t>
      </w:r>
    </w:p>
    <w:p w14:paraId="533A2CA9"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Community participation in size limits and temporary closures has improved awareness and product quality in co-managed small-scale fisheries (Gutiérrez et al., 2011). For Kenya, the lesson is not that the same measure will transfer unchanged, but that market incentives and local enforcement need to be designed together.</w:t>
      </w:r>
    </w:p>
    <w:p w14:paraId="79D027A8" w14:textId="77777777" w:rsidR="00221112" w:rsidRPr="00DE5E47" w:rsidRDefault="00C14051">
      <w:pPr>
        <w:pStyle w:val="Heading2"/>
        <w:jc w:val="both"/>
        <w:outlineLvl w:val="1"/>
        <w:rPr>
          <w:rFonts w:eastAsia="Times New Roman" w:cs="Times New Roman"/>
          <w:szCs w:val="24"/>
        </w:rPr>
      </w:pPr>
      <w:bookmarkStart w:id="52027" w:name="_Toc_27"/>
      <w:bookmarkStart w:id="124" w:name="_Toc240214103"/>
      <w:bookmarkStart w:id="125" w:name="_Toc241432240"/>
      <w:r w:rsidRPr="00DE5E47">
        <w:rPr>
          <w:rFonts w:eastAsia="Times New Roman" w:cs="Times New Roman"/>
          <w:szCs w:val="24"/>
        </w:rPr>
        <w:t xml:space="preserve">2.9 Legal and policy frameworks governing mud crab fishery in Kenya</w:t>
      </w:r>
      <w:bookmarkEnd w:id="124"/>
      <w:bookmarkEnd w:id="125"/>
      <w:bookmarkEnd w:id="52027"/>
    </w:p>
    <w:p w14:paraId="418E572F"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The Fisheries Management and Development Act, No. 35 of 2016 (Cap. 378) provides the main national framework for conservation, management and development of fisheries resources, including crustaceans. It recognises small-scale fisheries and co-management through Beach Management Units (Fisheries Management and Development Act, No. 35 of 2016, Cap. 378).</w:t>
      </w:r>
    </w:p>
    <w:p w14:paraId="0CB3895C"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The Fisheries Management and Development (Safety and Quality) Regulations, 2024 address the handling, movement and marketing of fishery products. Licensing, traceability, hygiene and quality requirements are particularly relevant to traders and exporters seeking formal markets (Fisheries Management and Development (Safety and Quality) Regulations, 2024).</w:t>
      </w:r>
    </w:p>
    <w:p w14:paraId="5EA93562"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Fisheries governance is shared between national and county institutions. Counties can develop management plans, while the national government provides coordination and oversight. This division matters for a fishery rooted in mangrove habitats and local landing sites (Fisheries Management and Development Act, No. 35 of 2016, Cap. 378).</w:t>
      </w:r>
    </w:p>
    <w:p w14:paraId="1C71DBD4"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Kenya’s Blue Economy and sustainable-development commitments place greater emphasis on traceability, monitoring and value-chain development (Fondo &amp; Ogutu, 2021). For small-scale mud crab actors, the practical gaps remain awareness, compliance support and consistent enforcement.</w:t>
      </w:r>
    </w:p>
    <w:p w14:paraId="2E7A6569" w14:textId="77777777" w:rsidR="00221112" w:rsidRPr="00DE5E47" w:rsidRDefault="00C14051">
      <w:pPr>
        <w:pStyle w:val="Heading2"/>
        <w:jc w:val="both"/>
        <w:outlineLvl w:val="1"/>
        <w:rPr>
          <w:rFonts w:cs="Times New Roman"/>
          <w:szCs w:val="24"/>
        </w:rPr>
      </w:pPr>
      <w:bookmarkStart w:id="52028" w:name="_Toc_28"/>
      <w:r w:rsidRPr="00DE5E47">
        <w:rPr>
          <w:rFonts w:cs="Times New Roman"/>
          <w:szCs w:val="24"/>
        </w:rPr>
        <w:t xml:space="preserve">2.10 Critical Assessment of the Literature</w:t>
      </w:r>
      <w:bookmarkEnd w:id="52028"/>
    </w:p>
    <w:p w14:paraId="3FDD6690" w14:textId="77777777" w:rsidR="00221112" w:rsidRPr="00DE5E47" w:rsidRDefault="00C14051">
      <w:pPr>
        <w:spacing w:after="200" w:line="480" w:lineRule="auto"/>
        <w:jc w:val="center"/>
        <w:rPr>
          <w:rFonts w:eastAsia="Times New Roman" w:cs="Times New Roman"/>
          <w:b/>
          <w:kern w:val="0"/>
          <w:sz w:val="24"/>
          <w:szCs w:val="24"/>
          <w14:ligatures w14:val="none"/>
        </w:rPr>
      </w:pPr>
      <w:r w:rsidRPr="00DE5E47">
        <w:rPr>
          <w:rFonts w:eastAsia="Times New Roman" w:cs="Times New Roman"/>
          <w:b/>
          <w:kern w:val="0"/>
          <w:sz w:val="24"/>
          <w:szCs w:val="24"/>
          <w14:ligatures w14:val="none"/>
        </w:rPr>
        <w:t xml:space="preserve">The sections above summarise what previous studies have reported. This section asks a different question: where those studies agree, where they conflict, what their methods can and cannot support, and what remains unanswered for the South Coast.</w:t>
      </w:r>
    </w:p>
    <w:p w14:paraId="75F1C1EF" w14:textId="77777777" w:rsidR="00221112" w:rsidRPr="00DE5E47" w:rsidRDefault="00C14051">
      <w:pPr>
        <w:pStyle w:val="Heading3"/>
        <w:jc w:val="both"/>
        <w:outlineLvl w:val="2"/>
        <w:rPr>
          <w:rFonts w:cs="Times New Roman"/>
        </w:rPr>
      </w:pPr>
      <w:bookmarkStart w:id="52029" w:name="_Toc_29"/>
      <w:r w:rsidRPr="00DE5E47">
        <w:rPr>
          <w:rFonts w:cs="Times New Roman"/>
        </w:rPr>
        <w:t xml:space="preserve">2.10.1 Where the literature agrees</w:t>
      </w:r>
      <w:bookmarkEnd w:id="52029"/>
    </w:p>
    <w:p w14:paraId="3FDD6690" w14:textId="77777777" w:rsidR="00221112" w:rsidRPr="00DE5E47" w:rsidRDefault="00C14051">
      <w:pPr>
        <w:spacing w:after="200" w:line="480" w:lineRule="auto"/>
        <w:jc w:val="center"/>
        <w:rPr>
          <w:rFonts w:eastAsia="Times New Roman" w:cs="Times New Roman"/>
          <w:b/>
          <w:kern w:val="0"/>
          <w:sz w:val="24"/>
          <w:szCs w:val="24"/>
          <w14:ligatures w14:val="none"/>
        </w:rPr>
      </w:pPr>
      <w:r w:rsidRPr="00DE5E47">
        <w:rPr>
          <w:rFonts w:eastAsia="Times New Roman" w:cs="Times New Roman"/>
          <w:b/>
          <w:kern w:val="0"/>
          <w:sz w:val="24"/>
          <w:szCs w:val="24"/>
          <w14:ligatures w14:val="none"/>
        </w:rPr>
        <w:t xml:space="preserve">Three findings recur across settings and methods and can be treated as reasonably secure. First, mud crab chains in the Western Indian Ocean are structured as a sequence of distinct functions rather than a single trading group, with harvesting, aggregation, processing and export performed by different actors (Mirera, 2017a; Jacinto, 2004; FAO, 2025). Second, survival of a live, perishable product governs value, so handling, containment and holding time are production economics rather than incidental practice (FAO, 2025; Mirera et al., 2013). Third, small-scale harvesters in the region operate with limited finance, limited organisation and limited access to formal markets (Béné et al., 2007; Fondo &amp; Ogutu, 2021). The present study tests all three against a single dataset rather than accepting them as background.</w:t>
      </w:r>
    </w:p>
    <w:p w14:paraId="75F1C1EF" w14:textId="77777777" w:rsidR="00221112" w:rsidRPr="00DE5E47" w:rsidRDefault="00C14051">
      <w:pPr>
        <w:pStyle w:val="Heading3"/>
        <w:jc w:val="both"/>
        <w:outlineLvl w:val="2"/>
        <w:rPr>
          <w:rFonts w:cs="Times New Roman"/>
        </w:rPr>
      </w:pPr>
      <w:bookmarkStart w:id="52030" w:name="_Toc_30"/>
      <w:r w:rsidRPr="00DE5E47">
        <w:rPr>
          <w:rFonts w:cs="Times New Roman"/>
        </w:rPr>
        <w:t xml:space="preserve">2.10.2 Where the literature conflicts: the role of the middleman</w:t>
      </w:r>
      <w:bookmarkEnd w:id="52030"/>
    </w:p>
    <w:p w14:paraId="3FDD6690" w14:textId="77777777" w:rsidR="00221112" w:rsidRPr="00DE5E47" w:rsidRDefault="00C14051">
      <w:pPr>
        <w:spacing w:after="200" w:line="480" w:lineRule="auto"/>
        <w:jc w:val="center"/>
        <w:rPr>
          <w:rFonts w:eastAsia="Times New Roman" w:cs="Times New Roman"/>
          <w:b/>
          <w:kern w:val="0"/>
          <w:sz w:val="24"/>
          <w:szCs w:val="24"/>
          <w14:ligatures w14:val="none"/>
        </w:rPr>
      </w:pPr>
      <w:r w:rsidRPr="00DE5E47">
        <w:rPr>
          <w:rFonts w:eastAsia="Times New Roman" w:cs="Times New Roman"/>
          <w:b/>
          <w:kern w:val="0"/>
          <w:sz w:val="24"/>
          <w:szCs w:val="24"/>
          <w14:ligatures w14:val="none"/>
        </w:rPr>
        <w:t xml:space="preserve">The clearest disagreement in this literature concerns whether middlemen improve or reduce the position of fishers, and it is not a disagreement that can be settled by preference.</w:t>
      </w:r>
    </w:p>
    <w:p w14:paraId="3FDD6690" w14:textId="77777777" w:rsidR="00221112" w:rsidRPr="00DE5E47" w:rsidRDefault="00C14051">
      <w:pPr>
        <w:spacing w:after="200" w:line="480" w:lineRule="auto"/>
        <w:jc w:val="center"/>
        <w:rPr>
          <w:rFonts w:eastAsia="Times New Roman" w:cs="Times New Roman"/>
          <w:b/>
          <w:kern w:val="0"/>
          <w:sz w:val="24"/>
          <w:szCs w:val="24"/>
          <w14:ligatures w14:val="none"/>
        </w:rPr>
      </w:pPr>
      <w:r w:rsidRPr="00DE5E47">
        <w:rPr>
          <w:rFonts w:eastAsia="Times New Roman" w:cs="Times New Roman"/>
          <w:b/>
          <w:kern w:val="0"/>
          <w:sz w:val="24"/>
          <w:szCs w:val="24"/>
          <w14:ligatures w14:val="none"/>
        </w:rPr>
        <w:t xml:space="preserve">One line of work treats the middleman as a net cost to the harvester. Jacinto (2004) argues that in small-scale fisheries the share of final value captured at each node follows control of information and market access rather than physical effort, which implies that an actor positioned between the harvester and the buyer captures value the harvester cannot reach. Béné et al. (2007) extend this to credit: an advance against future supply solves an immediate cash problem while narrowing where the seller may sell, and they treat such arrangements as a mechanism of persistent low returns.</w:t>
      </w:r>
    </w:p>
    <w:p w14:paraId="3FDD6690" w14:textId="77777777" w:rsidR="00221112" w:rsidRPr="00DE5E47" w:rsidRDefault="00C14051">
      <w:pPr>
        <w:spacing w:after="200" w:line="480" w:lineRule="auto"/>
        <w:jc w:val="center"/>
        <w:rPr>
          <w:rFonts w:eastAsia="Times New Roman" w:cs="Times New Roman"/>
          <w:b/>
          <w:kern w:val="0"/>
          <w:sz w:val="24"/>
          <w:szCs w:val="24"/>
          <w14:ligatures w14:val="none"/>
        </w:rPr>
      </w:pPr>
      <w:r w:rsidRPr="00DE5E47">
        <w:rPr>
          <w:rFonts w:eastAsia="Times New Roman" w:cs="Times New Roman"/>
          <w:b/>
          <w:kern w:val="0"/>
          <w:sz w:val="24"/>
          <w:szCs w:val="24"/>
          <w14:ligatures w14:val="none"/>
        </w:rPr>
        <w:t xml:space="preserve">A second line reaches almost the opposite conclusion. Crona et al. (2016), working in Kenya and Zanzibar, describe middlemen as a critical social-ecological link whose accumulated relational knowledge is not easily replaced, and find them widely blamed for outcomes largely determined further along the chain while themselves operating on modest turnovers and carrying the mortality risk. On that reading, removing the middleman would not transfer their margin to the fisher; it would remove a function that has to be performed by someone.</w:t>
      </w:r>
    </w:p>
    <w:p w14:paraId="3FDD6690" w14:textId="77777777" w:rsidR="00221112" w:rsidRPr="00DE5E47" w:rsidRDefault="00C14051">
      <w:pPr>
        <w:spacing w:after="200" w:line="480" w:lineRule="auto"/>
        <w:jc w:val="center"/>
        <w:rPr>
          <w:rFonts w:eastAsia="Times New Roman" w:cs="Times New Roman"/>
          <w:b/>
          <w:kern w:val="0"/>
          <w:sz w:val="24"/>
          <w:szCs w:val="24"/>
          <w14:ligatures w14:val="none"/>
        </w:rPr>
      </w:pPr>
      <w:r w:rsidRPr="00DE5E47">
        <w:rPr>
          <w:rFonts w:eastAsia="Times New Roman" w:cs="Times New Roman"/>
          <w:b/>
          <w:kern w:val="0"/>
          <w:sz w:val="24"/>
          <w:szCs w:val="24"/>
          <w14:ligatures w14:val="none"/>
        </w:rPr>
        <w:t xml:space="preserve">The two positions are not reconcilable at the level of assertion, because they make different empirical claims: one about who captures the value, the other about what the middleman’s position actually returns once risk is accounted for. Resolving them requires the price at each node and the share each node holds, measured in the same chain. Neither study reports that for a Kenyan mud crab chain, and neither does the wider Kenyan literature. That is the first gap this study addresses.</w:t>
      </w:r>
    </w:p>
    <w:p w14:paraId="75F1C1EF" w14:textId="77777777" w:rsidR="00221112" w:rsidRPr="00DE5E47" w:rsidRDefault="00C14051">
      <w:pPr>
        <w:pStyle w:val="Heading3"/>
        <w:jc w:val="both"/>
        <w:outlineLvl w:val="2"/>
        <w:rPr>
          <w:rFonts w:cs="Times New Roman"/>
        </w:rPr>
      </w:pPr>
      <w:bookmarkStart w:id="52031" w:name="_Toc_31"/>
      <w:r w:rsidRPr="00DE5E47">
        <w:rPr>
          <w:rFonts w:cs="Times New Roman"/>
        </w:rPr>
        <w:t xml:space="preserve">2.10.3 Where the literature conflicts: what grading does</w:t>
      </w:r>
      <w:bookmarkEnd w:id="52031"/>
    </w:p>
    <w:p w14:paraId="3FDD6690" w14:textId="77777777" w:rsidR="00221112" w:rsidRPr="00DE5E47" w:rsidRDefault="00C14051">
      <w:pPr>
        <w:spacing w:after="200" w:line="480" w:lineRule="auto"/>
        <w:jc w:val="center"/>
        <w:rPr>
          <w:rFonts w:eastAsia="Times New Roman" w:cs="Times New Roman"/>
          <w:b/>
          <w:kern w:val="0"/>
          <w:sz w:val="24"/>
          <w:szCs w:val="24"/>
          <w14:ligatures w14:val="none"/>
        </w:rPr>
      </w:pPr>
      <w:r w:rsidRPr="00DE5E47">
        <w:rPr>
          <w:rFonts w:eastAsia="Times New Roman" w:cs="Times New Roman"/>
          <w:b/>
          <w:kern w:val="0"/>
          <w:sz w:val="24"/>
          <w:szCs w:val="24"/>
          <w14:ligatures w14:val="none"/>
        </w:rPr>
        <w:t xml:space="preserve">A second, less openly stated disagreement concerns grading. FAO (2025) treats grading by size, weight, shell condition and claw size as a legitimate quality signal that supports price formation in a live-crab trade. Jacinto (2004) treats the same practice as a site of informational asymmetry, because a criterion the buyer applies and the seller cannot verify transfers value rather than signalling it. Both may be right simultaneously, but only if the grading rule is applied consistently and both parties can read it. Whether that condition holds has not been tested in a Kenyan mud crab market; doing so requires recording which criteria each actor category actually uses, which this study does.</w:t>
      </w:r>
    </w:p>
    <w:p w14:paraId="75F1C1EF" w14:textId="77777777" w:rsidR="00221112" w:rsidRPr="00DE5E47" w:rsidRDefault="00C14051">
      <w:pPr>
        <w:pStyle w:val="Heading3"/>
        <w:jc w:val="both"/>
        <w:outlineLvl w:val="2"/>
        <w:rPr>
          <w:rFonts w:cs="Times New Roman"/>
        </w:rPr>
      </w:pPr>
      <w:bookmarkStart w:id="52032" w:name="_Toc_32"/>
      <w:r w:rsidRPr="00DE5E47">
        <w:rPr>
          <w:rFonts w:cs="Times New Roman"/>
        </w:rPr>
        <w:t xml:space="preserve">2.10.4 Methodological limitations of previous studies</w:t>
      </w:r>
      <w:bookmarkEnd w:id="52032"/>
    </w:p>
    <w:p w14:paraId="3FDD6690" w14:textId="77777777" w:rsidR="00221112" w:rsidRPr="00DE5E47" w:rsidRDefault="00C14051">
      <w:pPr>
        <w:spacing w:after="200" w:line="480" w:lineRule="auto"/>
        <w:jc w:val="center"/>
        <w:rPr>
          <w:rFonts w:eastAsia="Times New Roman" w:cs="Times New Roman"/>
          <w:b/>
          <w:kern w:val="0"/>
          <w:sz w:val="24"/>
          <w:szCs w:val="24"/>
          <w14:ligatures w14:val="none"/>
        </w:rPr>
      </w:pPr>
      <w:r w:rsidRPr="00DE5E47">
        <w:rPr>
          <w:rFonts w:eastAsia="Times New Roman" w:cs="Times New Roman"/>
          <w:b/>
          <w:kern w:val="0"/>
          <w:sz w:val="24"/>
          <w:szCs w:val="24"/>
          <w14:ligatures w14:val="none"/>
        </w:rPr>
        <w:t xml:space="preserve">Four limitations recur in the work reviewed above and shape what can be claimed from it.</w:t>
      </w:r>
    </w:p>
    <w:p w14:paraId="3FDD6690" w14:textId="77777777" w:rsidR="00221112" w:rsidRPr="00DE5E47" w:rsidRDefault="00C14051">
      <w:pPr>
        <w:spacing w:after="200" w:line="480" w:lineRule="auto"/>
        <w:jc w:val="center"/>
        <w:rPr>
          <w:rFonts w:eastAsia="Times New Roman" w:cs="Times New Roman"/>
          <w:b/>
          <w:kern w:val="0"/>
          <w:sz w:val="24"/>
          <w:szCs w:val="24"/>
          <w14:ligatures w14:val="none"/>
        </w:rPr>
      </w:pPr>
      <w:r w:rsidRPr="00DE5E47">
        <w:rPr>
          <w:rFonts w:eastAsia="Times New Roman" w:cs="Times New Roman"/>
          <w:b/>
          <w:kern w:val="0"/>
          <w:sz w:val="24"/>
          <w:szCs w:val="24"/>
          <w14:ligatures w14:val="none"/>
        </w:rPr>
        <w:t xml:space="preserve">The first is a production focus. Much of the Kenyan mud crab literature is biological, ecological or aquacultural: stock status, nursery habitat, growth and culture performance (Mirera, 2017a, 2017b; Mirera &amp; Mosknes, 2015; Moser et al., 2005; Webley, 2008). This work is careful within its own terms but is not designed to describe exchange, and it cannot be read as evidence about prices, margins or bargaining.</w:t>
      </w:r>
    </w:p>
    <w:p w14:paraId="3FDD6690" w14:textId="77777777" w:rsidR="00221112" w:rsidRPr="00DE5E47" w:rsidRDefault="00C14051">
      <w:pPr>
        <w:spacing w:after="200" w:line="480" w:lineRule="auto"/>
        <w:jc w:val="center"/>
        <w:rPr>
          <w:rFonts w:eastAsia="Times New Roman" w:cs="Times New Roman"/>
          <w:b/>
          <w:kern w:val="0"/>
          <w:sz w:val="24"/>
          <w:szCs w:val="24"/>
          <w14:ligatures w14:val="none"/>
        </w:rPr>
      </w:pPr>
      <w:r w:rsidRPr="00DE5E47">
        <w:rPr>
          <w:rFonts w:eastAsia="Times New Roman" w:cs="Times New Roman"/>
          <w:b/>
          <w:kern w:val="0"/>
          <w:sz w:val="24"/>
          <w:szCs w:val="24"/>
          <w14:ligatures w14:val="none"/>
        </w:rPr>
        <w:t xml:space="preserve">The second is a setting mismatch. Where organisation and training have been studied, the setting has often been organised community aquaculture groups rather than independent capture-fishery actors (Mirera, 2014a). Findings about what groups achieve in an organised setting should not be transferred to a capture fishery where, as this study finds, no group exists at all.</w:t>
      </w:r>
    </w:p>
    <w:p w14:paraId="3FDD6690" w14:textId="77777777" w:rsidR="00221112" w:rsidRPr="00DE5E47" w:rsidRDefault="00C14051">
      <w:pPr>
        <w:spacing w:after="200" w:line="480" w:lineRule="auto"/>
        <w:jc w:val="center"/>
        <w:rPr>
          <w:rFonts w:eastAsia="Times New Roman" w:cs="Times New Roman"/>
          <w:b/>
          <w:kern w:val="0"/>
          <w:sz w:val="24"/>
          <w:szCs w:val="24"/>
          <w14:ligatures w14:val="none"/>
        </w:rPr>
      </w:pPr>
      <w:r w:rsidRPr="00DE5E47">
        <w:rPr>
          <w:rFonts w:eastAsia="Times New Roman" w:cs="Times New Roman"/>
          <w:b/>
          <w:kern w:val="0"/>
          <w:sz w:val="24"/>
          <w:szCs w:val="24"/>
          <w14:ligatures w14:val="none"/>
        </w:rPr>
        <w:t xml:space="preserve">The third is aggregation. Regional and national assessments describe constraints in finance, organisation and market access for small-scale fisheries as a sector (Fondo &amp; Ogutu, 2021; Béné et al., 2007). Because they report at sector level, they cannot say which actor category faces which constraint, and therefore cannot indicate where an intervention should be aimed.</w:t>
      </w:r>
    </w:p>
    <w:p w14:paraId="3FDD6690" w14:textId="77777777" w:rsidR="00221112" w:rsidRPr="00DE5E47" w:rsidRDefault="00C14051">
      <w:pPr>
        <w:spacing w:after="200" w:line="480" w:lineRule="auto"/>
        <w:jc w:val="center"/>
        <w:rPr>
          <w:rFonts w:eastAsia="Times New Roman" w:cs="Times New Roman"/>
          <w:b/>
          <w:kern w:val="0"/>
          <w:sz w:val="24"/>
          <w:szCs w:val="24"/>
          <w14:ligatures w14:val="none"/>
        </w:rPr>
      </w:pPr>
      <w:r w:rsidRPr="00DE5E47">
        <w:rPr>
          <w:rFonts w:eastAsia="Times New Roman" w:cs="Times New Roman"/>
          <w:b/>
          <w:kern w:val="0"/>
          <w:sz w:val="24"/>
          <w:szCs w:val="24"/>
          <w14:ligatures w14:val="none"/>
        </w:rPr>
        <w:t xml:space="preserve">The fourth is the absence of cost data, which is a limitation this study shares. Munga and Muthumbi (2018) show for the Tana Delta that gross price differentials between nodes narrow considerably once handling and transport are netted out. Any study reporting gross prices, including the present one, must therefore stop short of claims about profit, and Section 5.6 states explicitly which market-structure dimensions that rules out.</w:t>
      </w:r>
    </w:p>
    <w:p w14:paraId="75F1C1EF" w14:textId="77777777" w:rsidR="00221112" w:rsidRPr="00DE5E47" w:rsidRDefault="00C14051">
      <w:pPr>
        <w:pStyle w:val="Heading3"/>
        <w:jc w:val="both"/>
        <w:outlineLvl w:val="2"/>
        <w:rPr>
          <w:rFonts w:cs="Times New Roman"/>
        </w:rPr>
      </w:pPr>
      <w:bookmarkStart w:id="52033" w:name="_Toc_33"/>
      <w:r w:rsidRPr="00DE5E47">
        <w:rPr>
          <w:rFonts w:cs="Times New Roman"/>
        </w:rPr>
        <w:t xml:space="preserve">2.10.5 The South Coast and Kwale County: what is and is not known</w:t>
      </w:r>
      <w:bookmarkEnd w:id="52033"/>
    </w:p>
    <w:p w14:paraId="3FDD6690" w14:textId="77777777" w:rsidR="00221112" w:rsidRPr="00DE5E47" w:rsidRDefault="00C14051">
      <w:pPr>
        <w:spacing w:after="200" w:line="480" w:lineRule="auto"/>
        <w:jc w:val="center"/>
        <w:rPr>
          <w:rFonts w:eastAsia="Times New Roman" w:cs="Times New Roman"/>
          <w:b/>
          <w:kern w:val="0"/>
          <w:sz w:val="24"/>
          <w:szCs w:val="24"/>
          <w14:ligatures w14:val="none"/>
        </w:rPr>
      </w:pPr>
      <w:r w:rsidRPr="00DE5E47">
        <w:rPr>
          <w:rFonts w:eastAsia="Times New Roman" w:cs="Times New Roman"/>
          <w:b/>
          <w:kern w:val="0"/>
          <w:sz w:val="24"/>
          <w:szCs w:val="24"/>
          <w14:ligatures w14:val="none"/>
        </w:rPr>
        <w:t xml:space="preserve">The literature specific to this coast is thinner than the regional literature and is weighted towards production. Mirera et al. (2013) document fishing tactics and traditional knowledge among Kenyan mud crab fishers, including the practice of holding crabs at home for several days until enough have accumulated for sale, which makes survival part of the marketing problem rather than only a harvesting one. Ochiewo et al. (2010) and Mirera (2014a) record the gendered division of the coastal fishery, with harvesting and first-tier trade male-dominated and women more visible in processing and trade. Fondo et al. (2020) describe the status of the mangrove mud crab fishery nationally, and Fondo and Ogutu (2021) place it within the Blue Economy agenda. Fulanda et al. (2009) and Kimani et al. (2018) supply the fisher population figures on which this study’s sampling frame rests.</w:t>
      </w:r>
    </w:p>
    <w:p w14:paraId="3FDD6690" w14:textId="77777777" w:rsidR="00221112" w:rsidRPr="00DE5E47" w:rsidRDefault="00C14051">
      <w:pPr>
        <w:spacing w:after="200" w:line="480" w:lineRule="auto"/>
        <w:jc w:val="center"/>
        <w:rPr>
          <w:rFonts w:eastAsia="Times New Roman" w:cs="Times New Roman"/>
          <w:b/>
          <w:kern w:val="0"/>
          <w:sz w:val="24"/>
          <w:szCs w:val="24"/>
          <w14:ligatures w14:val="none"/>
        </w:rPr>
      </w:pPr>
      <w:r w:rsidRPr="00DE5E47">
        <w:rPr>
          <w:rFonts w:eastAsia="Times New Roman" w:cs="Times New Roman"/>
          <w:b/>
          <w:kern w:val="0"/>
          <w:sz w:val="24"/>
          <w:szCs w:val="24"/>
          <w14:ligatures w14:val="none"/>
        </w:rPr>
        <w:t xml:space="preserve">Kwale County itself appears in this literature mainly as a location rather than as a subject. The one study that treats its institutions directly is Njiru et al. (2021), who examine the socioeconomic factors influencing trader participation in Beach Management Units in Kwale, and whose finding that participation varies with the trader’s own circumstances supports communication designed for particular actor groups rather than for the fishery as a whole. Beyond that, what is known about Shimoni, Majoreni, Vanga and Msambweni as markets, as opposed to as landing sites, is largely undocumented.</w:t>
      </w:r>
    </w:p>
    <w:p w14:paraId="3FDD6690" w14:textId="77777777" w:rsidR="00221112" w:rsidRPr="00DE5E47" w:rsidRDefault="00C14051">
      <w:pPr>
        <w:spacing w:after="200" w:line="480" w:lineRule="auto"/>
        <w:jc w:val="center"/>
        <w:rPr>
          <w:rFonts w:eastAsia="Times New Roman" w:cs="Times New Roman"/>
          <w:b/>
          <w:kern w:val="0"/>
          <w:sz w:val="24"/>
          <w:szCs w:val="24"/>
          <w14:ligatures w14:val="none"/>
        </w:rPr>
      </w:pPr>
      <w:r w:rsidRPr="00DE5E47">
        <w:rPr>
          <w:rFonts w:eastAsia="Times New Roman" w:cs="Times New Roman"/>
          <w:b/>
          <w:kern w:val="0"/>
          <w:sz w:val="24"/>
          <w:szCs w:val="24"/>
          <w14:ligatures w14:val="none"/>
        </w:rPr>
        <w:t xml:space="preserve">Three things follow. Prices at each node in a Kwale mud crab chain have not been reported; the grading criteria used by each actor category have not been recorded; and no study has tested whether actor characteristics, functions or constraints differ between the BMUs of this coast or are uniform across them. The regional and national literature supplies expectations on all three, but expectations formed at sector level cannot be assumed to hold at the level of a landing beach.</w:t>
      </w:r>
    </w:p>
    <w:p w14:paraId="75F1C1EF" w14:textId="77777777" w:rsidR="00221112" w:rsidRPr="00DE5E47" w:rsidRDefault="00C14051">
      <w:pPr>
        <w:pStyle w:val="Heading3"/>
        <w:jc w:val="both"/>
        <w:outlineLvl w:val="2"/>
        <w:rPr>
          <w:rFonts w:cs="Times New Roman"/>
        </w:rPr>
      </w:pPr>
      <w:bookmarkStart w:id="52034" w:name="_Toc_34"/>
      <w:r w:rsidRPr="00DE5E47">
        <w:rPr>
          <w:rFonts w:cs="Times New Roman"/>
        </w:rPr>
        <w:t xml:space="preserve">2.10.6 The research gap</w:t>
      </w:r>
      <w:bookmarkEnd w:id="52034"/>
    </w:p>
    <w:p w14:paraId="3FDD6690" w14:textId="77777777" w:rsidR="00221112" w:rsidRPr="00DE5E47" w:rsidRDefault="00C14051">
      <w:pPr>
        <w:spacing w:after="200" w:line="480" w:lineRule="auto"/>
        <w:jc w:val="center"/>
        <w:rPr>
          <w:rFonts w:eastAsia="Times New Roman" w:cs="Times New Roman"/>
          <w:b/>
          <w:kern w:val="0"/>
          <w:sz w:val="24"/>
          <w:szCs w:val="24"/>
          <w14:ligatures w14:val="none"/>
        </w:rPr>
      </w:pPr>
      <w:r w:rsidRPr="00DE5E47">
        <w:rPr>
          <w:rFonts w:eastAsia="Times New Roman" w:cs="Times New Roman"/>
          <w:b/>
          <w:kern w:val="0"/>
          <w:sz w:val="24"/>
          <w:szCs w:val="24"/>
          <w14:ligatures w14:val="none"/>
        </w:rPr>
        <w:t xml:space="preserve">The gap this study addresses is therefore specific rather than general. Previous work establishes that mud crab chains are functionally differentiated, that survival governs value and that small-scale harvesters are institutionally weak. It does not establish how the value of a South Coast mud crab is divided between the people who catch, trade and sell it; whether the grading rule that determines that division is shared or asymmetric; or whether any of this varies between the Beach Management Units through which the fishery is co-managed. Those three questions map onto the three objectives of this study, and answering them requires an actor-level inventory tested against site, which is the design adopted in Chapter Three.</w:t>
      </w:r>
    </w:p>
    <w:p w14:paraId="570B04B8" w14:textId="77777777" w:rsidR="00221112" w:rsidRPr="00DE5E47" w:rsidRDefault="00C14051">
      <w:pPr>
        <w:pStyle w:val="Heading2"/>
        <w:jc w:val="both"/>
        <w:outlineLvl w:val="1"/>
        <w:rPr>
          <w:rFonts w:eastAsia="Times New Roman" w:cs="Times New Roman"/>
          <w:szCs w:val="24"/>
        </w:rPr>
      </w:pPr>
      <w:bookmarkStart w:id="52035" w:name="_Toc_35"/>
      <w:bookmarkStart w:id="126" w:name="_Toc235348878"/>
      <w:bookmarkStart w:id="127" w:name="_Toc240214104"/>
      <w:bookmarkStart w:id="128" w:name="_Toc241432241"/>
      <w:r w:rsidRPr="00DE5E47">
        <w:rPr>
          <w:rFonts w:eastAsia="Times New Roman" w:cs="Times New Roman"/>
          <w:szCs w:val="24"/>
        </w:rPr>
        <w:t xml:space="preserve">2.11 Theoretical Framework</w:t>
      </w:r>
      <w:bookmarkEnd w:id="126"/>
      <w:bookmarkEnd w:id="127"/>
      <w:bookmarkEnd w:id="128"/>
      <w:bookmarkEnd w:id="52035"/>
    </w:p>
    <w:p w14:paraId="5CC0E33B" w14:textId="77777777" w:rsidR="00221112" w:rsidRPr="00DE5E47" w:rsidRDefault="00C14051">
      <w:pPr>
        <w:spacing w:before="100" w:beforeAutospacing="1" w:after="100" w:afterAutospacing="1" w:line="480" w:lineRule="auto"/>
        <w:jc w:val="both"/>
        <w:rPr>
          <w:rFonts w:eastAsia="Times New Roman" w:cs="Times New Roman"/>
          <w:sz w:val="24"/>
          <w:szCs w:val="24"/>
        </w:rPr>
      </w:pPr>
      <w:r>
        <w:t xml:space="preserve">This study uses the Structure-Conduct-Performance (SCP) paradigm as its main analytical framework. SCP is commonly applied in agricultural and fisheries marketing to organise evidence on market structure, actor conduct and market outcomes. In this study, it provides a way to connect the composition and organisation </w:t>
      </w:r>
      <w:r>
        <w:lastRenderedPageBreak/>
        <w:t>of the mud crab market with the practices observed at different nodes. The framework guides interpretation; it is not used to claim a causal sequence.</w:t>
      </w:r>
    </w:p>
    <w:p w14:paraId="6EDA26D9" w14:textId="77777777" w:rsidR="00221112" w:rsidRPr="00DE5E47" w:rsidRDefault="00C14051">
      <w:pPr>
        <w:spacing w:before="100" w:beforeAutospacing="1" w:after="100" w:afterAutospacing="1" w:line="480" w:lineRule="auto"/>
        <w:jc w:val="both"/>
        <w:rPr>
          <w:rFonts w:eastAsia="Times New Roman" w:cs="Times New Roman"/>
          <w:sz w:val="24"/>
          <w:szCs w:val="24"/>
        </w:rPr>
      </w:pPr>
      <w:r>
        <w:t>Market structure is described through the number and types of actors, their characteristics, entry conditions, licensing, access to capital, collective organisation and buyer connections. Conduct covers sourcing, grading, handling, pricing, payment, transport and credit relationships. Performance is considered through descriptive indicators available in the dataset, including reported income and prices, market access, mortality or spoilage, and perceptions of market organisation. The constraints and opportunities reported under Objective Three provide the operating context in which these patterns occur.</w:t>
      </w:r>
    </w:p>
    <w:p w14:paraId="4211398F" w14:textId="77777777" w:rsidR="00221112" w:rsidRPr="00DE5E47" w:rsidRDefault="00C14051">
      <w:pPr>
        <w:spacing w:before="100" w:beforeAutospacing="1" w:after="100" w:afterAutospacing="1" w:line="480" w:lineRule="auto"/>
        <w:jc w:val="both"/>
        <w:rPr>
          <w:rFonts w:eastAsia="Times New Roman" w:cs="Times New Roman"/>
          <w:sz w:val="24"/>
          <w:szCs w:val="24"/>
        </w:rPr>
      </w:pPr>
      <w:r>
        <w:t xml:space="preserve">Value-chain concepts are used as a mapping device to trace crabs from harvesting through aggregation, hospitality and export. They are not treated as a second causal theory. Livelihood research, in particular the sustainable livelihoods framework of Allison and Ellis (2001), provides background for interpreting education, experience, finance and collective membership, but the study did not measure a complete set of livelihood assets or estimate livelihood effects. Keeping SCP as the central framework matches the descriptive design and the analyses reported in Chapters Four and Five.</w:t>
      </w:r>
    </w:p>
    <w:p>
      <w:pPr>
        <w:spacing w:line="240" w:lineRule="auto" w:after="60"/>
      </w:pPr>
      <w:bookmarkStart w:id="41002" w:name="_Fig2"/>
      <w:r>
        <w:rPr>
          <w:rFonts w:ascii="Times New Roman" w:hAnsi="Times New Roman" w:cs="Times New Roman"/>
          <w:b/>
          <w:sz w:val="24"/>
          <w:szCs w:val="24"/>
          <w:color w:val="000000"/>
        </w:rPr>
        <w:t xml:space="preserve">Figure 2</w:t>
      </w:r>
      <w:bookmarkEnd w:id="41002"/>
    </w:p>
    <w:p>
      <w:pPr>
        <w:spacing w:line="240" w:lineRule="auto" w:after="60"/>
      </w:pPr>
      <w:r>
        <w:rPr>
          <w:rFonts w:ascii="Times New Roman" w:hAnsi="Times New Roman" w:cs="Times New Roman"/>
          <w:i/>
          <w:sz w:val="24"/>
          <w:szCs w:val="24"/>
          <w:color w:val="000000"/>
        </w:rPr>
        <w:t xml:space="preserve">Structure-Conduct-Performance (SCP) linkages guiding the study</w:t>
      </w:r>
    </w:p>
    <w:p w14:paraId="29D9FDFD" w14:textId="77777777" w:rsidR="0095467C" w:rsidRDefault="00C247CF">
      <w:pPr>
        <w:jc w:val="center"/>
      </w:pPr>
      <w:r>
        <w:rPr>
          <w:noProof/>
        </w:rPr>
        <w:drawing>
          <wp:inline distT="0" distB="0" distL="0" distR="0" wp14:anchorId="4A69E6C9" wp14:editId="5BC78848">
            <wp:extent cx="5715000" cy="2026227"/>
            <wp:effectExtent l="0" t="0" r="0" b="0"/>
            <wp:docPr id="1085561450" name="Picture 1085561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p_framework_revised.png"/>
                    <pic:cNvPicPr/>
                  </pic:nvPicPr>
                  <pic:blipFill>
                    <a:blip r:embed="rId14"/>
                    <a:stretch>
                      <a:fillRect/>
                    </a:stretch>
                  </pic:blipFill>
                  <pic:spPr>
                    <a:xfrm>
                      <a:off x="0" y="0"/>
                      <a:ext cx="5715000" cy="2026227"/>
                    </a:xfrm>
                    <a:prstGeom prst="rect">
                      <a:avLst/>
                    </a:prstGeom>
                  </pic:spPr>
                </pic:pic>
              </a:graphicData>
            </a:graphic>
          </wp:inline>
        </w:drawing>
      </w:r>
    </w:p>
    <w:p w14:paraId="12B9C7BB" w14:textId="77777777" w:rsidR="00221112" w:rsidRPr="00DE5E47" w:rsidRDefault="00C14051">
      <w:pPr>
        <w:pStyle w:val="Heading2"/>
        <w:jc w:val="both"/>
        <w:outlineLvl w:val="1"/>
        <w:rPr>
          <w:rFonts w:eastAsia="Times New Roman" w:cs="Times New Roman"/>
          <w:szCs w:val="24"/>
        </w:rPr>
      </w:pPr>
      <w:bookmarkStart w:id="52036" w:name="_Toc_36"/>
      <w:bookmarkStart w:id="129" w:name="_Toc235348879"/>
      <w:bookmarkStart w:id="130" w:name="_Toc240214105"/>
      <w:bookmarkStart w:id="131" w:name="_Toc241432242"/>
      <w:r w:rsidRPr="00DE5E47">
        <w:rPr>
          <w:rFonts w:eastAsia="Times New Roman" w:cs="Times New Roman"/>
          <w:szCs w:val="24"/>
        </w:rPr>
        <w:lastRenderedPageBreak/>
        <w:t xml:space="preserve">2.12 Conceptual Framework</w:t>
      </w:r>
      <w:bookmarkEnd w:id="129"/>
      <w:bookmarkEnd w:id="130"/>
      <w:bookmarkEnd w:id="131"/>
      <w:bookmarkEnd w:id="52036"/>
    </w:p>
    <w:p w14:paraId="7C2FFEC9" w14:textId="77777777" w:rsidR="00221112" w:rsidRPr="00DE5E47" w:rsidRDefault="00C14051">
      <w:pPr>
        <w:spacing w:before="100" w:beforeAutospacing="1" w:after="100" w:afterAutospacing="1" w:line="480" w:lineRule="auto"/>
        <w:jc w:val="both"/>
        <w:rPr>
          <w:rFonts w:eastAsia="Times New Roman" w:cs="Times New Roman"/>
          <w:sz w:val="24"/>
          <w:szCs w:val="24"/>
        </w:rPr>
      </w:pPr>
      <w:r>
        <w:t>Figure 3 organises the study variables by objective and shows how they were used in the analysis. It is a descriptive framework rather than a causal model. The arrows indicate the order in which market structure, actor conduct and observed outcomes were examined; they do not represent estimated effects.</w:t>
      </w:r>
    </w:p>
    <w:p w14:paraId="584E6B84" w14:textId="77777777" w:rsidR="00221112" w:rsidRPr="00DE5E47" w:rsidRDefault="00C14051">
      <w:pPr>
        <w:spacing w:before="100" w:beforeAutospacing="1" w:after="100" w:afterAutospacing="1" w:line="480" w:lineRule="auto"/>
        <w:jc w:val="both"/>
        <w:rPr>
          <w:rFonts w:eastAsia="Times New Roman" w:cs="Times New Roman"/>
          <w:sz w:val="24"/>
          <w:szCs w:val="24"/>
        </w:rPr>
      </w:pPr>
      <w:r>
        <w:t>Objective One describes market structure and actor profiles using actor category, BMU or site, age, gender, education, experience, scale of operation, licensing, collective membership, credit and related business characteristics. These variables were summarised by actor category and, where sample coverage allowed, compared across BMUs.</w:t>
      </w:r>
    </w:p>
    <w:p w14:paraId="537F8297" w14:textId="77777777" w:rsidR="00221112" w:rsidRPr="00DE5E47" w:rsidRDefault="00C14051">
      <w:pPr>
        <w:spacing w:before="100" w:beforeAutospacing="1" w:after="100" w:afterAutospacing="1" w:line="480" w:lineRule="auto"/>
        <w:jc w:val="both"/>
        <w:rPr>
          <w:rFonts w:eastAsia="Times New Roman" w:cs="Times New Roman"/>
          <w:sz w:val="24"/>
          <w:szCs w:val="24"/>
        </w:rPr>
      </w:pPr>
      <w:r>
        <w:t>Objective Two examines conduct and functions at each node, including harvesting and sourcing, grading, handling, packaging, transport, pricing, payment, buyer relations and market research. Reported income, prices, market access and post-harvest losses are presented as descriptive market outcomes. They were not combined into a single performance index.</w:t>
      </w:r>
    </w:p>
    <w:p w14:paraId="5DC1BA50" w14:textId="77777777" w:rsidR="00221112" w:rsidRPr="00DE5E47" w:rsidRDefault="00C14051">
      <w:pPr>
        <w:spacing w:before="100" w:beforeAutospacing="1" w:after="100" w:afterAutospacing="1" w:line="480" w:lineRule="auto"/>
        <w:jc w:val="both"/>
        <w:rPr>
          <w:rFonts w:eastAsia="Times New Roman" w:cs="Times New Roman"/>
          <w:sz w:val="24"/>
          <w:szCs w:val="24"/>
        </w:rPr>
      </w:pPr>
      <w:r>
        <w:t>Objective Three describes the infrastructure, market barriers, policy awareness, risks and opportunities reported by each actor category. These conditions are interpreted alongside the structure and conduct findings. No mediation or moderation model was estimated, and the cross-sectional design does not support causal inference. Actor category and BMU are used as grouping variables for description and actor-specific association tests.</w:t>
      </w:r>
    </w:p>
    <w:p>
      <w:pPr>
        <w:spacing w:line="240" w:lineRule="auto" w:after="60"/>
      </w:pPr>
      <w:bookmarkStart w:id="41003" w:name="_Fig3"/>
      <w:r>
        <w:rPr>
          <w:rFonts w:ascii="Times New Roman" w:hAnsi="Times New Roman" w:cs="Times New Roman"/>
          <w:b/>
          <w:sz w:val="24"/>
          <w:szCs w:val="24"/>
          <w:color w:val="000000"/>
        </w:rPr>
        <w:t xml:space="preserve">Figure 3</w:t>
      </w:r>
      <w:bookmarkEnd w:id="41003"/>
    </w:p>
    <w:p>
      <w:pPr>
        <w:spacing w:line="240" w:lineRule="auto" w:after="60"/>
      </w:pPr>
      <w:r>
        <w:rPr>
          <w:rFonts w:ascii="Times New Roman" w:hAnsi="Times New Roman" w:cs="Times New Roman"/>
          <w:i/>
          <w:sz w:val="24"/>
          <w:szCs w:val="24"/>
          <w:color w:val="000000"/>
        </w:rPr>
        <w:t xml:space="preserve">Descriptive framework linking the study objectives to the analysis</w:t>
      </w:r>
    </w:p>
    <w:p w14:paraId="6C1578A2" w14:textId="77777777" w:rsidR="0095467C" w:rsidRDefault="00C247CF">
      <w:pPr>
        <w:jc w:val="center"/>
      </w:pPr>
      <w:r>
        <w:rPr>
          <w:noProof/>
        </w:rPr>
        <w:lastRenderedPageBreak/>
        <w:drawing>
          <wp:inline distT="0" distB="0" distL="0" distR="0" wp14:anchorId="10C41524" wp14:editId="4D6BB788">
            <wp:extent cx="5715000" cy="3452813"/>
            <wp:effectExtent l="0" t="0" r="0" b="0"/>
            <wp:docPr id="1085561451" name="Picture 1085561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ceptual_framework_revised.png"/>
                    <pic:cNvPicPr/>
                  </pic:nvPicPr>
                  <pic:blipFill>
                    <a:blip r:embed="rId15"/>
                    <a:stretch>
                      <a:fillRect/>
                    </a:stretch>
                  </pic:blipFill>
                  <pic:spPr>
                    <a:xfrm>
                      <a:off x="0" y="0"/>
                      <a:ext cx="5715000" cy="3452813"/>
                    </a:xfrm>
                    <a:prstGeom prst="rect">
                      <a:avLst/>
                    </a:prstGeom>
                  </pic:spPr>
                </pic:pic>
              </a:graphicData>
            </a:graphic>
          </wp:inline>
        </w:drawing>
      </w:r>
    </w:p>
    <w:p w14:paraId="3E325249" w14:textId="77777777" w:rsidR="00DD0A67" w:rsidRPr="00DE5E47" w:rsidRDefault="00DD0A67" w:rsidP="00DD0A67">
      <w:pPr>
        <w:rPr>
          <w:rFonts w:cs="Times New Roman"/>
          <w:sz w:val="24"/>
          <w:szCs w:val="24"/>
        </w:rPr>
      </w:pPr>
    </w:p>
    <w:p w14:paraId="2B8B8AB2" w14:textId="77777777" w:rsidR="00DD0A67" w:rsidRPr="00DE5E47" w:rsidRDefault="00DD0A67" w:rsidP="00DD0A67">
      <w:pPr>
        <w:rPr>
          <w:rFonts w:cs="Times New Roman"/>
          <w:sz w:val="24"/>
          <w:szCs w:val="24"/>
        </w:rPr>
      </w:pPr>
    </w:p>
    <w:p w14:paraId="23548FC7" w14:textId="77777777" w:rsidR="00DD0A67" w:rsidRPr="00DE5E47" w:rsidRDefault="00DD0A67" w:rsidP="00DD0A67">
      <w:pPr>
        <w:rPr>
          <w:rFonts w:cs="Times New Roman"/>
          <w:sz w:val="24"/>
          <w:szCs w:val="24"/>
        </w:rPr>
      </w:pPr>
    </w:p>
    <w:p w14:paraId="7E1C9936" w14:textId="77777777" w:rsidR="00DD0A67" w:rsidRPr="00DE5E47" w:rsidRDefault="00DD0A67" w:rsidP="00DD0A67">
      <w:pPr>
        <w:rPr>
          <w:rFonts w:cs="Times New Roman"/>
          <w:sz w:val="24"/>
          <w:szCs w:val="24"/>
        </w:rPr>
      </w:pPr>
    </w:p>
    <w:p w14:paraId="2A2E973E" w14:textId="77777777" w:rsidR="00DD0A67" w:rsidRPr="00DE5E47" w:rsidRDefault="00DD0A67" w:rsidP="00DD0A67">
      <w:pPr>
        <w:rPr>
          <w:rFonts w:cs="Times New Roman"/>
          <w:sz w:val="24"/>
          <w:szCs w:val="24"/>
        </w:rPr>
      </w:pPr>
    </w:p>
    <w:p w14:paraId="586CEB48" w14:textId="77777777" w:rsidR="00DD0A67" w:rsidRPr="00DE5E47" w:rsidRDefault="00DD0A67" w:rsidP="00DD0A67">
      <w:pPr>
        <w:rPr>
          <w:rFonts w:cs="Times New Roman"/>
          <w:sz w:val="24"/>
          <w:szCs w:val="24"/>
        </w:rPr>
      </w:pPr>
    </w:p>
    <w:p w14:paraId="658B071D" w14:textId="77777777" w:rsidR="00DD0A67" w:rsidRPr="00DE5E47" w:rsidRDefault="00DD0A67" w:rsidP="00DD0A67">
      <w:pPr>
        <w:rPr>
          <w:rFonts w:cs="Times New Roman"/>
          <w:sz w:val="24"/>
          <w:szCs w:val="24"/>
        </w:rPr>
      </w:pPr>
    </w:p>
    <w:p w14:paraId="219CDB33" w14:textId="77777777" w:rsidR="00DD0A67" w:rsidRPr="00DE5E47" w:rsidRDefault="00DD0A67" w:rsidP="00DD0A67">
      <w:pPr>
        <w:rPr>
          <w:rFonts w:cs="Times New Roman"/>
          <w:sz w:val="24"/>
          <w:szCs w:val="24"/>
        </w:rPr>
      </w:pPr>
    </w:p>
    <w:p w14:paraId="1991EA14" w14:textId="77777777" w:rsidR="00DD0A67" w:rsidRPr="00DE5E47" w:rsidRDefault="00DD0A67" w:rsidP="00DD0A67">
      <w:pPr>
        <w:rPr>
          <w:rFonts w:cs="Times New Roman"/>
          <w:sz w:val="24"/>
          <w:szCs w:val="24"/>
        </w:rPr>
      </w:pPr>
    </w:p>
    <w:p w14:paraId="0DCDBDBC" w14:textId="77777777" w:rsidR="00221112" w:rsidRPr="00DE5E47" w:rsidRDefault="00C14051">
      <w:pPr>
        <w:pStyle w:val="Heading1"/>
        <w:ind w:left="1843"/>
        <w:jc w:val="both"/>
        <w:outlineLvl w:val="0"/>
        <w:rPr>
          <w:rFonts w:cs="Times New Roman"/>
          <w:szCs w:val="24"/>
        </w:rPr>
      </w:pPr>
      <w:bookmarkStart w:id="52037" w:name="_Toc_37"/>
      <w:bookmarkStart w:id="132" w:name="_1v1yuxt"/>
      <w:bookmarkStart w:id="133" w:name="_3fwokq0"/>
      <w:bookmarkStart w:id="134" w:name="_Toc235350926"/>
      <w:bookmarkStart w:id="135" w:name="_4f1mdlm"/>
      <w:bookmarkStart w:id="136" w:name="_Toc235351218"/>
      <w:bookmarkStart w:id="137" w:name="_2u6wntf"/>
      <w:bookmarkStart w:id="138" w:name="_Toc69041156"/>
      <w:bookmarkStart w:id="139" w:name="_Toc76558200"/>
      <w:bookmarkStart w:id="140" w:name="_Toc240214106"/>
      <w:bookmarkStart w:id="141" w:name="_Toc241432243"/>
      <w:bookmarkEnd w:id="80"/>
      <w:bookmarkEnd w:id="81"/>
      <w:bookmarkEnd w:id="132"/>
      <w:bookmarkEnd w:id="133"/>
      <w:bookmarkEnd w:id="134"/>
      <w:bookmarkEnd w:id="135"/>
      <w:bookmarkEnd w:id="136"/>
      <w:bookmarkEnd w:id="137"/>
      <w:r w:rsidRPr="00DE5E47">
        <w:rPr>
          <w:rFonts w:cs="Times New Roman"/>
          <w:szCs w:val="24"/>
        </w:rPr>
        <w:t xml:space="preserve">CHAPTER THREE: MATERIALS AND METHODS</w:t>
      </w:r>
      <w:bookmarkStart w:id="142" w:name="_Toc226668854"/>
      <w:bookmarkStart w:id="143" w:name="_Toc174281777"/>
      <w:bookmarkStart w:id="144" w:name="_Toc174281922"/>
      <w:bookmarkStart w:id="145" w:name="_Toc226671163"/>
      <w:bookmarkStart w:id="146" w:name="_Toc226671164"/>
      <w:bookmarkStart w:id="147" w:name="_Toc226670009"/>
      <w:bookmarkStart w:id="148" w:name="_Toc174281776"/>
      <w:bookmarkStart w:id="149" w:name="_Toc174281921"/>
      <w:bookmarkStart w:id="150" w:name="_Toc226670008"/>
      <w:bookmarkStart w:id="151" w:name="_Toc226668853"/>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52037"/>
    </w:p>
    <w:p w14:paraId="28F49F2E" w14:textId="77777777" w:rsidR="00221112" w:rsidRPr="00DE5E47" w:rsidRDefault="00C14051">
      <w:pPr>
        <w:pStyle w:val="Heading2"/>
        <w:jc w:val="both"/>
        <w:outlineLvl w:val="1"/>
        <w:rPr>
          <w:rFonts w:cs="Times New Roman"/>
          <w:szCs w:val="24"/>
        </w:rPr>
      </w:pPr>
      <w:bookmarkStart w:id="52038" w:name="_Toc_38"/>
      <w:bookmarkStart w:id="152" w:name="_Toc241432244"/>
      <w:r>
        <w:t>3.1 Introduction</w:t>
      </w:r>
      <w:bookmarkEnd w:id="152"/>
      <w:bookmarkEnd w:id="52038"/>
    </w:p>
    <w:p w14:paraId="4B8B5EEF" w14:textId="77777777" w:rsidR="00221112" w:rsidRPr="00DE5E47" w:rsidRDefault="00C14051">
      <w:pPr>
        <w:spacing w:line="480" w:lineRule="auto"/>
        <w:jc w:val="both"/>
        <w:rPr>
          <w:rFonts w:cs="Times New Roman"/>
          <w:sz w:val="24"/>
          <w:szCs w:val="24"/>
        </w:rPr>
      </w:pPr>
      <w:r>
        <w:t>This chapter describes the study design, site, target population, sampling, data collection and analysis. The methods were selected to describe the actors, functions, constraints and opportunities in the Kwale County mud crab market and to compare selected categorical variables across BMUs where the sample allowed.</w:t>
      </w:r>
    </w:p>
    <w:p w14:paraId="3CC5CBA5" w14:textId="77777777" w:rsidR="00221112" w:rsidRPr="00DE5E47" w:rsidRDefault="00C14051">
      <w:pPr>
        <w:pStyle w:val="Heading2"/>
        <w:jc w:val="both"/>
        <w:outlineLvl w:val="1"/>
        <w:rPr>
          <w:rFonts w:cs="Times New Roman"/>
          <w:szCs w:val="24"/>
        </w:rPr>
      </w:pPr>
      <w:bookmarkStart w:id="52039" w:name="_Toc_39"/>
      <w:bookmarkStart w:id="153" w:name="_Toc241432245"/>
      <w:r>
        <w:lastRenderedPageBreak/>
        <w:t>3.2 Study site</w:t>
      </w:r>
      <w:bookmarkEnd w:id="153"/>
      <w:bookmarkEnd w:id="52039"/>
    </w:p>
    <w:p w14:paraId="0B224419" w14:textId="77777777" w:rsidR="00221112" w:rsidRPr="00DE5E47" w:rsidRDefault="00C14051">
      <w:pPr>
        <w:spacing w:line="480" w:lineRule="auto"/>
        <w:jc w:val="both"/>
        <w:rPr>
          <w:rFonts w:cs="Times New Roman"/>
          <w:b/>
          <w:sz w:val="24"/>
          <w:szCs w:val="24"/>
        </w:rPr>
      </w:pPr>
      <w:r>
        <w:t>The study was conducted on the South Coast of Kenya, mainly in Kwale County, between latitudes 3.05 degrees and 4.75 degrees South and longitudes 38.52 degrees and 39.51 degrees East (Figure 4). The county covers about 8,270.2 square kilometres and includes a coastal strip extending from Likoni to Vanga. Mangrove forests, tidal creeks and shallow coastal waters provide breeding, feeding and shelter habitat for Scylla serrata and other species (Mirera, 2017a; Fondo et al., 2020). The South Coast was selected because it is an established harvesting and trading area. Small-scale fishers reach mangroves on foot or by canoe and use hand collection, baited traps and other simple gear. Year-round access to the habitat makes mud crab fishing an important source of cash income for some coastal households.</w:t>
      </w:r>
    </w:p>
    <w:p w14:paraId="3C9B2DAD" w14:textId="77777777" w:rsidR="00221112" w:rsidRPr="00DE5E47" w:rsidRDefault="00C14051">
      <w:pPr>
        <w:spacing w:line="480" w:lineRule="auto"/>
        <w:jc w:val="both"/>
        <w:rPr>
          <w:rFonts w:cs="Times New Roman"/>
          <w:sz w:val="24"/>
          <w:szCs w:val="24"/>
        </w:rPr>
      </w:pPr>
      <w:r w:rsidRPr="00DE5E47">
        <w:rPr>
          <w:rFonts w:cs="Times New Roman"/>
          <w:sz w:val="24"/>
          <w:szCs w:val="24"/>
        </w:rPr>
        <w:t>The County has 20 Beach Management Units (BMUs) and 54 landing sites, which are responsible for regulating fishing activities, managing landing sites, and promoting sustainable use of fisheries resources. These BMUs provide important entry points for understanding how mud crab harvesting and marketing take place at the local level (Njiru et al., 2021). Landing sites within the BMUs serve as major points where fishers sell their crabs to brokers and traders, making them suitable locations for collecting data on grading, pricing, transportation, packaging, and modes of payment.</w:t>
      </w:r>
    </w:p>
    <w:p w14:paraId="28342156" w14:textId="77777777" w:rsidR="00221112" w:rsidRPr="00DE5E47" w:rsidRDefault="00C14051">
      <w:pPr>
        <w:spacing w:line="480" w:lineRule="auto"/>
        <w:jc w:val="both"/>
        <w:rPr>
          <w:rFonts w:cs="Times New Roman"/>
          <w:sz w:val="24"/>
          <w:szCs w:val="24"/>
        </w:rPr>
      </w:pPr>
      <w:r w:rsidRPr="00DE5E47">
        <w:rPr>
          <w:rFonts w:cs="Times New Roman"/>
          <w:sz w:val="24"/>
          <w:szCs w:val="24"/>
        </w:rPr>
        <w:t>The South Coast is also strongly influenced by tourism and urban markets, which generate high demand for premium seafood products such as live mud crabs. Hotels, restaurants, and urban centers within and outside the county provide ready markets, encouraging commercialization of the mud crab fishery and the involvement of multiple actors along the value chain (FAO, 2025). As a result, mud crab fishing in the area has gradually shifted from subsistence use to a market-oriented economic activity.</w:t>
      </w:r>
    </w:p>
    <w:p>
      <w:pPr>
        <w:spacing w:line="240" w:lineRule="auto" w:after="60"/>
      </w:pPr>
      <w:bookmarkStart w:id="41004" w:name="_Fig4"/>
      <w:r>
        <w:rPr>
          <w:rFonts w:ascii="Times New Roman" w:hAnsi="Times New Roman" w:cs="Times New Roman"/>
          <w:b/>
          <w:sz w:val="24"/>
          <w:szCs w:val="24"/>
          <w:color w:val="000000"/>
        </w:rPr>
        <w:t xml:space="preserve">Figure 4</w:t>
      </w:r>
      <w:bookmarkEnd w:id="41004"/>
    </w:p>
    <w:p>
      <w:pPr>
        <w:spacing w:line="240" w:lineRule="auto" w:after="60"/>
      </w:pPr>
      <w:r>
        <w:rPr>
          <w:rFonts w:ascii="Times New Roman" w:hAnsi="Times New Roman" w:cs="Times New Roman"/>
          <w:i/>
          <w:sz w:val="24"/>
          <w:szCs w:val="24"/>
          <w:color w:val="000000"/>
        </w:rPr>
        <w:t xml:space="preserve">Study site (Author, 2026)</w:t>
      </w:r>
    </w:p>
    <w:p w14:paraId="72EFB1C3" w14:textId="77777777" w:rsidR="00221112" w:rsidRPr="00DE5E47" w:rsidRDefault="00C14051" w:rsidP="00DD0A67">
      <w:pPr>
        <w:pStyle w:val="NormalWeb"/>
        <w:keepNext/>
        <w:jc w:val="center"/>
      </w:pPr>
      <w:r w:rsidRPr="00DE5E47">
        <w:rPr>
          <w:noProof/>
        </w:rPr>
        <w:lastRenderedPageBreak/>
        <mc:AlternateContent>
          <mc:Choice Requires="wps">
            <w:drawing>
              <wp:inline distT="0" distB="0" distL="0" distR="0" wp14:anchorId="576E0B0F" wp14:editId="33AB26D3">
                <wp:extent cx="304800" cy="304800"/>
                <wp:effectExtent l="0" t="0" r="0" b="0"/>
                <wp:docPr id="217677875"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wps:spPr>
                      <wps:bodyPr rot="0" vert="horz" wrap="square" lIns="91440" tIns="45720" rIns="91440" bIns="45720" anchor="t" anchorCtr="0" upright="1">
                        <a:noAutofit/>
                      </wps:bodyPr>
                    </wps:wsp>
                  </a:graphicData>
                </a:graphic>
              </wp:inline>
            </w:drawing>
          </mc:Choice>
          <mc:Fallback xmlns:wpsCustomData="http://www.wps.cn/officeDocument/2013/wpsCustomData" xmlns:w16cei="http://schemas.microsoft.com/office/word/2026/wordml/cei">
            <w:pict>
              <v:rect id="Rectangle 1" o:spid="_x0000_s1026" o:spt="1" style="height:24pt;width:24pt;" filled="f" stroked="f" coordsize="21600,21600" o:gfxdata="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">
                <v:fill on="f" focussize="0,0"/>
                <v:stroke on="f"/>
                <v:imagedata o:title=""/>
                <o:lock v:ext="edit" aspectratio="t"/>
                <w10:wrap type="none"/>
                <w10:anchorlock/>
              </v:rect>
            </w:pict>
          </mc:Fallback>
        </mc:AlternateContent>
      </w:r>
      <w:r w:rsidRPr="00DE5E47">
        <w:rPr>
          <w:rFonts w:eastAsia="Times New Roman"/>
          <w:noProof/>
          <w:kern w:val="0"/>
          <w14:ligatures w14:val="none"/>
        </w:rPr>
        <w:drawing>
          <wp:inline distT="0" distB="0" distL="0" distR="0" wp14:anchorId="47FD4777" wp14:editId="24222141">
            <wp:extent cx="4029502" cy="2849880"/>
            <wp:effectExtent l="0" t="0" r="9525" b="7620"/>
            <wp:docPr id="10855614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561419"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4031840" cy="2851534"/>
                    </a:xfrm>
                    <a:prstGeom prst="rect">
                      <a:avLst/>
                    </a:prstGeom>
                    <a:noFill/>
                    <a:ln>
                      <a:noFill/>
                    </a:ln>
                  </pic:spPr>
                </pic:pic>
              </a:graphicData>
            </a:graphic>
          </wp:inline>
        </w:drawing>
      </w:r>
    </w:p>
    <w:p w14:paraId="7E923E92" w14:textId="77777777" w:rsidR="0095467C" w:rsidRDefault="00C247CF">
      <w:pPr>
        <w:pStyle w:val="Heading2"/>
        <w:outlineLvl w:val="1"/>
      </w:pPr>
      <w:bookmarkStart w:id="52040" w:name="_Toc_40"/>
      <w:bookmarkStart w:id="154" w:name="_Toc241432246"/>
      <w:r>
        <w:t>3.3 Research design</w:t>
      </w:r>
      <w:bookmarkEnd w:id="154"/>
      <w:bookmarkEnd w:id="52040"/>
    </w:p>
    <w:p w14:paraId="4B775F73" w14:textId="77777777" w:rsidR="0095467C" w:rsidRDefault="00C247CF">
      <w:r>
        <w:t>The study used a cross-sectional descriptive mixed-methods design. Each respondent was surveyed once, while field observations and key-informant interviews supplied context on handling practices, institutions and market relationships. The design supports actor profiles, comparisons among actor categories and exploratory BMU associations. It does not establish causal pathways, mediation, moderation or seasonal change.</w:t>
      </w:r>
    </w:p>
    <w:p w14:paraId="3D9594B8" w14:textId="77777777" w:rsidR="00221112" w:rsidRPr="00DE5E47" w:rsidRDefault="00221112">
      <w:pPr>
        <w:spacing w:line="480" w:lineRule="auto"/>
        <w:jc w:val="both"/>
        <w:rPr>
          <w:rFonts w:cs="Times New Roman"/>
          <w:b/>
          <w:bCs/>
          <w:sz w:val="24"/>
          <w:szCs w:val="24"/>
        </w:rPr>
      </w:pPr>
    </w:p>
    <w:p w14:paraId="2E773DCC" w14:textId="77777777" w:rsidR="00221112" w:rsidRPr="00DE5E47" w:rsidRDefault="00C14051">
      <w:pPr>
        <w:pStyle w:val="Heading2"/>
        <w:jc w:val="both"/>
        <w:outlineLvl w:val="1"/>
        <w:rPr>
          <w:rFonts w:cs="Times New Roman"/>
          <w:szCs w:val="24"/>
        </w:rPr>
      </w:pPr>
      <w:bookmarkStart w:id="52041" w:name="_Toc_41"/>
      <w:bookmarkStart w:id="155" w:name="_Toc241432247"/>
      <w:r>
        <w:t>3.4 Target population</w:t>
      </w:r>
      <w:bookmarkEnd w:id="155"/>
      <w:bookmarkEnd w:id="52041"/>
    </w:p>
    <w:p w14:paraId="2F8A849E" w14:textId="77777777" w:rsidR="00221112" w:rsidRPr="00DE5E47" w:rsidRDefault="00C14051">
      <w:pPr>
        <w:spacing w:line="480" w:lineRule="auto"/>
        <w:rPr>
          <w:rFonts w:cs="Times New Roman"/>
          <w:sz w:val="24"/>
          <w:szCs w:val="24"/>
        </w:rPr>
      </w:pPr>
      <w:r>
        <w:t xml:space="preserve">A target population comprises every individual able to give responses pertinent to the objectives of a study (Lamm &amp; Lamm, 2019). The target population here comprised mud crab fishers, middlemen, hoteliers and exporters operating in Kwale County. These groups were selected because they harvest, handle, aggregate, process or trade mud crabs and therefore correspond directly to the three study objectives. Consumers, restaurants that did not procure directly, input suppliers and other service providers were outside the survey scope. Their exclusion means that the study cannot describe consumer preferences or the full set of supporting services. Ministry of Fisheries records informed the fisher sampling frame. Complete lists were not available for middlemen, hoteliers and exporters, so the accessible population for these groups depended on referrals and availability during the study period.</w:t>
      </w:r>
    </w:p>
    <w:p w14:paraId="700E5C24" w14:textId="77777777" w:rsidR="00221112" w:rsidRPr="00DE5E47" w:rsidRDefault="00C14051">
      <w:pPr>
        <w:pStyle w:val="Heading2"/>
        <w:jc w:val="both"/>
        <w:outlineLvl w:val="1"/>
        <w:rPr>
          <w:rFonts w:cs="Times New Roman"/>
          <w:szCs w:val="24"/>
        </w:rPr>
      </w:pPr>
      <w:bookmarkStart w:id="52042" w:name="_Toc_42"/>
      <w:bookmarkStart w:id="156" w:name="_Toc241432248"/>
      <w:r>
        <w:lastRenderedPageBreak/>
        <w:t>3.5 Sample size and sampling procedures</w:t>
      </w:r>
      <w:bookmarkEnd w:id="156"/>
      <w:bookmarkEnd w:id="52042"/>
    </w:p>
    <w:p w14:paraId="71F1BA80" w14:textId="77777777" w:rsidR="00221112" w:rsidRPr="00DE5E47" w:rsidRDefault="00C14051">
      <w:pPr>
        <w:spacing w:line="480" w:lineRule="auto"/>
        <w:rPr>
          <w:rFonts w:cs="Times New Roman"/>
          <w:sz w:val="24"/>
          <w:szCs w:val="24"/>
        </w:rPr>
      </w:pPr>
      <w:r>
        <w:t>The fisher sample was estimated from the available population information. Bowers (2017) reported that mud crab fishers represented about 3% of the 12,915 fishers along the Kenyan coast. Applying Kwale County’s estimated 26.9% share of the national mud crab fisher population gave an estimated population of 104 fishers (Mirera, 2017a; Kimani et al., 2018).</w:t>
      </w:r>
    </w:p>
    <w:p w14:paraId="618CB037" w14:textId="77777777" w:rsidR="00221112" w:rsidRPr="00DE5E47" w:rsidRDefault="00C14051">
      <w:pPr>
        <w:numPr>
          <w:ilvl w:val="0"/>
          <w:numId w:val="6"/>
        </w:numPr>
        <w:spacing w:line="480" w:lineRule="auto"/>
        <w:rPr>
          <w:rFonts w:cs="Times New Roman"/>
          <w:sz w:val="24"/>
          <w:szCs w:val="24"/>
        </w:rPr>
      </w:pPr>
      <w:r w:rsidRPr="00DE5E47">
        <w:rPr>
          <w:rFonts w:cs="Times New Roman"/>
          <w:sz w:val="24"/>
          <w:szCs w:val="24"/>
        </w:rPr>
        <w:t>Total population of fishers in the Kenyan coast = 12,915</w:t>
      </w:r>
    </w:p>
    <w:p w14:paraId="6D512796" w14:textId="77777777" w:rsidR="00221112" w:rsidRPr="00DE5E47" w:rsidRDefault="00C14051">
      <w:pPr>
        <w:numPr>
          <w:ilvl w:val="0"/>
          <w:numId w:val="6"/>
        </w:numPr>
        <w:spacing w:line="480" w:lineRule="auto"/>
        <w:rPr>
          <w:rFonts w:cs="Times New Roman"/>
          <w:sz w:val="24"/>
          <w:szCs w:val="24"/>
        </w:rPr>
      </w:pPr>
      <w:r w:rsidRPr="00DE5E47">
        <w:rPr>
          <w:rFonts w:cs="Times New Roman"/>
          <w:sz w:val="24"/>
          <w:szCs w:val="24"/>
        </w:rPr>
        <w:t>Proportion of mud crab fishers in the Kenyan coast = 3%</w:t>
      </w:r>
    </w:p>
    <w:p w14:paraId="5D689E20" w14:textId="77777777" w:rsidR="00221112" w:rsidRPr="00DE5E47" w:rsidRDefault="00C14051">
      <w:pPr>
        <w:numPr>
          <w:ilvl w:val="0"/>
          <w:numId w:val="6"/>
        </w:numPr>
        <w:spacing w:line="480" w:lineRule="auto"/>
        <w:rPr>
          <w:rFonts w:cs="Times New Roman"/>
          <w:sz w:val="24"/>
          <w:szCs w:val="24"/>
        </w:rPr>
      </w:pPr>
      <w:r w:rsidRPr="00DE5E47">
        <w:rPr>
          <w:rFonts w:cs="Times New Roman"/>
          <w:sz w:val="24"/>
          <w:szCs w:val="24"/>
        </w:rPr>
        <w:t>Total population of mud crab fishers in the Kenyan coast = 3/100 x 12,915 = 387</w:t>
      </w:r>
    </w:p>
    <w:p w14:paraId="11871C8D" w14:textId="77777777" w:rsidR="00221112" w:rsidRPr="00DE5E47" w:rsidRDefault="00C14051">
      <w:pPr>
        <w:numPr>
          <w:ilvl w:val="0"/>
          <w:numId w:val="6"/>
        </w:numPr>
        <w:spacing w:line="480" w:lineRule="auto"/>
        <w:rPr>
          <w:rFonts w:cs="Times New Roman"/>
          <w:sz w:val="24"/>
          <w:szCs w:val="24"/>
        </w:rPr>
      </w:pPr>
      <w:r w:rsidRPr="00DE5E47">
        <w:rPr>
          <w:rFonts w:cs="Times New Roman"/>
          <w:sz w:val="24"/>
          <w:szCs w:val="24"/>
        </w:rPr>
        <w:t>Total population of mud crab fishers in Kwale County = 26.9/100 x 387 = 104</w:t>
      </w:r>
    </w:p>
    <w:p w14:paraId="075F086B" w14:textId="77777777" w:rsidR="00221112" w:rsidRPr="00DE5E47" w:rsidRDefault="00C14051">
      <w:pPr>
        <w:spacing w:line="480" w:lineRule="auto"/>
        <w:rPr>
          <w:rFonts w:cs="Times New Roman"/>
          <w:sz w:val="24"/>
          <w:szCs w:val="24"/>
        </w:rPr>
      </w:pPr>
      <w:r w:rsidRPr="00DE5E47">
        <w:rPr>
          <w:rFonts w:cs="Times New Roman"/>
          <w:sz w:val="24"/>
          <w:szCs w:val="24"/>
        </w:rPr>
        <w:t xml:space="preserve">Using Yamane’s formula for sample size determination (Yamane, 1967), the sample size was computed as follows: </w:t>
      </w:r>
      <w:sdt>
        <w:sdtPr>
          <w:rPr>
            <w:rFonts w:cs="Times New Roman"/>
            <w:sz w:val="24"/>
            <w:szCs w:val="24"/>
          </w:rPr>
          <w:id w:val="-1586753023"/>
        </w:sdtPr>
        <w:sdtEndPr/>
        <w:sdtContent>
          <w:r w:rsidRPr="00DE5E47">
            <w:rPr>
              <w:rFonts w:cs="Times New Roman"/>
              <w:sz w:val="24"/>
              <w:szCs w:val="24"/>
            </w:rPr>
            <w:fldChar w:fldCharType="begin"/>
          </w:r>
          <w:r w:rsidRPr="00DE5E47">
            <w:rPr>
              <w:rFonts w:cs="Times New Roman"/>
              <w:sz w:val="24"/>
              <w:szCs w:val="24"/>
              <w:lang w:val="en-GB"/>
            </w:rPr>
            <w:instrText xml:space="preserve"> CITATION Yam67 \l 2057  \m Gil10</w:instrText>
          </w:r>
          <w:r w:rsidRPr="00DE5E47">
            <w:rPr>
              <w:rFonts w:cs="Times New Roman"/>
              <w:sz w:val="24"/>
              <w:szCs w:val="24"/>
            </w:rPr>
            <w:fldChar w:fldCharType="separate"/>
          </w:r>
          <w:r w:rsidRPr="00DE5E47">
            <w:rPr>
              <w:rFonts w:cs="Times New Roman"/>
              <w:sz w:val="24"/>
              <w:szCs w:val="24"/>
              <w:lang w:val="en-GB"/>
            </w:rPr>
            <w:t/>
          </w:r>
          <w:r w:rsidRPr="00DE5E47">
            <w:rPr>
              <w:rFonts w:cs="Times New Roman"/>
              <w:sz w:val="24"/>
              <w:szCs w:val="24"/>
            </w:rPr>
            <w:fldChar w:fldCharType="end"/>
          </w:r>
        </w:sdtContent>
      </w:sdt>
      <w:r w:rsidRPr="00DE5E47">
        <w:rPr>
          <w:rFonts w:cs="Times New Roman"/>
          <w:sz w:val="24"/>
          <w:szCs w:val="24"/>
        </w:rPr>
      </w:r>
    </w:p>
    <w:p w14:paraId="63D2B760" w14:textId="77777777" w:rsidR="00221112" w:rsidRPr="00DE5E47" w:rsidRDefault="00C14051">
      <w:pPr>
        <w:spacing w:line="480" w:lineRule="auto"/>
        <w:rPr>
          <w:rFonts w:cs="Times New Roman"/>
          <w:sz w:val="24"/>
          <w:szCs w:val="24"/>
        </w:rPr>
      </w:pPr>
      <w:r>
        <w:t>where:</w:t>
      </w:r>
    </w:p>
    <w:p w14:paraId="25D1DB28" w14:textId="77777777" w:rsidR="00221112" w:rsidRPr="00DE5E47" w:rsidRDefault="00C14051">
      <w:pPr>
        <w:spacing w:after="200" w:line="480" w:lineRule="auto"/>
        <w:rPr>
          <w:rFonts w:eastAsia="Times New Roman" w:cs="Times New Roman"/>
          <w:kern w:val="0"/>
          <w:sz w:val="24"/>
          <w:szCs w:val="24"/>
          <w14:ligatures w14:val="none"/>
        </w:rPr>
      </w:pPr>
      <w:r>
        <w:t>n = required sample size</w:t>
      </w:r>
    </w:p>
    <w:p w14:paraId="7ED15BFA" w14:textId="77777777" w:rsidR="00221112" w:rsidRPr="00DE5E47" w:rsidRDefault="00C14051">
      <w:pPr>
        <w:spacing w:after="200" w:line="480" w:lineRule="auto"/>
        <w:rPr>
          <w:rFonts w:eastAsia="Times New Roman" w:cs="Times New Roman"/>
          <w:kern w:val="0"/>
          <w:sz w:val="24"/>
          <w:szCs w:val="24"/>
          <w14:ligatures w14:val="none"/>
        </w:rPr>
      </w:pPr>
      <w:r>
        <w:t>N = estimated population of mud crab fishers (104)</w:t>
      </w:r>
    </w:p>
    <w:p w14:paraId="40C28CD7" w14:textId="77777777" w:rsidR="00221112" w:rsidRPr="00DE5E47" w:rsidRDefault="00C14051">
      <w:pPr>
        <w:spacing w:after="200" w:line="480" w:lineRule="auto"/>
        <w:rPr>
          <w:rFonts w:eastAsia="Times New Roman" w:cs="Times New Roman"/>
          <w:kern w:val="0"/>
          <w:sz w:val="24"/>
          <w:szCs w:val="24"/>
          <w14:ligatures w14:val="none"/>
        </w:rPr>
      </w:pPr>
      <w:r>
        <w:t>e = margin of error (0.05)</w:t>
      </w:r>
    </w:p>
    <w:p w14:paraId="02A1FA3D" w14:textId="77777777" w:rsidR="00221112" w:rsidRPr="00DE5E47" w:rsidRDefault="00C14051">
      <w:pPr>
        <w:spacing w:after="200" w:line="480" w:lineRule="auto"/>
        <w:rPr>
          <w:rFonts w:eastAsia="Times New Roman" w:cs="Times New Roman"/>
          <w:kern w:val="0"/>
          <w:sz w:val="24"/>
          <w:szCs w:val="24"/>
          <w:vertAlign w:val="superscript"/>
          <w14:ligatures w14:val="none"/>
        </w:rPr>
      </w:pPr>
      <w:r>
        <w:t>n = 104 / [1 + 104(0.05)^2]</w:t>
      </w:r>
    </w:p>
    <w:p w14:paraId="1B099961" w14:textId="77777777" w:rsidR="00221112" w:rsidRPr="00DE5E47" w:rsidRDefault="00C14051">
      <w:pPr>
        <w:spacing w:after="200" w:line="480" w:lineRule="auto"/>
        <w:rPr>
          <w:rFonts w:eastAsia="Times New Roman" w:cs="Times New Roman"/>
          <w:kern w:val="0"/>
          <w:sz w:val="24"/>
          <w:szCs w:val="24"/>
          <w14:ligatures w14:val="none"/>
        </w:rPr>
      </w:pPr>
      <w:r>
        <w:t>n = 82.54, rounded up to a target of 83 fishers</w:t>
      </w:r>
    </w:p>
    <w:p w14:paraId="5A4DDFF4" w14:textId="77777777" w:rsidR="00221112" w:rsidRPr="00DE5E47" w:rsidRDefault="00C14051">
      <w:pPr>
        <w:spacing w:line="480" w:lineRule="auto"/>
        <w:rPr>
          <w:rFonts w:eastAsia="Aptos" w:cs="Times New Roman"/>
          <w:sz w:val="24"/>
          <w:szCs w:val="24"/>
        </w:rPr>
      </w:pPr>
      <w:r>
        <w:t xml:space="preserve">The completed survey covered 96 actors: 65 mud crab fishers, 22 middlemen, five hoteliers and four exporters. Fishers were recruited from the selected BMUs using the available frame and field access. Because complete lists of downstream actors were not available, fishers and other respondents identified </w:t>
      </w:r>
      <w:r>
        <w:lastRenderedPageBreak/>
        <w:t>traders and buyers who could be approached, and these referrals were followed through snowball sampling.</w:t>
      </w:r>
    </w:p>
    <w:p w14:paraId="78956995" w14:textId="77777777" w:rsidR="0095467C" w:rsidRDefault="00C247CF">
      <w:pPr>
        <w:pStyle w:val="Heading2"/>
        <w:outlineLvl w:val="1"/>
      </w:pPr>
      <w:bookmarkStart w:id="52043" w:name="_Toc_43"/>
      <w:bookmarkStart w:id="157" w:name="_Toc241432249"/>
      <w:r>
        <w:t>3.6 Non-Response and Sampling Limitations</w:t>
      </w:r>
      <w:bookmarkEnd w:id="157"/>
      <w:bookmarkEnd w:id="52043"/>
    </w:p>
    <w:p w14:paraId="17006015" w14:textId="77777777" w:rsidR="0095467C" w:rsidRDefault="00C247CF">
      <w:r>
        <w:t>The study reached 65 of the target 83 fishers, an achieved rate of 78.3%. The shortfall arose mainly because some fishers moved among landing sites and were absent during scheduled visits. The achieved fisher sample is adequate for a descriptive account of the respondents reached, but the missing 18 fishers may differ from those interviewed. Site-level percentages, especially for BMUs with few respondents, should therefore be interpreted cautiously.</w:t>
      </w:r>
    </w:p>
    <w:p w14:paraId="0472CF4A" w14:textId="77777777" w:rsidR="0095467C" w:rsidRDefault="00C247CF">
      <w:r>
        <w:t>A conventional response rate could not be calculated for middlemen, hoteliers or exporters because no complete sampling frame existed. Snowball sampling was practical for locating these dispersed actors, but it may over-represent people with stronger trading connections and under-represent isolated or informal operators. The small hotelier and exporter samples and the absence of middlemen at some BMUs limit statistical generalisation beyond the surveyed actors.</w:t>
      </w:r>
    </w:p>
    <w:p w14:paraId="4386EC33" w14:textId="77777777" w:rsidR="00221112" w:rsidRPr="00DE5E47" w:rsidRDefault="00C14051">
      <w:pPr>
        <w:pStyle w:val="Heading2"/>
        <w:jc w:val="both"/>
        <w:outlineLvl w:val="1"/>
        <w:rPr>
          <w:rFonts w:cs="Times New Roman"/>
          <w:szCs w:val="24"/>
        </w:rPr>
      </w:pPr>
      <w:bookmarkStart w:id="52044" w:name="_Toc_44"/>
      <w:bookmarkStart w:id="158" w:name="_Toc241432250"/>
      <w:r>
        <w:t>3.7 Pilot study</w:t>
      </w:r>
      <w:bookmarkEnd w:id="158"/>
      <w:bookmarkEnd w:id="52044"/>
    </w:p>
    <w:p w14:paraId="2A2041B6" w14:textId="77777777" w:rsidR="00221112" w:rsidRPr="00DE5E47" w:rsidRDefault="00C14051">
      <w:pPr>
        <w:spacing w:line="480" w:lineRule="auto"/>
        <w:rPr>
          <w:rFonts w:eastAsia="Times New Roman" w:cs="Times New Roman"/>
          <w:kern w:val="0"/>
          <w:sz w:val="24"/>
          <w:szCs w:val="24"/>
          <w14:ligatures w14:val="none"/>
        </w:rPr>
      </w:pPr>
      <w:r>
        <w:t>A pilot test involving 18 respondents was used to check whether the questionnaire items were clear, relevant to the objectives and workable in the field (Lowe, 2019). Feedback from the pilot informed the wording and sequencing of the data-collection tool.</w:t>
      </w:r>
    </w:p>
    <w:p w14:paraId="3285AD26" w14:textId="77777777" w:rsidR="00221112" w:rsidRPr="00DE5E47" w:rsidRDefault="00C14051">
      <w:pPr>
        <w:pStyle w:val="Heading2"/>
        <w:jc w:val="both"/>
        <w:outlineLvl w:val="1"/>
        <w:rPr>
          <w:rFonts w:cs="Times New Roman"/>
          <w:szCs w:val="24"/>
        </w:rPr>
      </w:pPr>
      <w:bookmarkStart w:id="52045" w:name="_Toc_45"/>
      <w:bookmarkStart w:id="159" w:name="_Toc241432251"/>
      <w:r>
        <w:t>3.8 Data collection</w:t>
      </w:r>
      <w:bookmarkEnd w:id="159"/>
      <w:bookmarkEnd w:id="52045"/>
    </w:p>
    <w:p w14:paraId="4D504FF7" w14:textId="77777777" w:rsidR="00221112" w:rsidRPr="00DE5E47" w:rsidRDefault="00C14051">
      <w:pPr>
        <w:spacing w:line="480" w:lineRule="auto"/>
        <w:jc w:val="both"/>
        <w:rPr>
          <w:rFonts w:cs="Times New Roman"/>
          <w:sz w:val="24"/>
          <w:szCs w:val="24"/>
        </w:rPr>
      </w:pPr>
      <w:r>
        <w:t>Data were collected from May 2022 to December 2023 using structured questionnaires, field observations and key-informant interviews.</w:t>
      </w:r>
    </w:p>
    <w:p w14:paraId="1D18834F" w14:textId="77777777" w:rsidR="00221112" w:rsidRPr="00DE5E47" w:rsidRDefault="00C14051">
      <w:pPr>
        <w:spacing w:line="480" w:lineRule="auto"/>
        <w:jc w:val="both"/>
        <w:rPr>
          <w:rFonts w:cs="Times New Roman"/>
          <w:sz w:val="24"/>
          <w:szCs w:val="24"/>
        </w:rPr>
      </w:pPr>
      <w:r>
        <w:t>For Objective One, the questionnaire recorded actor category, age, sex, marital status, education, household size, experience, monthly income, business ownership, scale of operation, collective membership, credit, licensing and institutional affiliation. These variables were used to describe the people and businesses operating at different market nodes.</w:t>
      </w:r>
    </w:p>
    <w:p w14:paraId="5072399A" w14:textId="77777777" w:rsidR="00221112" w:rsidRPr="00DE5E47" w:rsidRDefault="00C14051">
      <w:pPr>
        <w:spacing w:line="480" w:lineRule="auto"/>
        <w:jc w:val="both"/>
        <w:rPr>
          <w:rFonts w:cs="Times New Roman"/>
          <w:sz w:val="24"/>
          <w:szCs w:val="24"/>
        </w:rPr>
      </w:pPr>
      <w:r>
        <w:t xml:space="preserve">For Objective Two, respondents described their harvesting or sourcing methods, catch or traded volumes, grading, quality control, processing, preservation, packaging, transport, market destinations, price setting, </w:t>
      </w:r>
      <w:r>
        <w:lastRenderedPageBreak/>
        <w:t>payment, technology use, market research and sources of technical knowledge. Field observations were used to check reported handling, grading, transport and marketing practices where these could be seen.</w:t>
      </w:r>
    </w:p>
    <w:p w14:paraId="4918A2DC" w14:textId="77777777" w:rsidR="00221112" w:rsidRPr="00DE5E47" w:rsidRDefault="00C14051">
      <w:pPr>
        <w:spacing w:line="480" w:lineRule="auto"/>
        <w:jc w:val="both"/>
        <w:rPr>
          <w:rFonts w:cs="Times New Roman"/>
          <w:sz w:val="24"/>
          <w:szCs w:val="24"/>
        </w:rPr>
      </w:pPr>
      <w:r>
        <w:t>For Objective Three, respondents identified operational and market constraints, infrastructure gaps, price risk, access to finance, technology, institutional support, regulation and capacity needs. They also reported opportunities for market access, value addition, infrastructure, training, credit and institutional support. Key informants, including BMU leaders and government officers, provided context on sector-wide conditions. Their accounts and field notes were used to interpret the survey findings rather than as a separate causal test.</w:t>
      </w:r>
    </w:p>
    <w:p w14:paraId="512CAA90" w14:textId="77777777" w:rsidR="00221112" w:rsidRPr="00DE5E47" w:rsidRDefault="00C14051">
      <w:pPr>
        <w:spacing w:line="480" w:lineRule="auto"/>
        <w:jc w:val="both"/>
        <w:rPr>
          <w:rFonts w:cs="Times New Roman"/>
          <w:sz w:val="24"/>
          <w:szCs w:val="24"/>
        </w:rPr>
      </w:pPr>
      <w:r>
        <w:t>Secondary evidence came from published studies, government reports and other documents on mud crab fisheries, actor roles and market conditions. This material provided the background and comparison literature used in Chapters One, Two and Five.</w:t>
      </w:r>
    </w:p>
    <w:p w14:paraId="39982B95" w14:textId="77777777" w:rsidR="0095467C" w:rsidRDefault="00C247CF">
      <w:pPr>
        <w:pStyle w:val="Heading2"/>
        <w:outlineLvl w:val="1"/>
      </w:pPr>
      <w:bookmarkStart w:id="52046" w:name="_Toc_46"/>
      <w:bookmarkStart w:id="160" w:name="_Toc241432252"/>
      <w:r>
        <w:t>3.9 Alignment of objectives and analysis</w:t>
      </w:r>
      <w:bookmarkEnd w:id="160"/>
      <w:bookmarkEnd w:id="52046"/>
    </w:p>
    <w:p w14:paraId="1DCCC1BB" w14:textId="77777777" w:rsidR="0095467C" w:rsidRDefault="00C247CF">
      <w:r>
        <w:t xml:space="preserve">Objective One was analysed with frequencies, valid percentages and actor-specific BMU cross-tabulations, with chi-square tests for selected categorical variables among fishers and middlemen. Objective Two used the same descriptive summaries for functions and market practices, together with means, medians, quartiles and ranges for reported income and prices. Objective Three used frequencies, percentages and selected actor-specific BMU associations for constraints, regulation and opportunities. Hoteliers and </w:t>
      </w:r>
      <w:r>
        <w:t>exporters were described by actor category because their samples were too small and uneven for BMU significance tests. This alignment keeps each conclusion within the scope of the data collected.</w:t>
      </w:r>
    </w:p>
    <w:p>
      <w:pPr>
        <w:spacing w:line="360" w:lineRule="auto" w:after="0"/>
      </w:pPr>
      <w:bookmarkStart w:id="41005" w:name="_Tbl1"/>
      <w:r>
        <w:rPr>
          <w:rFonts w:ascii="Times New Roman" w:hAnsi="Times New Roman" w:cs="Times New Roman"/>
          <w:b/>
          <w:sz w:val="24"/>
          <w:szCs w:val="24"/>
          <w:color w:val="000000"/>
        </w:rPr>
        <w:t xml:space="preserve">Table 1</w:t>
      </w:r>
      <w:bookmarkEnd w:id="41005"/>
    </w:p>
    <w:p>
      <w:pPr>
        <w:spacing w:line="360" w:lineRule="auto" w:after="120"/>
      </w:pPr>
      <w:r>
        <w:rPr>
          <w:rFonts w:ascii="Times New Roman" w:hAnsi="Times New Roman" w:cs="Times New Roman"/>
          <w:i/>
          <w:sz w:val="24"/>
          <w:szCs w:val="24"/>
          <w:color w:val="000000"/>
        </w:rPr>
        <w:t xml:space="preserve">Alignment of Study Objectives, Variables Measured and Analysis Applied</w:t>
      </w:r>
    </w:p>
    <w:tbl>
      <w:tblPr>
        <w:tblStyle w:val="TableNormal"/>
        <w:tblW w:w="9026" w:type="dxa"/>
        <w:tblBorders>
          <w:top w:val="none" w:sz="0" w:color="FFFFFF"/>
          <w:left w:val="none" w:sz="0" w:color="FFFFFF"/>
          <w:bottom w:val="none" w:sz="0" w:color="FFFFFF"/>
          <w:right w:val="none" w:sz="0" w:color="FFFFFF"/>
          <w:insideH w:val="none" w:sz="0" w:color="FFFFFF"/>
          <w:insideV w:val="none" w:sz="0" w:color="FFFFFF"/>
        </w:tblBorders>
      </w:tblPr>
      <w:tblGrid>
        <w:gridCol w:w="1900"/>
        <w:gridCol w:w="2500"/>
        <w:gridCol w:w="3000"/>
        <w:gridCol w:w="1626"/>
      </w:tblGrid>
      <w:tr>
        <w:trPr>
          <w:tblHeader/>
        </w:trPr>
        <w:tc>
          <w:tcPr>
            <w:tcW w:w="1900" w:type="dxa"/>
            <w:tcBorders>
              <w:top w:val="single" w:sz="6" w:color="000000"/>
              <w:bottom w:val="single" w:sz="4" w:color="000000"/>
            </w:tcBorders>
            <w:tcMar>
              <w:top w:w="60" w:type="dxa"/>
              <w:left w:w="90" w:type="dxa"/>
              <w:bottom w:w="60" w:type="dxa"/>
              <w:right w:w="90" w:type="dxa"/>
            </w:tcMar>
          </w:tcPr>
          <w:p>
            <w:pPr>
              <w:spacing w:line="240" w:lineRule="auto" w:after="20"/>
            </w:pPr>
            <w:r>
              <w:rPr>
                <w:rFonts w:ascii="Times New Roman" w:hAnsi="Times New Roman" w:cs="Times New Roman"/>
                <w:b/>
                <w:sz w:val="20"/>
                <w:szCs w:val="20"/>
                <w:color w:val="000000"/>
              </w:rPr>
              <w:t xml:space="preserve">Objective</w:t>
            </w:r>
          </w:p>
        </w:tc>
        <w:tc>
          <w:tcPr>
            <w:tcW w:w="2500" w:type="dxa"/>
            <w:tcBorders>
              <w:top w:val="single" w:sz="6" w:color="000000"/>
              <w:bottom w:val="single" w:sz="4" w:color="000000"/>
            </w:tcBorders>
            <w:tcMar>
              <w:top w:w="60" w:type="dxa"/>
              <w:left w:w="90" w:type="dxa"/>
              <w:bottom w:w="60" w:type="dxa"/>
              <w:right w:w="90" w:type="dxa"/>
            </w:tcMar>
          </w:tcPr>
          <w:p>
            <w:pPr>
              <w:spacing w:line="240" w:lineRule="auto" w:after="20"/>
            </w:pPr>
            <w:r>
              <w:rPr>
                <w:rFonts w:ascii="Times New Roman" w:hAnsi="Times New Roman" w:cs="Times New Roman"/>
                <w:b/>
                <w:sz w:val="20"/>
                <w:szCs w:val="20"/>
                <w:color w:val="000000"/>
              </w:rPr>
              <w:t xml:space="preserve">Variables measured</w:t>
            </w:r>
          </w:p>
        </w:tc>
        <w:tc>
          <w:tcPr>
            <w:tcW w:w="3000" w:type="dxa"/>
            <w:tcBorders>
              <w:top w:val="single" w:sz="6" w:color="000000"/>
              <w:bottom w:val="single" w:sz="4" w:color="000000"/>
            </w:tcBorders>
            <w:tcMar>
              <w:top w:w="60" w:type="dxa"/>
              <w:left w:w="90" w:type="dxa"/>
              <w:bottom w:w="60" w:type="dxa"/>
              <w:right w:w="90" w:type="dxa"/>
            </w:tcMar>
          </w:tcPr>
          <w:p>
            <w:pPr>
              <w:spacing w:line="240" w:lineRule="auto" w:after="20"/>
            </w:pPr>
            <w:r>
              <w:rPr>
                <w:rFonts w:ascii="Times New Roman" w:hAnsi="Times New Roman" w:cs="Times New Roman"/>
                <w:b/>
                <w:sz w:val="20"/>
                <w:szCs w:val="20"/>
                <w:color w:val="000000"/>
              </w:rPr>
              <w:t xml:space="preserve">Analysis applied</w:t>
            </w:r>
          </w:p>
        </w:tc>
        <w:tc>
          <w:tcPr>
            <w:tcW w:w="1626" w:type="dxa"/>
            <w:tcBorders>
              <w:top w:val="single" w:sz="6" w:color="000000"/>
              <w:bottom w:val="single" w:sz="4" w:color="000000"/>
            </w:tcBorders>
            <w:tcMar>
              <w:top w:w="60" w:type="dxa"/>
              <w:left w:w="90" w:type="dxa"/>
              <w:bottom w:w="60" w:type="dxa"/>
              <w:right w:w="90" w:type="dxa"/>
            </w:tcMar>
          </w:tcPr>
          <w:p>
            <w:pPr>
              <w:spacing w:line="240" w:lineRule="auto" w:after="20"/>
            </w:pPr>
            <w:r>
              <w:rPr>
                <w:rFonts w:ascii="Times New Roman" w:hAnsi="Times New Roman" w:cs="Times New Roman"/>
                <w:b/>
                <w:sz w:val="20"/>
                <w:szCs w:val="20"/>
                <w:color w:val="000000"/>
              </w:rPr>
              <w:t xml:space="preserve">Reported in</w:t>
            </w:r>
          </w:p>
        </w:tc>
      </w:tr>
      <w:tr>
        <w:tc>
          <w:tcPr>
            <w:tcW w:w="1900" w:type="dxa"/>
            <w:tcBorders>
              <w:top w:val="none" w:sz="0" w:color="FFFFFF"/>
              <w:bottom w:val="none" w:sz="0" w:color="FFFFFF"/>
            </w:tcBorders>
            <w:tcMar>
              <w:top w:w="60" w:type="dxa"/>
              <w:left w:w="90" w:type="dxa"/>
              <w:bottom w:w="60" w:type="dxa"/>
              <w:right w:w="90" w:type="dxa"/>
            </w:tcMar>
          </w:tcPr>
          <w:p>
            <w:pPr>
              <w:spacing w:line="240" w:lineRule="auto" w:after="20"/>
            </w:pPr>
            <w:r>
              <w:rPr>
                <w:rFonts w:ascii="Times New Roman" w:hAnsi="Times New Roman" w:cs="Times New Roman"/>
                <w:sz w:val="20"/>
                <w:szCs w:val="20"/>
                <w:color w:val="000000"/>
              </w:rPr>
              <w:t xml:space="preserve">1. Profile the actors and their characteristics</w:t>
            </w:r>
          </w:p>
        </w:tc>
        <w:tc>
          <w:tcPr>
            <w:tcW w:w="2500" w:type="dxa"/>
            <w:tcBorders>
              <w:top w:val="none" w:sz="0" w:color="FFFFFF"/>
              <w:bottom w:val="none" w:sz="0" w:color="FFFFFF"/>
            </w:tcBorders>
            <w:tcMar>
              <w:top w:w="60" w:type="dxa"/>
              <w:left w:w="90" w:type="dxa"/>
              <w:bottom w:w="60" w:type="dxa"/>
              <w:right w:w="90" w:type="dxa"/>
            </w:tcMar>
          </w:tcPr>
          <w:p>
            <w:pPr>
              <w:spacing w:line="240" w:lineRule="auto" w:after="20"/>
            </w:pPr>
            <w:r>
              <w:rPr>
                <w:rFonts w:ascii="Times New Roman" w:hAnsi="Times New Roman" w:cs="Times New Roman"/>
                <w:sz w:val="20"/>
                <w:szCs w:val="20"/>
                <w:color w:val="000000"/>
              </w:rPr>
              <w:t xml:space="preserve">Actor category, study site, age, gender, education, marital status, experience, business role, scale of operation, income, licensing, credit, training, collective membership</w:t>
            </w:r>
          </w:p>
        </w:tc>
        <w:tc>
          <w:tcPr>
            <w:tcW w:w="3000" w:type="dxa"/>
            <w:tcBorders>
              <w:top w:val="none" w:sz="0" w:color="FFFFFF"/>
              <w:bottom w:val="none" w:sz="0" w:color="FFFFFF"/>
            </w:tcBorders>
            <w:tcMar>
              <w:top w:w="60" w:type="dxa"/>
              <w:left w:w="90" w:type="dxa"/>
              <w:bottom w:w="60" w:type="dxa"/>
              <w:right w:w="90" w:type="dxa"/>
            </w:tcMar>
          </w:tcPr>
          <w:p>
            <w:pPr>
              <w:spacing w:line="240" w:lineRule="auto" w:after="20"/>
            </w:pPr>
            <w:r>
              <w:rPr>
                <w:rFonts w:ascii="Times New Roman" w:hAnsi="Times New Roman" w:cs="Times New Roman"/>
                <w:sz w:val="20"/>
                <w:szCs w:val="20"/>
                <w:color w:val="000000"/>
              </w:rPr>
              <w:t xml:space="preserve">Frequencies and valid percentages by actor category; descriptive statistics for income and age; actor-specific Monte Carlo chi-square against study site for fishers and middlemen</w:t>
            </w:r>
          </w:p>
        </w:tc>
        <w:tc>
          <w:tcPr>
            <w:tcW w:w="1626" w:type="dxa"/>
            <w:tcBorders>
              <w:top w:val="none" w:sz="0" w:color="FFFFFF"/>
              <w:bottom w:val="none" w:sz="0" w:color="FFFFFF"/>
            </w:tcBorders>
            <w:tcMar>
              <w:top w:w="60" w:type="dxa"/>
              <w:left w:w="90" w:type="dxa"/>
              <w:bottom w:w="60" w:type="dxa"/>
              <w:right w:w="90" w:type="dxa"/>
            </w:tcMar>
          </w:tcPr>
          <w:p>
            <w:pPr>
              <w:spacing w:line="240" w:lineRule="auto" w:after="20"/>
            </w:pPr>
            <w:r>
              <w:rPr>
                <w:rFonts w:ascii="Times New Roman" w:hAnsi="Times New Roman" w:cs="Times New Roman"/>
                <w:sz w:val="20"/>
                <w:szCs w:val="20"/>
                <w:color w:val="000000"/>
              </w:rPr>
              <w:t>Tables 2–16, Figures 5–11</w:t>
            </w:r>
          </w:p>
        </w:tc>
      </w:tr>
      <w:tr>
        <w:tc>
          <w:tcPr>
            <w:tcW w:w="1900" w:type="dxa"/>
            <w:tcBorders>
              <w:top w:val="none" w:sz="0" w:color="FFFFFF"/>
              <w:bottom w:val="none" w:sz="0" w:color="FFFFFF"/>
            </w:tcBorders>
            <w:tcMar>
              <w:top w:w="60" w:type="dxa"/>
              <w:left w:w="90" w:type="dxa"/>
              <w:bottom w:w="60" w:type="dxa"/>
              <w:right w:w="90" w:type="dxa"/>
            </w:tcMar>
          </w:tcPr>
          <w:p>
            <w:pPr>
              <w:spacing w:line="240" w:lineRule="auto" w:after="20"/>
            </w:pPr>
            <w:r>
              <w:rPr>
                <w:rFonts w:ascii="Times New Roman" w:hAnsi="Times New Roman" w:cs="Times New Roman"/>
                <w:sz w:val="20"/>
                <w:szCs w:val="20"/>
                <w:color w:val="000000"/>
              </w:rPr>
              <w:t xml:space="preserve">2. Examine the functions performed at each market node</w:t>
            </w:r>
          </w:p>
        </w:tc>
        <w:tc>
          <w:tcPr>
            <w:tcW w:w="2500" w:type="dxa"/>
            <w:tcBorders>
              <w:top w:val="none" w:sz="0" w:color="FFFFFF"/>
              <w:bottom w:val="none" w:sz="0" w:color="FFFFFF"/>
            </w:tcBorders>
            <w:tcMar>
              <w:top w:w="60" w:type="dxa"/>
              <w:left w:w="90" w:type="dxa"/>
              <w:bottom w:w="60" w:type="dxa"/>
              <w:right w:w="90" w:type="dxa"/>
            </w:tcMar>
          </w:tcPr>
          <w:p>
            <w:pPr>
              <w:spacing w:line="240" w:lineRule="auto" w:after="20"/>
            </w:pPr>
            <w:r>
              <w:rPr>
                <w:rFonts w:ascii="Times New Roman" w:hAnsi="Times New Roman" w:cs="Times New Roman"/>
                <w:sz w:val="20"/>
                <w:szCs w:val="20"/>
                <w:color w:val="000000"/>
              </w:rPr>
              <w:t xml:space="preserve">Sourcing, buyers, market channel, gear, catch, preparation, packaging, preservation, transport, grading practice and criteria, quality control, size and grade labels, mortality, spoilage, payment, price setting, trading relationships, reported prices by grade</w:t>
            </w:r>
          </w:p>
        </w:tc>
        <w:tc>
          <w:tcPr>
            <w:tcW w:w="3000" w:type="dxa"/>
            <w:tcBorders>
              <w:top w:val="none" w:sz="0" w:color="FFFFFF"/>
              <w:bottom w:val="none" w:sz="0" w:color="FFFFFF"/>
            </w:tcBorders>
            <w:tcMar>
              <w:top w:w="60" w:type="dxa"/>
              <w:left w:w="90" w:type="dxa"/>
              <w:bottom w:w="60" w:type="dxa"/>
              <w:right w:w="90" w:type="dxa"/>
            </w:tcMar>
          </w:tcPr>
          <w:p>
            <w:pPr>
              <w:spacing w:line="240" w:lineRule="auto" w:after="20"/>
            </w:pPr>
            <w:r>
              <w:rPr>
                <w:rFonts w:ascii="Times New Roman" w:hAnsi="Times New Roman" w:cs="Times New Roman"/>
                <w:sz w:val="20"/>
                <w:szCs w:val="20"/>
                <w:color w:val="000000"/>
              </w:rPr>
              <w:t>Frequencies and valid percentages by actor category; descriptive statistics for prices; Kruskal–Wallis for price by actor category and by study site within actor; gross marketing margins, the share of the end-of-chain price and the first-sale price spread by site; actor-specific Monte Carlo chi-square against study site</w:t>
            </w:r>
          </w:p>
        </w:tc>
        <w:tc>
          <w:tcPr>
            <w:tcW w:w="1626" w:type="dxa"/>
            <w:tcBorders>
              <w:top w:val="none" w:sz="0" w:color="FFFFFF"/>
              <w:bottom w:val="none" w:sz="0" w:color="FFFFFF"/>
            </w:tcBorders>
            <w:tcMar>
              <w:top w:w="60" w:type="dxa"/>
              <w:left w:w="90" w:type="dxa"/>
              <w:bottom w:w="60" w:type="dxa"/>
              <w:right w:w="90" w:type="dxa"/>
            </w:tcMar>
          </w:tcPr>
          <w:p>
            <w:pPr>
              <w:spacing w:line="240" w:lineRule="auto" w:after="20"/>
            </w:pPr>
            <w:r>
              <w:rPr>
                <w:rFonts w:ascii="Times New Roman" w:hAnsi="Times New Roman" w:cs="Times New Roman"/>
                <w:sz w:val="20"/>
                <w:szCs w:val="20"/>
                <w:color w:val="000000"/>
              </w:rPr>
              <w:t>Tables 17–49, Figures 12–28</w:t>
            </w:r>
          </w:p>
        </w:tc>
      </w:tr>
      <w:tr>
        <w:tc>
          <w:tcPr>
            <w:tcW w:w="1900" w:type="dxa"/>
            <w:tcBorders>
              <w:top w:val="none" w:sz="0" w:color="FFFFFF"/>
              <w:bottom w:val="single" w:sz="6" w:color="000000"/>
            </w:tcBorders>
            <w:tcMar>
              <w:top w:w="60" w:type="dxa"/>
              <w:left w:w="90" w:type="dxa"/>
              <w:bottom w:w="60" w:type="dxa"/>
              <w:right w:w="90" w:type="dxa"/>
            </w:tcMar>
          </w:tcPr>
          <w:p>
            <w:pPr>
              <w:spacing w:line="240" w:lineRule="auto" w:after="20"/>
            </w:pPr>
            <w:r>
              <w:rPr>
                <w:rFonts w:ascii="Times New Roman" w:hAnsi="Times New Roman" w:cs="Times New Roman"/>
                <w:sz w:val="20"/>
                <w:szCs w:val="20"/>
                <w:color w:val="000000"/>
              </w:rPr>
              <w:t xml:space="preserve">3. Assess the constraints and opportunities facing each actor category</w:t>
            </w:r>
          </w:p>
        </w:tc>
        <w:tc>
          <w:tcPr>
            <w:tcW w:w="2500" w:type="dxa"/>
            <w:tcBorders>
              <w:top w:val="none" w:sz="0" w:color="FFFFFF"/>
              <w:bottom w:val="single" w:sz="6" w:color="000000"/>
            </w:tcBorders>
            <w:tcMar>
              <w:top w:w="60" w:type="dxa"/>
              <w:left w:w="90" w:type="dxa"/>
              <w:bottom w:w="60" w:type="dxa"/>
              <w:right w:w="90" w:type="dxa"/>
            </w:tcMar>
          </w:tcPr>
          <w:p>
            <w:pPr>
              <w:spacing w:line="240" w:lineRule="auto" w:after="20"/>
            </w:pPr>
            <w:r>
              <w:rPr>
                <w:rFonts w:ascii="Times New Roman" w:hAnsi="Times New Roman" w:cs="Times New Roman"/>
                <w:sz w:val="20"/>
                <w:szCs w:val="20"/>
                <w:color w:val="000000"/>
              </w:rPr>
              <w:t xml:space="preserve">Main operational constraint, infrastructure constraint, market-access barriers, risk management, innovation, adaptation, regulation, management-plan awareness, perceptions of market structure and policy, priority opportunities, youth involvement, diversification</w:t>
            </w:r>
          </w:p>
        </w:tc>
        <w:tc>
          <w:tcPr>
            <w:tcW w:w="3000" w:type="dxa"/>
            <w:tcBorders>
              <w:top w:val="none" w:sz="0" w:color="FFFFFF"/>
              <w:bottom w:val="single" w:sz="6" w:color="000000"/>
            </w:tcBorders>
            <w:tcMar>
              <w:top w:w="60" w:type="dxa"/>
              <w:left w:w="90" w:type="dxa"/>
              <w:bottom w:w="60" w:type="dxa"/>
              <w:right w:w="90" w:type="dxa"/>
            </w:tcMar>
          </w:tcPr>
          <w:p>
            <w:pPr>
              <w:spacing w:line="240" w:lineRule="auto" w:after="20"/>
            </w:pPr>
            <w:r>
              <w:rPr>
                <w:rFonts w:ascii="Times New Roman" w:hAnsi="Times New Roman" w:cs="Times New Roman"/>
                <w:sz w:val="20"/>
                <w:szCs w:val="20"/>
                <w:color w:val="000000"/>
              </w:rPr>
              <w:t xml:space="preserve">Frequencies and valid percentages by actor category; actor-specific Monte Carlo chi-square against study site for fishers and middlemen</w:t>
            </w:r>
          </w:p>
        </w:tc>
        <w:tc>
          <w:tcPr>
            <w:tcW w:w="1626" w:type="dxa"/>
            <w:tcBorders>
              <w:top w:val="none" w:sz="0" w:color="FFFFFF"/>
              <w:bottom w:val="single" w:sz="6" w:color="000000"/>
            </w:tcBorders>
            <w:tcMar>
              <w:top w:w="60" w:type="dxa"/>
              <w:left w:w="90" w:type="dxa"/>
              <w:bottom w:w="60" w:type="dxa"/>
              <w:right w:w="90" w:type="dxa"/>
            </w:tcMar>
          </w:tcPr>
          <w:p>
            <w:pPr>
              <w:spacing w:line="240" w:lineRule="auto" w:after="20"/>
            </w:pPr>
            <w:r>
              <w:rPr>
                <w:rFonts w:ascii="Times New Roman" w:hAnsi="Times New Roman" w:cs="Times New Roman"/>
                <w:sz w:val="20"/>
                <w:szCs w:val="20"/>
                <w:color w:val="000000"/>
              </w:rPr>
              <w:t>Tables 50–61, Figures 29–37</w:t>
            </w:r>
          </w:p>
        </w:tc>
      </w:tr>
    </w:tbl>
    <w:p w14:paraId="5330EB2A" w14:textId="77777777" w:rsidR="00221112" w:rsidRPr="00DE5E47" w:rsidRDefault="00C14051">
      <w:pPr>
        <w:pStyle w:val="Heading2"/>
        <w:jc w:val="both"/>
        <w:outlineLvl w:val="1"/>
        <w:rPr>
          <w:rFonts w:cs="Times New Roman"/>
          <w:szCs w:val="24"/>
        </w:rPr>
      </w:pPr>
      <w:bookmarkStart w:id="52047" w:name="_Toc_47"/>
      <w:bookmarkStart w:id="161" w:name="_Toc241432253"/>
      <w:r>
        <w:t>3.10 Data analysis</w:t>
      </w:r>
      <w:bookmarkEnd w:id="161"/>
      <w:bookmarkEnd w:id="52047"/>
    </w:p>
    <w:p w14:paraId="16BA87FF" w14:textId="77777777" w:rsidR="00221112" w:rsidRPr="00DE5E47" w:rsidRDefault="00C14051">
      <w:pPr>
        <w:pStyle w:val="Heading3"/>
        <w:jc w:val="both"/>
        <w:outlineLvl w:val="2"/>
        <w:rPr>
          <w:rFonts w:cs="Times New Roman"/>
        </w:rPr>
      </w:pPr>
      <w:bookmarkStart w:id="52048" w:name="_Toc_48"/>
      <w:bookmarkStart w:id="162" w:name="_Toc241432254"/>
      <w:r>
        <w:t>3.10.1 Data entry and processing</w:t>
      </w:r>
      <w:bookmarkEnd w:id="162"/>
      <w:bookmarkEnd w:id="52048"/>
    </w:p>
    <w:p w14:paraId="0CFFFE08" w14:textId="77777777" w:rsidR="00221112" w:rsidRPr="00DE5E47" w:rsidRDefault="00C14051">
      <w:pPr>
        <w:spacing w:line="480" w:lineRule="auto"/>
        <w:jc w:val="both"/>
        <w:rPr>
          <w:rFonts w:cs="Times New Roman"/>
          <w:sz w:val="24"/>
          <w:szCs w:val="24"/>
        </w:rPr>
      </w:pPr>
      <w:r>
        <w:t>Questionnaires were administered on smartphones using KoBoToolbox and KoBo Collect. Submitted records were reviewed, coded and downloaded in CSV and XLSX formats.</w:t>
      </w:r>
    </w:p>
    <w:p w14:paraId="53C13BD1" w14:textId="77777777" w:rsidR="00221112" w:rsidRPr="00DE5E47" w:rsidRDefault="00C14051">
      <w:pPr>
        <w:spacing w:line="480" w:lineRule="auto"/>
        <w:jc w:val="both"/>
        <w:rPr>
          <w:rFonts w:cs="Times New Roman"/>
          <w:sz w:val="24"/>
          <w:szCs w:val="24"/>
        </w:rPr>
      </w:pPr>
      <w:r>
        <w:t>The questionnaire followed the study objectives. Its first section covered demographic and business characteristics, the second recorded actor functions and market practices, and the third covered constraints and opportunities.</w:t>
      </w:r>
    </w:p>
    <w:p w14:paraId="3720A2A2" w14:textId="77777777" w:rsidR="00221112" w:rsidRPr="00DE5E47" w:rsidRDefault="00C14051">
      <w:pPr>
        <w:spacing w:line="480" w:lineRule="auto"/>
        <w:jc w:val="both"/>
        <w:rPr>
          <w:rFonts w:cs="Times New Roman"/>
          <w:sz w:val="24"/>
          <w:szCs w:val="24"/>
        </w:rPr>
      </w:pPr>
      <w:r>
        <w:lastRenderedPageBreak/>
        <w:t>Validation rules in the KoBo form reduced missing and out-of-range responses. Cleaning therefore focused on labels, coding consistency, duplicate checks and comparison with the original records where a value appeared unusual.</w:t>
      </w:r>
    </w:p>
    <w:p w14:paraId="7A0BF54B" w14:textId="77777777" w:rsidR="00221112" w:rsidRPr="00DE5E47" w:rsidRDefault="00C14051">
      <w:pPr>
        <w:spacing w:line="480" w:lineRule="auto"/>
        <w:jc w:val="both"/>
        <w:rPr>
          <w:rFonts w:cs="Times New Roman"/>
          <w:sz w:val="24"/>
          <w:szCs w:val="24"/>
        </w:rPr>
      </w:pPr>
      <w:r w:rsidRPr="00DE5E47">
        <w:rPr>
          <w:rFonts w:eastAsia="Times New Roman" w:cs="Times New Roman"/>
          <w:sz w:val="24"/>
          <w:szCs w:val="24"/>
        </w:rPr>
        <w:t>After cleaning, the dataset was imported into IBM SPSS Statistics. Variables were labelled by study objective and checked against the questionnaire. Fishers and middlemen were cross-tabulated separately by BMU, while hoteliers and exporters were pooled by actor because their sample sizes were small and their site coverage was uneven.</w:t>
      </w:r>
    </w:p>
    <w:p w14:paraId="37CE3349" w14:textId="77777777" w:rsidR="00221112" w:rsidRPr="00DE5E47" w:rsidRDefault="00C14051">
      <w:pPr>
        <w:spacing w:line="480" w:lineRule="auto"/>
        <w:jc w:val="both"/>
        <w:rPr>
          <w:rFonts w:cs="Times New Roman"/>
          <w:sz w:val="24"/>
          <w:szCs w:val="24"/>
        </w:rPr>
      </w:pPr>
      <w:r w:rsidRPr="00DE5E47">
        <w:rPr>
          <w:rFonts w:cs="Times New Roman"/>
          <w:sz w:val="24"/>
          <w:szCs w:val="24"/>
        </w:rPr>
        <w:t xml:space="preserve">Descriptive analysis was conducted in IBM SPSS Statistics. Categorical variables were summarised using frequencies and valid percentages within actor category. Continuous variables, including reported monthly income and mud crab prices, were summarised using the mean, standard deviation, median, first and third quartiles, minimum and maximum where valid observations were available. Every table in Chapter Four carries all four actor categories, so that fishers, middlemen, hoteliers and exporters can be compared on the same row. Fishers and middlemen were additionally cross-tabulated by study site; hoteliers and exporters were not, because their samples were small and their site coverage uneven. All charts presented in Chapter Four were generated from the same dataset in IBM SPSS Statistics.</w:t>
      </w:r>
    </w:p>
    <w:p w14:paraId="7C9246DD" w14:textId="77777777" w:rsidR="00221112" w:rsidRPr="00DE5E47" w:rsidRDefault="00C14051">
      <w:pPr>
        <w:pStyle w:val="Heading3"/>
        <w:jc w:val="both"/>
        <w:outlineLvl w:val="2"/>
        <w:rPr>
          <w:rFonts w:cs="Times New Roman"/>
        </w:rPr>
      </w:pPr>
      <w:bookmarkStart w:id="52049" w:name="_Toc_49"/>
      <w:bookmarkStart w:id="163" w:name="_Toc241432255"/>
      <w:r>
        <w:t>3.10.2 Chi-square tests of association</w:t>
      </w:r>
      <w:bookmarkEnd w:id="163"/>
      <w:bookmarkEnd w:id="52049"/>
    </w:p>
    <w:p w14:paraId="12B59A34" w14:textId="77777777" w:rsidR="00221112" w:rsidRPr="00DE5E47" w:rsidRDefault="00C14051">
      <w:pPr>
        <w:spacing w:before="100" w:beforeAutospacing="1" w:after="100" w:afterAutospacing="1" w:line="480" w:lineRule="auto"/>
        <w:jc w:val="both"/>
        <w:rPr>
          <w:rFonts w:eastAsia="Times New Roman" w:cs="Times New Roman"/>
          <w:color w:val="000000" w:themeColor="text1"/>
          <w:kern w:val="0"/>
          <w:sz w:val="24"/>
          <w:szCs w:val="24"/>
          <w:lang w:val="en-GB"/>
          <w14:ligatures w14:val="none"/>
        </w:rPr>
      </w:pPr>
      <w:r w:rsidRPr="00DE5E47">
        <w:rPr>
          <w:rFonts w:cs="Times New Roman"/>
          <w:sz w:val="24"/>
          <w:szCs w:val="24"/>
        </w:rPr>
        <w:t>Chi-square tests were used to assess associations between BMU and selected categorical variables separately for fishers and middlemen. The two actor categories were not pooled in the BMU tests because their functions and distributions differed across sites. Hoteliers and exporters were excluded from BMU significance testing because their numbers were small and site coverage was uneven.</w:t>
      </w:r>
    </w:p>
    <w:p w14:paraId="5BE97190" w14:textId="77777777" w:rsidR="00221112" w:rsidRPr="00DE5E47" w:rsidRDefault="00C14051">
      <w:pPr>
        <w:spacing w:before="100" w:beforeAutospacing="1" w:after="100" w:afterAutospacing="1" w:line="480" w:lineRule="auto"/>
        <w:jc w:val="both"/>
        <w:rPr>
          <w:rFonts w:eastAsia="Times New Roman" w:cs="Times New Roman"/>
          <w:kern w:val="0"/>
          <w:sz w:val="24"/>
          <w:szCs w:val="24"/>
          <w:lang w:val="en-GB"/>
          <w14:ligatures w14:val="none"/>
        </w:rPr>
      </w:pPr>
      <w:r w:rsidRPr="00DE5E47">
        <w:rPr>
          <w:rFonts w:eastAsia="Times New Roman" w:cs="Times New Roman"/>
          <w:sz w:val="24"/>
          <w:szCs w:val="24"/>
        </w:rPr>
        <w:lastRenderedPageBreak/>
        <w:t>The tests covered objective-linked demographic, business, functional, market and constraint variables. Because many contingency tables contained small expected counts, two-sided Monte Carlo p-values based on 10,000 samples were reported with 99% confidence intervals. Statistical significance was assessed at alpha = .05. Hoteliers and exporters were described without BMU significance tests.</w:t>
      </w:r>
    </w:p>
    <w:p>
      <w:pPr>
        <w:pStyle w:val="Heading3"/>
        <w:spacing w:line="360" w:lineRule="auto" w:after="120"/>
        <w:outlineLvl w:val="2"/>
      </w:pPr>
      <w:bookmarkStart w:id="52050" w:name="_Toc_50"/>
      <w:r>
        <w:rPr>
          <w:rFonts w:ascii="Times New Roman" w:hAnsi="Times New Roman" w:cs="Times New Roman"/>
          <w:b/>
          <w:sz w:val="24"/>
          <w:szCs w:val="24"/>
          <w:color w:val="000000"/>
        </w:rPr>
        <w:t xml:space="preserve">3.10.3 Kruskal–Wallis tests of reported prices</w:t>
      </w:r>
      <w:bookmarkEnd w:id="52050"/>
    </w:p>
    <w:p>
      <w:pPr>
        <w:spacing w:line="360" w:lineRule="auto" w:after="120"/>
      </w:pPr>
      <w:r>
        <w:rPr>
          <w:rFonts w:ascii="Times New Roman" w:hAnsi="Times New Roman" w:cs="Times New Roman"/>
          <w:sz w:val="24"/>
          <w:szCs w:val="24"/>
          <w:color w:val="000000"/>
        </w:rPr>
        <w:t xml:space="preserve">Reported mud crab prices were compared with the Kruskal–Wallis H test, a rank-based alternative to one-way analysis of variance. It was chosen because the price distributions were not normal, the actor groups were very unequal in size, and the smallest groups contained four and five observations, conditions under which a parametric test would not be dependable.</w:t>
      </w:r>
    </w:p>
    <w:p>
      <w:pPr>
        <w:spacing w:line="360" w:lineRule="auto" w:after="120"/>
      </w:pPr>
      <w:r>
        <w:rPr>
          <w:rFonts w:ascii="Times New Roman" w:hAnsi="Times New Roman" w:cs="Times New Roman"/>
          <w:sz w:val="24"/>
          <w:szCs w:val="24"/>
          <w:color w:val="000000"/>
        </w:rPr>
        <w:t xml:space="preserve">Three sets of comparisons were run, one per size grade. Price was compared across the four actor categories; fisher price was compared across the four study sites; and middleman price was compared across the three sites where traders were sampled. Hoteliers and exporters were not compared across sites for the reason given above. Statistical significance was assessed at alpha = .05. Because the survey did not record transaction-level costs, volumes or mortality, price differences between nodes are reported as gross marketing margins and shares of the end-of-chain price, never as profit.</w:t>
      </w:r>
    </w:p>
    <w:p w14:paraId="25B695C1" w14:textId="77777777" w:rsidR="00221112" w:rsidRPr="00DE5E47" w:rsidRDefault="00C14051">
      <w:pPr>
        <w:pStyle w:val="Heading2"/>
        <w:jc w:val="both"/>
        <w:outlineLvl w:val="1"/>
        <w:rPr>
          <w:rFonts w:cs="Times New Roman"/>
          <w:szCs w:val="24"/>
        </w:rPr>
      </w:pPr>
      <w:bookmarkStart w:id="52051" w:name="_Toc_51"/>
      <w:bookmarkStart w:id="164" w:name="_Toc241432256"/>
      <w:r>
        <w:t>3.11 Ethical considerations</w:t>
      </w:r>
      <w:bookmarkEnd w:id="164"/>
      <w:bookmarkEnd w:id="52051"/>
    </w:p>
    <w:p w14:paraId="689BCAED" w14:textId="77777777" w:rsidR="00221112" w:rsidRPr="00DE5E47" w:rsidRDefault="00C14051">
      <w:pPr>
        <w:spacing w:line="480" w:lineRule="auto"/>
        <w:jc w:val="both"/>
        <w:rPr>
          <w:rFonts w:cs="Times New Roman"/>
          <w:sz w:val="24"/>
          <w:szCs w:val="24"/>
        </w:rPr>
      </w:pPr>
      <w:r w:rsidRPr="00DE5E47">
        <w:rPr>
          <w:rFonts w:cs="Times New Roman"/>
          <w:sz w:val="24"/>
          <w:szCs w:val="24"/>
        </w:rPr>
        <w:t>The study adhered to ethical standards for statistical research. Respondents were interviewed based on their attainment of the legal age of 18 years; consent was sought from parents or guardians for those under 18. Anonymity and confidentiality were maintained, and participation was voluntary with the option to withdraw at any time. An ethical review certificate was obtained before data collection commenced.</w:t>
      </w:r>
      <w:bookmarkStart w:id="165" w:name="_Toc76558213"/>
    </w:p>
    <w:p w14:paraId="3BC4E0AE" w14:textId="77777777" w:rsidR="00221112" w:rsidRPr="00DE5E47" w:rsidRDefault="00221112">
      <w:pPr>
        <w:spacing w:line="480" w:lineRule="auto"/>
        <w:jc w:val="both"/>
        <w:rPr>
          <w:rFonts w:cs="Times New Roman"/>
          <w:sz w:val="24"/>
          <w:szCs w:val="24"/>
        </w:rPr>
      </w:pPr>
    </w:p>
    <w:p w14:paraId="0AEC5359" w14:textId="77777777" w:rsidR="00221112" w:rsidRPr="00DE5E47" w:rsidRDefault="00221112">
      <w:pPr>
        <w:spacing w:line="480" w:lineRule="auto"/>
        <w:jc w:val="both"/>
        <w:rPr>
          <w:rFonts w:cs="Times New Roman"/>
          <w:b/>
          <w:bCs/>
          <w:sz w:val="24"/>
          <w:szCs w:val="24"/>
        </w:rPr>
      </w:pPr>
      <w:bookmarkStart w:id="166" w:name="_Toc174281890"/>
      <w:bookmarkStart w:id="167" w:name="_Toc174281930"/>
      <w:bookmarkStart w:id="168" w:name="_Toc174282035"/>
      <w:bookmarkStart w:id="169" w:name="_Toc174281785"/>
      <w:bookmarkEnd w:id="166"/>
      <w:bookmarkEnd w:id="167"/>
      <w:bookmarkEnd w:id="168"/>
      <w:bookmarkEnd w:id="169"/>
    </w:p>
    <w:p w14:paraId="27463288" w14:textId="77777777" w:rsidR="00BC662E" w:rsidRPr="00DE5E47" w:rsidRDefault="00BC662E">
      <w:pPr>
        <w:rPr>
          <w:rFonts w:cs="Times New Roman"/>
          <w:sz w:val="24"/>
          <w:szCs w:val="24"/>
        </w:rPr>
        <w:sectPr w:rsidR="00BC662E" w:rsidRPr="00DE5E47">
          <w:footerReference w:type="default" r:id="rId17"/>
          <w:pgSz w:w="12240" w:h="15840"/>
          <w:pgMar w:top="1440" w:right="1440" w:bottom="1440" w:left="1440" w:header="504" w:footer="504" w:gutter="0"/>
          <w:cols w:space="720"/>
          <w:docGrid w:linePitch="360"/>
        </w:sectPr>
      </w:pPr>
    </w:p>
    <w:p>
      <w:pPr>
        <w:pStyle w:val="Heading1"/>
        <w:pageBreakBefore/>
        <w:spacing w:after="240" w:before="240" w:line="360"/>
        <w:jc w:val="center"/>
        <w:outlineLvl w:val="0"/>
      </w:pPr>
      <w:bookmarkStart w:id="52052" w:name="_Toc_52"/>
      <w:r>
        <w:rPr>
          <w:rFonts w:ascii="Times New Roman" w:cs="Times New Roman" w:eastAsia="Times New Roman" w:hAnsi="Times New Roman"/>
          <w:b/>
          <w:bCs/>
          <w:color w:val="000000"/>
          <w:sz w:val="28"/>
          <w:szCs w:val="28"/>
        </w:rPr>
        <w:t xml:space="preserve">CHAPTER FOUR: RESULTS</w:t>
      </w:r>
      <w:bookmarkEnd w:id="52052"/>
    </w:p>
    <w:p>
      <w:pPr>
        <w:pStyle w:val="Heading2"/>
        <w:spacing w:after="140" w:before="280" w:line="360"/>
        <w:outlineLvl w:val="1"/>
      </w:pPr>
      <w:bookmarkStart w:id="52053" w:name="_Toc_53"/>
      <w:r>
        <w:rPr>
          <w:rFonts w:ascii="Times New Roman" w:cs="Times New Roman" w:eastAsia="Times New Roman" w:hAnsi="Times New Roman"/>
          <w:b/>
          <w:bCs/>
          <w:color w:val="000000"/>
          <w:sz w:val="26"/>
          <w:szCs w:val="26"/>
        </w:rPr>
        <w:t xml:space="preserve">4.1 Introduction</w:t>
      </w:r>
      <w:bookmarkEnd w:id="52053"/>
    </w:p>
    <w:p>
      <w:pPr>
        <w:spacing w:after="120" w:before="0" w:line="360"/>
        <w:jc w:val="both"/>
      </w:pPr>
      <w:r>
        <w:rPr>
          <w:rFonts w:ascii="Times New Roman" w:cs="Times New Roman" w:eastAsia="Times New Roman" w:hAnsi="Times New Roman"/>
          <w:color w:val="000000"/>
          <w:sz w:val="24"/>
          <w:szCs w:val="24"/>
        </w:rPr>
        <w:t xml:space="preserve">This chapter presents what 96 mud crab actors on the South Coast of Kenya reported about their work. It follows the three objectives in turn. Every table carries all four actor categories — fisher, middleman, hotelier and exporter — so that the four positions in the chain can be read against one another, and each table is broken down by Beach Management Unit so that site differences remain visible.</w:t>
      </w:r>
    </w:p>
    <w:p>
      <w:pPr>
        <w:spacing w:after="120" w:before="0" w:line="360"/>
        <w:jc w:val="both"/>
      </w:pPr>
      <w:r>
        <w:rPr>
          <w:rFonts w:ascii="Times New Roman" w:cs="Times New Roman" w:eastAsia="Times New Roman" w:hAnsi="Times New Roman"/>
          <w:color w:val="000000"/>
          <w:sz w:val="24"/>
          <w:szCs w:val="24"/>
        </w:rPr>
        <w:t xml:space="preserve">Four conventions govern how the tables should be read. Percentages are valid percentages within the actor category at that site, so the denominator is the number of respondents of that actor category who answered that item at that place, never the full 96. A hyphen means the actor category had no respondents at that site at all; a zero means they had respondents there but none gave that response. The BMU p-value appears on the first row of each actor block and is reported for fishers and middlemen only. Hoteliers and exporters were not tested against site because four of the five hoteliers and all four exporters operated outside the four BMU frames, which leaves one or two respondents per cell.</w:t>
      </w:r>
    </w:p>
    <w:p>
      <w:pPr>
        <w:spacing w:after="120" w:before="0" w:line="360"/>
        <w:jc w:val="both"/>
      </w:pPr>
      <w:r>
        <w:rPr>
          <w:rFonts w:ascii="Times New Roman" w:cs="Times New Roman" w:eastAsia="Times New Roman" w:hAnsi="Times New Roman"/>
          <w:color w:val="000000"/>
          <w:sz w:val="24"/>
          <w:szCs w:val="24"/>
        </w:rPr>
        <w:t xml:space="preserve">Categorical variables were tested against BMU using Monte Carlo chi-square with 10,000 resamples, which suits the sparse tables this sample produces. Fishers and middlemen were tested separately, because a harvester and a trader perform different functions and pooling them would confuse site with role. Reported prices were compared with the Kruskal–Wallis test, which makes no assumption of normality and tolerates the very unequal group sizes here. Each group of tables closes with an interpretation of what the pattern means for the objective, and each objective closes with a comparison against previous studies.</w:t>
      </w:r>
    </w:p>
    <w:p>
      <w:pPr>
        <w:pStyle w:val="Heading2"/>
        <w:spacing w:after="140" w:before="280" w:line="360"/>
        <w:outlineLvl w:val="1"/>
      </w:pPr>
      <w:bookmarkStart w:id="52054" w:name="_Toc_54"/>
      <w:r>
        <w:rPr>
          <w:rFonts w:ascii="Times New Roman" w:cs="Times New Roman" w:eastAsia="Times New Roman" w:hAnsi="Times New Roman"/>
          <w:b/>
          <w:bCs/>
          <w:color w:val="000000"/>
          <w:sz w:val="26"/>
          <w:szCs w:val="26"/>
        </w:rPr>
        <w:t xml:space="preserve">4.2 Distribution of Respondents</w:t>
      </w:r>
      <w:bookmarkEnd w:id="52054"/>
    </w:p>
    <w:p>
      <w:pPr>
        <w:spacing w:after="120" w:before="0" w:line="360"/>
        <w:jc w:val="both"/>
      </w:pPr>
      <w:r>
        <w:rPr>
          <w:rFonts w:ascii="Times New Roman" w:cs="Times New Roman" w:eastAsia="Times New Roman" w:hAnsi="Times New Roman"/>
          <w:color w:val="000000"/>
          <w:sz w:val="24"/>
          <w:szCs w:val="24"/>
        </w:rPr>
        <w:t xml:space="preserve">All 96 respondent identifiers were unique and matched across the three objective worksheets. Landing sites were standardised into Shimoni, Majoreni, Vanga, Msambweni or an Other sites group. One medium-crab price recorded at Gasi was corrected from KSh 800 to KSh 650 per kilogram against the field records, and every figure in this chapter carries that correction.</w:t>
      </w:r>
    </w:p>
    <w:p>
      <w:pPr>
        <w:spacing w:after="0" w:before="240" w:line="240"/>
      </w:pPr>
      <w:bookmarkStart w:id="41006" w:name="_Tbl2"/>
      <w:r>
        <w:rPr>
          <w:rFonts w:ascii="Times New Roman" w:cs="Times New Roman" w:eastAsia="Times New Roman" w:hAnsi="Times New Roman"/>
          <w:b/>
          <w:bCs/>
          <w:color w:val="000000"/>
          <w:sz w:val="24"/>
          <w:szCs w:val="24"/>
        </w:rPr>
        <w:t xml:space="preserve">Table 2</w:t>
      </w:r>
      <w:bookmarkEnd w:id="41006"/>
    </w:p>
    <w:p>
      <w:pPr>
        <w:spacing w:after="120" w:before="0" w:line="240"/>
      </w:pPr>
      <w:r>
        <w:rPr>
          <w:rFonts w:ascii="Times New Roman" w:cs="Times New Roman" w:eastAsia="Times New Roman" w:hAnsi="Times New Roman"/>
          <w:b w:val="false"/>
          <w:bCs w:val="false"/>
          <w:i/>
          <w:iCs/>
          <w:color w:val="000000"/>
          <w:sz w:val="24"/>
          <w:szCs w:val="24"/>
        </w:rPr>
        <w:t xml:space="preserve">Distribution of Respondents by Actor Category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700"/>
        <w:gridCol w:w="1250"/>
        <w:gridCol w:w="1250"/>
        <w:gridCol w:w="1150"/>
        <w:gridCol w:w="1400"/>
        <w:gridCol w:w="1300"/>
        <w:gridCol w:w="976"/>
      </w:tblGrid>
      <w:tr>
        <w:trPr>
          <w:tblHeader/>
        </w:trPr>
        <w:tc>
          <w:tcPr>
            <w:tcW w:type="dxa" w:w="17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Actor category</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Shimoni</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Majoreni</w:t>
            </w:r>
          </w:p>
        </w:tc>
        <w:tc>
          <w:tcPr>
            <w:tcW w:type="dxa" w:w="11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Vanga</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Msambweni</w:t>
            </w:r>
          </w:p>
        </w:tc>
        <w:tc>
          <w:tcPr>
            <w:tcW w:type="dxa" w:w="1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Other sites</w:t>
            </w:r>
          </w:p>
        </w:tc>
        <w:tc>
          <w:tcPr>
            <w:tcW w:type="dxa" w:w="97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25 (38.5%)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 (21.5%)</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(32.3%)</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(4.6%)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(3.1%)</w:t>
            </w:r>
          </w:p>
        </w:tc>
        <w:tc>
          <w:tcPr>
            <w:tcW w:type="dxa" w:w="9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r>
      <w:tr>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 (50.0%)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 (31.8%)</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(18.2%)</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9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r>
      <w:tr>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Hotelier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(20.0%)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(80.0%)</w:t>
            </w:r>
          </w:p>
        </w:tc>
        <w:tc>
          <w:tcPr>
            <w:tcW w:type="dxa" w:w="9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r>
      <w:tr>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9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r>
      <w:tr>
        <w:tc>
          <w:tcPr>
            <w:tcW w:type="dxa" w:w="17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2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37 (38.5%)</w:t>
            </w:r>
          </w:p>
        </w:tc>
        <w:tc>
          <w:tcPr>
            <w:tcW w:type="dxa" w:w="12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21 (21.9%)</w:t>
            </w:r>
          </w:p>
        </w:tc>
        <w:tc>
          <w:tcPr>
            <w:tcW w:type="dxa" w:w="11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25 (26.0%)</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3 (3.1%)</w:t>
            </w:r>
          </w:p>
        </w:tc>
        <w:tc>
          <w:tcPr>
            <w:tcW w:type="dxa" w:w="1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10 (10.4%)</w:t>
            </w:r>
          </w:p>
        </w:tc>
        <w:tc>
          <w:tcPr>
            <w:tcW w:type="dxa" w:w="97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120" w:before="0" w:line="360"/>
        <w:jc w:val="both"/>
      </w:pPr>
      <w:r>
        <w:rPr>
          <w:rFonts w:ascii="Times New Roman" w:cs="Times New Roman" w:eastAsia="Times New Roman" w:hAnsi="Times New Roman"/>
          <w:color w:val="000000"/>
          <w:sz w:val="24"/>
          <w:szCs w:val="24"/>
        </w:rPr>
        <w:t xml:space="preserve">Fishers accounted for 65 of the 96 respondents, middlemen for 22, hoteliers for five and exporters for four. The mix differed sharply by site. Shimoni and Majoreni were the only places where fishers and middlemen were both well represented; Vanga returned 21 fishers against four middlemen; Msambweni returned three fishers and nothing else. Hoteliers and exporters sat almost entirely in the Other sites group, which is where the hotels and packhouses buying South Coast crabs actually operate.</w:t>
      </w:r>
    </w:p>
    <w:p>
      <w:pPr>
        <w:spacing w:after="0" w:before="240" w:line="240"/>
      </w:pPr>
      <w:bookmarkStart w:id="41007" w:name="_Fig5"/>
      <w:r>
        <w:rPr>
          <w:rFonts w:ascii="Times New Roman" w:cs="Times New Roman" w:eastAsia="Times New Roman" w:hAnsi="Times New Roman"/>
          <w:b/>
          <w:bCs/>
          <w:color w:val="000000"/>
          <w:sz w:val="24"/>
          <w:szCs w:val="24"/>
        </w:rPr>
        <w:t xml:space="preserve">Figure 5</w:t>
      </w:r>
      <w:bookmarkEnd w:id="41007"/>
    </w:p>
    <w:p>
      <w:pPr>
        <w:spacing w:after="120" w:before="0" w:line="240"/>
      </w:pPr>
      <w:r>
        <w:rPr>
          <w:rFonts w:ascii="Times New Roman" w:cs="Times New Roman" w:eastAsia="Times New Roman" w:hAnsi="Times New Roman"/>
          <w:i/>
          <w:iCs/>
          <w:color w:val="000000"/>
          <w:sz w:val="24"/>
          <w:szCs w:val="24"/>
        </w:rPr>
        <w:t xml:space="preserve">Composition of the Sample by Actor Category Within Each BMU</w:t>
      </w:r>
    </w:p>
    <w:p>
      <w:pPr>
        <w:spacing w:after="100"/>
        <w:jc w:val="center"/>
      </w:pPr>
      <w:r>
        <w:drawing>
          <wp:inline distT="0" distB="0" distL="0" distR="0">
            <wp:extent cx="57150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715000" cy="2809875"/>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percentage of respondents at each site falling into each actor category and sum to 100% within a site. Msambweni rests on three respondents and should be read with that in mind.</w:t>
      </w:r>
    </w:p>
    <w:p>
      <w:pPr>
        <w:spacing w:after="120" w:before="0" w:line="360"/>
        <w:jc w:val="both"/>
      </w:pPr>
      <w:r>
        <w:rPr>
          <w:rFonts w:ascii="Times New Roman" w:cs="Times New Roman" w:eastAsia="Times New Roman" w:hAnsi="Times New Roman"/>
          <w:color w:val="000000"/>
          <w:sz w:val="24"/>
          <w:szCs w:val="24"/>
        </w:rPr>
        <w:t xml:space="preserve">This distribution sets the limits of what the site comparisons can do. A four-site trader comparison was impossible because no middleman was sampled at Msambweni, so middleman tests use the three sites where traders were interviewed. Msambweni is left out of the middleman tables rather than shown as a column of zeros: that is a gap in the realised sample, not evidence that no middlemen work there.</w:t>
      </w:r>
    </w:p>
    <w:p>
      <w:pPr>
        <w:pStyle w:val="Heading2"/>
        <w:spacing w:after="140" w:before="280" w:line="360"/>
        <w:outlineLvl w:val="1"/>
      </w:pPr>
      <w:bookmarkStart w:id="52055" w:name="_Toc_55"/>
      <w:r>
        <w:rPr>
          <w:rFonts w:ascii="Times New Roman" w:cs="Times New Roman" w:eastAsia="Times New Roman" w:hAnsi="Times New Roman"/>
          <w:b/>
          <w:bCs/>
          <w:color w:val="000000"/>
          <w:sz w:val="26"/>
          <w:szCs w:val="26"/>
        </w:rPr>
        <w:t xml:space="preserve">4.3 Objective One: Profile of Mud Crab Actors and Their Characteristics</w:t>
      </w:r>
      <w:bookmarkEnd w:id="52055"/>
    </w:p>
    <w:p>
      <w:pPr>
        <w:spacing w:after="120" w:before="0" w:line="360"/>
        <w:jc w:val="both"/>
      </w:pPr>
      <w:r>
        <w:rPr>
          <w:rFonts w:ascii="Times New Roman" w:cs="Times New Roman" w:eastAsia="Times New Roman" w:hAnsi="Times New Roman"/>
          <w:color w:val="000000"/>
          <w:sz w:val="24"/>
          <w:szCs w:val="24"/>
        </w:rPr>
        <w:t xml:space="preserve">Objective One sought to profile the socio-economic and business characteristics of mud crab fishery actors. Nineteen characteristics were examined, grouped below into demographic and personal characteristics, business and operational characteristics, and knowledge, training and group membership.</w:t>
      </w:r>
    </w:p>
    <w:p>
      <w:pPr>
        <w:pStyle w:val="Heading3"/>
        <w:spacing w:after="120" w:before="240" w:line="360"/>
        <w:outlineLvl w:val="2"/>
      </w:pPr>
      <w:bookmarkStart w:id="52056" w:name="_Toc_56"/>
      <w:r>
        <w:rPr>
          <w:rFonts w:ascii="Times New Roman" w:cs="Times New Roman" w:eastAsia="Times New Roman" w:hAnsi="Times New Roman"/>
          <w:b/>
          <w:bCs/>
          <w:color w:val="000000"/>
          <w:sz w:val="24"/>
          <w:szCs w:val="24"/>
        </w:rPr>
        <w:t xml:space="preserve">4.3.1 Demographic and Personal Characteristics</w:t>
      </w:r>
      <w:bookmarkEnd w:id="52056"/>
    </w:p>
    <w:p>
      <w:pPr>
        <w:spacing w:after="0" w:before="240" w:line="240"/>
      </w:pPr>
      <w:bookmarkStart w:id="41008" w:name="_Tbl3"/>
      <w:r>
        <w:rPr>
          <w:rFonts w:ascii="Times New Roman" w:cs="Times New Roman" w:eastAsia="Times New Roman" w:hAnsi="Times New Roman"/>
          <w:b/>
          <w:bCs/>
          <w:color w:val="000000"/>
          <w:sz w:val="24"/>
          <w:szCs w:val="24"/>
        </w:rPr>
        <w:t xml:space="preserve">Table 3</w:t>
      </w:r>
      <w:bookmarkEnd w:id="41008"/>
    </w:p>
    <w:p>
      <w:pPr>
        <w:spacing w:after="120" w:before="0" w:line="240"/>
      </w:pPr>
      <w:r>
        <w:rPr>
          <w:rFonts w:ascii="Times New Roman" w:cs="Times New Roman" w:eastAsia="Times New Roman" w:hAnsi="Times New Roman"/>
          <w:b w:val="false"/>
          <w:bCs w:val="false"/>
          <w:i/>
          <w:iCs/>
          <w:color w:val="000000"/>
          <w:sz w:val="24"/>
          <w:szCs w:val="24"/>
        </w:rPr>
        <w:t xml:space="preserve">Age Group of Fishers, Middlemen, Hoteliers and Exporters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Age group</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Under 18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(6.2%)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.004</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18-35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35 (53.8%)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(64.0%)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(35.7%)</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(57.1%)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36-49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(18.5%)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(28.6%)</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50-60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(15.4%)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(35.7%)</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(14.3%)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Over 60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(6.2%)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Under 18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.932</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18-35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36-49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(50.0%)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(54.5%)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50-60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(18.2%)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Over 60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Under 18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18-35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(80.0%)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36-49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50-60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Over 60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Under 18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18-35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36-49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50-60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Over 60</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3, by actor the largest age band was 18–35 among fishers (35, 53.8%) and hoteliers (4, 80.0%), and 36–49 among middlemen (11, 50.0%) and exporters, all four of whom fell in that band. By BMU, the 18–35 band was largest among fishers at every site except Majoreni, where it tied with the 50–60 band at 5 (35.7%) each. Shimoni contained all four fishers younger than 18 (4, 16.0%); Majoreni held the largest number of fishers over 60 (3, 21.4%), although Msambweni had the highest over-60 share proportionally (1, 33.3% of its three fishers). Fisher age group was associated with BMU (p = .004). Among middlemen the 36–49 band was largest at every site where traders were sampled — 6 (54.5%) at Shimoni, 3 (42.9%) at Majoreni and 2 (50.0%) at Vanga — and middleman age was not associated with BMU (p = .932).</w:t>
      </w:r>
    </w:p>
    <w:p>
      <w:pPr>
        <w:spacing w:after="0" w:before="240" w:line="240"/>
      </w:pPr>
      <w:bookmarkStart w:id="41009" w:name="_Fig6"/>
      <w:r>
        <w:rPr>
          <w:rFonts w:ascii="Times New Roman" w:cs="Times New Roman" w:eastAsia="Times New Roman" w:hAnsi="Times New Roman"/>
          <w:b/>
          <w:bCs/>
          <w:color w:val="000000"/>
          <w:sz w:val="24"/>
          <w:szCs w:val="24"/>
        </w:rPr>
        <w:t xml:space="preserve">Figure 6</w:t>
      </w:r>
      <w:bookmarkEnd w:id="41009"/>
    </w:p>
    <w:p>
      <w:pPr>
        <w:spacing w:after="120" w:before="0" w:line="240"/>
      </w:pPr>
      <w:r>
        <w:rPr>
          <w:rFonts w:ascii="Times New Roman" w:cs="Times New Roman" w:eastAsia="Times New Roman" w:hAnsi="Times New Roman"/>
          <w:i/>
          <w:iCs/>
          <w:color w:val="000000"/>
          <w:sz w:val="24"/>
          <w:szCs w:val="24"/>
        </w:rPr>
        <w:t xml:space="preserve">Age Distribution Within Each Actor Category</w:t>
      </w:r>
    </w:p>
    <w:p>
      <w:pPr>
        <w:spacing w:after="100"/>
        <w:jc w:val="center"/>
      </w:pPr>
      <w:r>
        <w:drawing>
          <wp:inline distT="0" distB="0" distL="0" distR="0">
            <wp:extent cx="571500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715000" cy="2847975"/>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percentage of respondents within each actor category falling into each age band, so the bars for one actor sum to 100%.</w:t>
      </w:r>
    </w:p>
    <w:p>
      <w:pPr>
        <w:spacing w:after="0" w:before="240" w:line="240"/>
      </w:pPr>
      <w:bookmarkStart w:id="41010" w:name="_Fig7"/>
      <w:r>
        <w:rPr>
          <w:rFonts w:ascii="Times New Roman" w:cs="Times New Roman" w:eastAsia="Times New Roman" w:hAnsi="Times New Roman"/>
          <w:b/>
          <w:bCs/>
          <w:color w:val="000000"/>
          <w:sz w:val="24"/>
          <w:szCs w:val="24"/>
        </w:rPr>
        <w:t xml:space="preserve">Figure 7</w:t>
      </w:r>
      <w:bookmarkEnd w:id="41010"/>
    </w:p>
    <w:p>
      <w:pPr>
        <w:spacing w:after="120" w:before="0" w:line="240"/>
      </w:pPr>
      <w:r>
        <w:rPr>
          <w:rFonts w:ascii="Times New Roman" w:cs="Times New Roman" w:eastAsia="Times New Roman" w:hAnsi="Times New Roman"/>
          <w:i/>
          <w:iCs/>
          <w:color w:val="000000"/>
          <w:sz w:val="24"/>
          <w:szCs w:val="24"/>
        </w:rPr>
        <w:t xml:space="preserve">Age Distribution of Fishers Within Each BMU</w:t>
      </w:r>
    </w:p>
    <w:p>
      <w:pPr>
        <w:spacing w:after="100"/>
        <w:jc w:val="center"/>
      </w:pPr>
      <w:r>
        <w:drawing>
          <wp:inline distT="0" distB="0" distL="0" distR="0">
            <wp:extent cx="571500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715000" cy="2800350"/>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percentage of fishers within each BMU falling into each age band. The two fishers in the Other sites group are excluded from the site comparison.</w:t>
      </w:r>
    </w:p>
    <w:p>
      <w:pPr>
        <w:spacing w:after="0" w:before="240" w:line="240"/>
      </w:pPr>
      <w:bookmarkStart w:id="41011" w:name="_Tbl4"/>
      <w:r>
        <w:rPr>
          <w:rFonts w:ascii="Times New Roman" w:cs="Times New Roman" w:eastAsia="Times New Roman" w:hAnsi="Times New Roman"/>
          <w:b/>
          <w:bCs/>
          <w:color w:val="000000"/>
          <w:sz w:val="24"/>
          <w:szCs w:val="24"/>
        </w:rPr>
        <w:t xml:space="preserve">Table 4</w:t>
      </w:r>
      <w:bookmarkEnd w:id="41011"/>
    </w:p>
    <w:p>
      <w:pPr>
        <w:spacing w:after="120" w:before="0" w:line="240"/>
      </w:pPr>
      <w:r>
        <w:rPr>
          <w:rFonts w:ascii="Times New Roman" w:cs="Times New Roman" w:eastAsia="Times New Roman" w:hAnsi="Times New Roman"/>
          <w:b w:val="false"/>
          <w:bCs w:val="false"/>
          <w:i/>
          <w:iCs/>
          <w:color w:val="000000"/>
          <w:sz w:val="24"/>
          <w:szCs w:val="24"/>
        </w:rPr>
        <w:t xml:space="preserve">Gender of Fishers, Middlemen, Hoteliers and Exporters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Gender</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Female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Female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(80.0%)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Female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Female</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4 shows that the value chain was almost entirely male: all 65 fishers, all 22 middlemen, four of the five hoteliers (80.0%) and all four exporters were men. The single woman in the sample was the one hotelier recorded at Shimoni. Gender showed too little variation among fishers and middlemen to support a test of association with BMU.</w:t>
      </w:r>
    </w:p>
    <w:p>
      <w:pPr>
        <w:spacing w:after="0" w:before="240" w:line="240"/>
      </w:pPr>
      <w:bookmarkStart w:id="41012" w:name="_Tbl5"/>
      <w:r>
        <w:rPr>
          <w:rFonts w:ascii="Times New Roman" w:cs="Times New Roman" w:eastAsia="Times New Roman" w:hAnsi="Times New Roman"/>
          <w:b/>
          <w:bCs/>
          <w:color w:val="000000"/>
          <w:sz w:val="24"/>
          <w:szCs w:val="24"/>
        </w:rPr>
        <w:t xml:space="preserve">Table 5</w:t>
      </w:r>
      <w:bookmarkEnd w:id="41012"/>
    </w:p>
    <w:p>
      <w:pPr>
        <w:spacing w:after="120" w:before="0" w:line="240"/>
      </w:pPr>
      <w:r>
        <w:rPr>
          <w:rFonts w:ascii="Times New Roman" w:cs="Times New Roman" w:eastAsia="Times New Roman" w:hAnsi="Times New Roman"/>
          <w:b w:val="false"/>
          <w:bCs w:val="false"/>
          <w:i/>
          <w:iCs/>
          <w:color w:val="000000"/>
          <w:sz w:val="24"/>
          <w:szCs w:val="24"/>
        </w:rPr>
        <w:t xml:space="preserve">Highest Education Attained by Fishers, Middlemen, Hoteliers and Exporters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Highest education attained</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 formal education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17 (26.2%)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(36.0%)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(28.6%)</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.334</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Primary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44 (67.7%)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 (52.0%)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(78.6%)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 (71.4%)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Secondary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(6.2%)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Certificate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Diploma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Undergraduate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 formal education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(18.2%)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.928</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Primary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(81.8%)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Secondary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Certificate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Diploma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Undergraduate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 formal education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Primary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Secondary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Certificate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(40.0%)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Diploma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(60.0%)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Undergraduate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 formal education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Primary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Secondary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Certificate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Diploma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Undergraduate</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5, primary education was the most common level among fishers (44, 67.7%) and middlemen (16, 72.7%), while hoteliers held certificates (2, 40.0%) or diplomas (3, 60.0%) and exporters held diplomas (3, 75.0%) or an undergraduate qualification (1, 25.0%). Not one fisher or middleman reported schooling beyond secondary level, and 17 fishers (26.2%) reported no formal education at all. By BMU, the primary share among fishers ranged from 13 (52.0%) at Shimoni to 3 (100.0%) at Msambweni, and among middlemen from 4 (57.1%) at Majoreni to 9 (81.8%) at Shimoni. Education was not associated with BMU for fishers (p = .334) or middlemen (p = .928).</w:t>
      </w:r>
    </w:p>
    <w:p>
      <w:pPr>
        <w:spacing w:after="0" w:before="240" w:line="240"/>
      </w:pPr>
      <w:bookmarkStart w:id="41013" w:name="_Fig8"/>
      <w:r>
        <w:rPr>
          <w:rFonts w:ascii="Times New Roman" w:cs="Times New Roman" w:eastAsia="Times New Roman" w:hAnsi="Times New Roman"/>
          <w:b/>
          <w:bCs/>
          <w:color w:val="000000"/>
          <w:sz w:val="24"/>
          <w:szCs w:val="24"/>
        </w:rPr>
        <w:t xml:space="preserve">Figure 8</w:t>
      </w:r>
      <w:bookmarkEnd w:id="41013"/>
    </w:p>
    <w:p>
      <w:pPr>
        <w:spacing w:after="120" w:before="0" w:line="240"/>
      </w:pPr>
      <w:r>
        <w:rPr>
          <w:rFonts w:ascii="Times New Roman" w:cs="Times New Roman" w:eastAsia="Times New Roman" w:hAnsi="Times New Roman"/>
          <w:i/>
          <w:iCs/>
          <w:color w:val="000000"/>
          <w:sz w:val="24"/>
          <w:szCs w:val="24"/>
        </w:rPr>
        <w:t xml:space="preserve">Highest Education Attained Within Each Actor Category</w:t>
      </w:r>
    </w:p>
    <w:p>
      <w:pPr>
        <w:spacing w:after="100"/>
        <w:jc w:val="center"/>
      </w:pPr>
      <w:r>
        <w:drawing>
          <wp:inline distT="0" distB="0" distL="0" distR="0">
            <wp:extent cx="57150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715000" cy="2628900"/>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Segments sum to 100% within each actor category. No fisher or middleman reported education beyond secondary level, and no hotelier or exporter reported less than a certificate.</w:t>
      </w:r>
    </w:p>
    <w:p>
      <w:pPr>
        <w:spacing w:after="0" w:before="240" w:line="240"/>
      </w:pPr>
      <w:bookmarkStart w:id="41014" w:name="_Tbl6"/>
      <w:r>
        <w:rPr>
          <w:rFonts w:ascii="Times New Roman" w:cs="Times New Roman" w:eastAsia="Times New Roman" w:hAnsi="Times New Roman"/>
          <w:b/>
          <w:bCs/>
          <w:color w:val="000000"/>
          <w:sz w:val="24"/>
          <w:szCs w:val="24"/>
        </w:rPr>
        <w:t xml:space="preserve">Table 6</w:t>
      </w:r>
      <w:bookmarkEnd w:id="41014"/>
    </w:p>
    <w:p>
      <w:pPr>
        <w:spacing w:after="120" w:before="0" w:line="240"/>
      </w:pPr>
      <w:r>
        <w:rPr>
          <w:rFonts w:ascii="Times New Roman" w:cs="Times New Roman" w:eastAsia="Times New Roman" w:hAnsi="Times New Roman"/>
          <w:b w:val="false"/>
          <w:bCs w:val="false"/>
          <w:i/>
          <w:iCs/>
          <w:color w:val="000000"/>
          <w:sz w:val="24"/>
          <w:szCs w:val="24"/>
        </w:rPr>
        <w:t xml:space="preserve">Ethnic Group of Fishers, Middlemen, Hoteliers and Exporters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Ethnic group</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Digo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36 (55.4%)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(48.0%)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 (61.9%)</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.368</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Duruma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17 (26.2%)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(28.0%)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Vumba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(18.5%)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Swahili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Kikuyu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Chinese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Digo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 (68.2%)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(71.4%)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.508</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Duruma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Vumba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Swahili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Kikuyu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Chinese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Digo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(40.0%)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Duruma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Vumba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(40.0%)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Swahili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Kikuyu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Chinese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Digo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Duruma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Vumba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Swahili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Kikuyu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Chinese</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6 reports ethnic group. The Digo were the largest group among fishers (36, 55.4%) and middlemen (15, 68.2%), followed by the Duruma and the Vumba; hoteliers split between Digo (2, 40.0%), Vumba (2, 40.0%) and Duruma (1, 20.0%). Exporters drew on ethnic groups entirely absent upstream: Chinese (2, 50.0%), Kikuyu (1, 25.0%) and Swahili (1, 25.0%). Ethnicity was not associated with BMU for fishers (p = .368) or middlemen (p = .508).</w:t>
      </w:r>
    </w:p>
    <w:p>
      <w:pPr>
        <w:spacing w:after="0" w:before="240" w:line="240"/>
      </w:pPr>
      <w:bookmarkStart w:id="41015" w:name="_Tbl7"/>
      <w:r>
        <w:rPr>
          <w:rFonts w:ascii="Times New Roman" w:cs="Times New Roman" w:eastAsia="Times New Roman" w:hAnsi="Times New Roman"/>
          <w:b/>
          <w:bCs/>
          <w:color w:val="000000"/>
          <w:sz w:val="24"/>
          <w:szCs w:val="24"/>
        </w:rPr>
        <w:t xml:space="preserve">Table 7</w:t>
      </w:r>
      <w:bookmarkEnd w:id="41015"/>
    </w:p>
    <w:p>
      <w:pPr>
        <w:spacing w:after="120" w:before="0" w:line="240"/>
      </w:pPr>
      <w:r>
        <w:rPr>
          <w:rFonts w:ascii="Times New Roman" w:cs="Times New Roman" w:eastAsia="Times New Roman" w:hAnsi="Times New Roman"/>
          <w:b w:val="false"/>
          <w:bCs w:val="false"/>
          <w:i/>
          <w:iCs/>
          <w:color w:val="000000"/>
          <w:sz w:val="24"/>
          <w:szCs w:val="24"/>
        </w:rPr>
        <w:t xml:space="preserve">Marital Status of Fishers, Middlemen, Hoteliers and Exporters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Marital status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Single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 (30.8%)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(48.0%)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(35.7%)</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(14.3%)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.049</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Married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41 (63.1%)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(48.0%)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 (85.7%)</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Separated / divorced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Widowed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Single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.665</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Married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 (90.9%)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(90.9%)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Separated / divorced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Widowed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Single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(40.0%)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Married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(60.0%)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Separated / divorced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Widowed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Single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Married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Separated / divorced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Widowed</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7, most fishers (41, 63.1%) and almost all middlemen (20, 90.9%) were married, as were all four exporters; the hoteliers showed the least lopsided split, two single (40.0%) against three married (60.0%). Among fishers the married share ranged from 12 (48.0%) at Shimoni to 18 (85.7%) at Vanga, and marital status was associated with BMU at the margin (p = .049). Middleman marital status was not associated with BMU (p = .665).</w:t>
      </w:r>
    </w:p>
    <w:p>
      <w:pPr>
        <w:spacing w:after="0" w:before="240" w:line="240"/>
      </w:pPr>
      <w:bookmarkStart w:id="41016" w:name="_Tbl8"/>
      <w:r>
        <w:rPr>
          <w:rFonts w:ascii="Times New Roman" w:cs="Times New Roman" w:eastAsia="Times New Roman" w:hAnsi="Times New Roman"/>
          <w:b/>
          <w:bCs/>
          <w:color w:val="000000"/>
          <w:sz w:val="24"/>
          <w:szCs w:val="24"/>
        </w:rPr>
        <w:t xml:space="preserve">Table 8</w:t>
      </w:r>
      <w:bookmarkEnd w:id="41016"/>
    </w:p>
    <w:p>
      <w:pPr>
        <w:spacing w:after="120" w:before="0" w:line="240"/>
      </w:pPr>
      <w:r>
        <w:rPr>
          <w:rFonts w:ascii="Times New Roman" w:cs="Times New Roman" w:eastAsia="Times New Roman" w:hAnsi="Times New Roman"/>
          <w:b w:val="false"/>
          <w:bCs w:val="false"/>
          <w:i/>
          <w:iCs/>
          <w:color w:val="000000"/>
          <w:sz w:val="24"/>
          <w:szCs w:val="24"/>
        </w:rPr>
        <w:t xml:space="preserve">Years of Experience of Fishers, Middlemen, Hoteliers and Exporters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Years of experience in the mud crab fishery</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Less than 5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.204</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5-10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(33.8%)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(40.0%)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(38.1%)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11-20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(33.8%)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(48.0%)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(28.6%)</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Over 20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 (30.8%)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(50.0%)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(33.3%)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Less than 5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.747</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5-10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(13.6%)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(18.2%)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11-20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(13.6%)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(18.2%)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Over 20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(63.6%)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(85.7%)</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Less than 5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(80.0%)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5-10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11-20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Over 20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Less than 5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5-10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11-20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Over 20 years</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8 reports years of experience. Fisher experience spread fairly evenly across the 5–10 year (22, 33.8%), 11–20 year (22, 33.8%) and over-20-year (20, 30.8%) bands. Middlemen were considerably more experienced, 16 of 22 (72.7%) reporting more than twenty years, rising to 6 (85.7%) at Majoreni. Hoteliers were comparatively new to the trade, four of five (80.0%) reporting under five years, and exporters split evenly between under five years and 5–10 years (2, 50.0% each). Experience was not associated with BMU for fishers (p = .204) or middlemen (p = .747).</w:t>
      </w:r>
    </w:p>
    <w:p>
      <w:pPr>
        <w:spacing w:after="120" w:before="0" w:line="360"/>
        <w:jc w:val="both"/>
      </w:pPr>
      <w:r>
        <w:rPr>
          <w:rFonts w:ascii="Times New Roman" w:cs="Times New Roman" w:eastAsia="Times New Roman" w:hAnsi="Times New Roman"/>
          <w:color w:val="000000"/>
          <w:sz w:val="24"/>
          <w:szCs w:val="24"/>
        </w:rPr>
        <w:t xml:space="preserve">Read together, Tables 3 to 8 describe fishers and middlemen as demographically similar in some respects and distinct in others. Both groups were almost entirely male, primarily educated and drawn mainly from the Digo, Duruma and Vumba; gender showed too little variation in either group to support a test, while education and ethnicity were tested and found not to be associated with BMU. Where the two groups diverged was age and experience: fishers concentrated in the 18–35 band, with fisher age the only demographic characteristic significantly associated with BMU, while middlemen were older, concentrated in the 36–49 band, and markedly more experienced. Hoteliers and exporters stood apart from both upstream groups on education and ethnicity, holding higher qualifications throughout and, among exporters, drawing on ethnic groups entirely absent from the upstream sample. For Objective One this means the profile of a mud crab actor is determined far more by position in the chain than by the landing site at which they work.</w:t>
      </w:r>
    </w:p>
    <w:p>
      <w:pPr>
        <w:pStyle w:val="Heading3"/>
        <w:spacing w:after="120" w:before="240" w:line="360"/>
        <w:outlineLvl w:val="2"/>
      </w:pPr>
      <w:bookmarkStart w:id="52057" w:name="_Toc_57"/>
      <w:r>
        <w:rPr>
          <w:rFonts w:ascii="Times New Roman" w:cs="Times New Roman" w:eastAsia="Times New Roman" w:hAnsi="Times New Roman"/>
          <w:b/>
          <w:bCs/>
          <w:color w:val="000000"/>
          <w:sz w:val="24"/>
          <w:szCs w:val="24"/>
        </w:rPr>
        <w:t xml:space="preserve">4.3.2 Business and Operational Characteristics</w:t>
      </w:r>
      <w:bookmarkEnd w:id="52057"/>
    </w:p>
    <w:p>
      <w:pPr>
        <w:spacing w:after="0" w:before="240" w:line="240"/>
      </w:pPr>
      <w:bookmarkStart w:id="41017" w:name="_Tbl9"/>
      <w:r>
        <w:rPr>
          <w:rFonts w:ascii="Times New Roman" w:cs="Times New Roman" w:eastAsia="Times New Roman" w:hAnsi="Times New Roman"/>
          <w:b/>
          <w:bCs/>
          <w:color w:val="000000"/>
          <w:sz w:val="24"/>
          <w:szCs w:val="24"/>
        </w:rPr>
        <w:t xml:space="preserve">Table 9</w:t>
      </w:r>
      <w:bookmarkEnd w:id="41017"/>
    </w:p>
    <w:p>
      <w:pPr>
        <w:spacing w:after="120" w:before="0" w:line="240"/>
      </w:pPr>
      <w:r>
        <w:rPr>
          <w:rFonts w:ascii="Times New Roman" w:cs="Times New Roman" w:eastAsia="Times New Roman" w:hAnsi="Times New Roman"/>
          <w:b w:val="false"/>
          <w:bCs w:val="false"/>
          <w:i/>
          <w:iCs/>
          <w:color w:val="000000"/>
          <w:sz w:val="24"/>
          <w:szCs w:val="24"/>
        </w:rPr>
        <w:t xml:space="preserve">Primary Role and Business Ownership of Fishers, Middlemen, Hoteliers and Exporters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Primary role in the mud crab fishery</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Crabber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Processor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Crabber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Processor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Crabber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Processor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Crabber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Processor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Owns or manages a mud crab operation</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9 confirms that primary role coincided exactly with actor category: fishers were uniformly recorded as crabbers, middlemen as marketers, hoteliers as processors and exporters as exporters, each at 100.0%. Business ownership was equally uniform, with every respondent in all four categories reporting that they owned or managed the operation they described. Neither item varied enough within fishers or middlemen to support a test of association with BMU.</w:t>
      </w:r>
    </w:p>
    <w:p>
      <w:pPr>
        <w:spacing w:after="0" w:before="240" w:line="240"/>
      </w:pPr>
      <w:bookmarkStart w:id="41018" w:name="_Tbl10"/>
      <w:r>
        <w:rPr>
          <w:rFonts w:ascii="Times New Roman" w:cs="Times New Roman" w:eastAsia="Times New Roman" w:hAnsi="Times New Roman"/>
          <w:b/>
          <w:bCs/>
          <w:color w:val="000000"/>
          <w:sz w:val="24"/>
          <w:szCs w:val="24"/>
        </w:rPr>
        <w:t xml:space="preserve">Table 10</w:t>
      </w:r>
      <w:bookmarkEnd w:id="41018"/>
    </w:p>
    <w:p>
      <w:pPr>
        <w:spacing w:after="120" w:before="0" w:line="240"/>
      </w:pPr>
      <w:r>
        <w:rPr>
          <w:rFonts w:ascii="Times New Roman" w:cs="Times New Roman" w:eastAsia="Times New Roman" w:hAnsi="Times New Roman"/>
          <w:b w:val="false"/>
          <w:bCs w:val="false"/>
          <w:i/>
          <w:iCs/>
          <w:color w:val="000000"/>
          <w:sz w:val="24"/>
          <w:szCs w:val="24"/>
        </w:rPr>
        <w:t xml:space="preserve">Scale of Operation of Fishers, Middlemen, Hoteliers and Exporters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Scale of operation</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Small-scale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64 (98.5%)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 (95.2%)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.606</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Medium-scale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(4.8%)</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Small-scale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.050</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Medium-scale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(18.2%)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(71.4%)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Small-scale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Medium-scale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Small-scale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Medium-scale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Large-scale</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10, fisher operations were almost entirely small-scale (64, 98.5%), with a single medium-scale exception at Vanga. Middleman scale was mixed — 10 small-scale (45.5%), 10 medium-scale (45.5%) and 2 large-scale (9.1%) — and varied by site, the medium-scale share rising from 2 (18.2%) at Shimoni to 5 (71.4%) at Majoreni and 3 (75.0%) at Vanga. That association approached but did not reach conventional significance (p = .050) and should not be treated as established. All five hoteliers operated at medium scale and all four exporters at large scale. Fisher scale was not associated with BMU (p = .606).</w:t>
      </w:r>
    </w:p>
    <w:p>
      <w:pPr>
        <w:spacing w:after="0" w:before="240" w:line="240"/>
      </w:pPr>
      <w:bookmarkStart w:id="41019" w:name="_Fig9"/>
      <w:r>
        <w:rPr>
          <w:rFonts w:ascii="Times New Roman" w:cs="Times New Roman" w:eastAsia="Times New Roman" w:hAnsi="Times New Roman"/>
          <w:b/>
          <w:bCs/>
          <w:color w:val="000000"/>
          <w:sz w:val="24"/>
          <w:szCs w:val="24"/>
        </w:rPr>
        <w:t xml:space="preserve">Figure 9</w:t>
      </w:r>
      <w:bookmarkEnd w:id="41019"/>
    </w:p>
    <w:p>
      <w:pPr>
        <w:spacing w:after="120" w:before="0" w:line="240"/>
      </w:pPr>
      <w:r>
        <w:rPr>
          <w:rFonts w:ascii="Times New Roman" w:cs="Times New Roman" w:eastAsia="Times New Roman" w:hAnsi="Times New Roman"/>
          <w:i/>
          <w:iCs/>
          <w:color w:val="000000"/>
          <w:sz w:val="24"/>
          <w:szCs w:val="24"/>
        </w:rPr>
        <w:t xml:space="preserve">Scale of Operation Within Each Actor Category</w:t>
      </w:r>
    </w:p>
    <w:p>
      <w:pPr>
        <w:spacing w:after="100"/>
        <w:jc w:val="center"/>
      </w:pPr>
      <w:r>
        <w:drawing>
          <wp:inline distT="0" distB="0" distL="0" distR="0">
            <wp:extent cx="5715000" cy="2324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715000" cy="2324100"/>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percentage within each actor category. Scale rises steadily from the harvesting node to the export node.</w:t>
      </w:r>
    </w:p>
    <w:p>
      <w:pPr>
        <w:spacing w:after="0" w:before="240" w:line="240"/>
      </w:pPr>
      <w:bookmarkStart w:id="41020" w:name="_Tbl11"/>
      <w:r>
        <w:rPr>
          <w:rFonts w:ascii="Times New Roman" w:cs="Times New Roman" w:eastAsia="Times New Roman" w:hAnsi="Times New Roman"/>
          <w:b/>
          <w:bCs/>
          <w:color w:val="000000"/>
          <w:sz w:val="24"/>
          <w:szCs w:val="24"/>
        </w:rPr>
        <w:t xml:space="preserve">Table 11</w:t>
      </w:r>
      <w:bookmarkEnd w:id="41020"/>
    </w:p>
    <w:p>
      <w:pPr>
        <w:spacing w:after="120" w:before="0" w:line="240"/>
      </w:pPr>
      <w:r>
        <w:rPr>
          <w:rFonts w:ascii="Times New Roman" w:cs="Times New Roman" w:eastAsia="Times New Roman" w:hAnsi="Times New Roman"/>
          <w:b w:val="false"/>
          <w:bCs w:val="false"/>
          <w:i/>
          <w:iCs/>
          <w:color w:val="000000"/>
          <w:sz w:val="24"/>
          <w:szCs w:val="24"/>
        </w:rPr>
        <w:t xml:space="preserve">Monthly Mud Crab Income Band of Fishers, Middlemen, Hoteliers and Exporters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Monthly mud crab income band</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Below KSh 13,900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52 (80.0%)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23 (92.0%)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(78.6%)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 (61.9%)</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.057</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KSh 13,900-69,500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(38.1%)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KSh 69,501-139,000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Below KSh 13,900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KSh 13,900-69,500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KSh 69,501-139,000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Below KSh 13,900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KSh 13,900-69,500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(80.0%)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KSh 69,501-139,000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Below KSh 13,900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KSh 13,900-69,500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KSh 69,501-139,000</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3</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11 presents the monthly income band derived from mud crab activity. Most fishers fell below KSh 13,900 per month (52, 80.0%), a share ranging from 13 (61.9%) at Vanga to 3 (100.0%) at Msambweni. Every middleman fell in the next band up, KSh 13,900–69,500, a full band above the modal fisher. Four of five hoteliers (80.0%) fell in that same band and one (20.0%) in the highest; all three exporters who gave a valid figure fell in the highest band, KSh 69,501–139,000. Fisher income band was not significantly associated with BMU, although it came close (p = .057).</w:t>
      </w:r>
    </w:p>
    <w:p>
      <w:pPr>
        <w:spacing w:after="0" w:before="240" w:line="240"/>
      </w:pPr>
      <w:bookmarkStart w:id="41021" w:name="_Tbl12"/>
      <w:r>
        <w:rPr>
          <w:rFonts w:ascii="Times New Roman" w:cs="Times New Roman" w:eastAsia="Times New Roman" w:hAnsi="Times New Roman"/>
          <w:b/>
          <w:bCs/>
          <w:color w:val="000000"/>
          <w:sz w:val="24"/>
          <w:szCs w:val="24"/>
        </w:rPr>
        <w:t xml:space="preserve">Table 12</w:t>
      </w:r>
      <w:bookmarkEnd w:id="41021"/>
    </w:p>
    <w:p>
      <w:pPr>
        <w:spacing w:after="120" w:before="0" w:line="240"/>
      </w:pPr>
      <w:r>
        <w:rPr>
          <w:rFonts w:ascii="Times New Roman" w:cs="Times New Roman" w:eastAsia="Times New Roman" w:hAnsi="Times New Roman"/>
          <w:b w:val="false"/>
          <w:bCs w:val="false"/>
          <w:i/>
          <w:iCs/>
          <w:color w:val="000000"/>
          <w:sz w:val="24"/>
          <w:szCs w:val="24"/>
        </w:rPr>
        <w:t xml:space="preserve">Reported Monthly Income and Age of Respondents by Actor Category</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100"/>
        <w:gridCol w:w="1000"/>
        <w:gridCol w:w="1250"/>
        <w:gridCol w:w="1150"/>
        <w:gridCol w:w="1150"/>
        <w:gridCol w:w="1500"/>
        <w:gridCol w:w="876"/>
      </w:tblGrid>
      <w:tr>
        <w:trPr>
          <w:tblHeader/>
        </w:trPr>
        <w:tc>
          <w:tcPr>
            <w:tcW w:type="dxa" w:w="21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Actor category</w:t>
            </w:r>
          </w:p>
        </w:tc>
        <w:tc>
          <w:tcPr>
            <w:tcW w:type="dxa" w:w="10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Valid n</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w:t>
            </w:r>
          </w:p>
        </w:tc>
        <w:tc>
          <w:tcPr>
            <w:tcW w:type="dxa" w:w="11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SD</w:t>
            </w:r>
          </w:p>
        </w:tc>
        <w:tc>
          <w:tcPr>
            <w:tcW w:type="dxa" w:w="11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Mdn</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IQR (Q1–Q3)</w:t>
            </w:r>
          </w:p>
        </w:tc>
        <w:tc>
          <w:tcPr>
            <w:tcW w:type="dxa" w:w="87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Range</w:t>
            </w:r>
          </w:p>
        </w:tc>
      </w:tr>
      <w:tr>
        <w:tc>
          <w:tcPr>
            <w:tcW w:type="dxa" w:w="9026"/>
            <w:gridSpan w:val="7"/>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Reported monthly mud crab income (KSh)</w:t>
            </w:r>
          </w:p>
        </w:tc>
      </w:tr>
      <w:tr>
        <w:tc>
          <w:tcPr>
            <w:tcW w:type="dxa" w:w="2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8,969.2</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6,745.3</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5,000.0–10,000.0</w:t>
            </w:r>
          </w:p>
        </w:tc>
        <w:tc>
          <w:tcPr>
            <w:tcW w:type="dxa" w:w="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4,000.0–50,000.0</w:t>
            </w:r>
          </w:p>
        </w:tc>
      </w:tr>
      <w:tr>
        <w:tc>
          <w:tcPr>
            <w:tcW w:type="dxa" w:w="2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27,954.5</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11,407.9</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25,000.0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20,000.0–30,000.0</w:t>
            </w:r>
          </w:p>
        </w:tc>
        <w:tc>
          <w:tcPr>
            <w:tcW w:type="dxa" w:w="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15,000.0–50,000.0</w:t>
            </w:r>
          </w:p>
        </w:tc>
      </w:tr>
      <w:tr>
        <w:tc>
          <w:tcPr>
            <w:tcW w:type="dxa" w:w="2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Hotelier</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43,000.0</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34,568.8</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30,000.0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20,000.0–50,000.0</w:t>
            </w:r>
          </w:p>
        </w:tc>
        <w:tc>
          <w:tcPr>
            <w:tcW w:type="dxa" w:w="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15,000.0–100,000.0</w:t>
            </w:r>
          </w:p>
        </w:tc>
      </w:tr>
      <w:tr>
        <w:tc>
          <w:tcPr>
            <w:tcW w:type="dxa" w:w="2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90,000.0</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17,320.5</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100,000.0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85,000.0–100,000.0</w:t>
            </w:r>
          </w:p>
        </w:tc>
        <w:tc>
          <w:tcPr>
            <w:tcW w:type="dxa" w:w="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70,000.0–100,000.0</w:t>
            </w:r>
          </w:p>
        </w:tc>
      </w:tr>
      <w:tr>
        <w:tc>
          <w:tcPr>
            <w:tcW w:type="dxa" w:w="2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All actors</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17,715.8</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19,886.7</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10,000.0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5,000.0–20,000.0</w:t>
            </w:r>
          </w:p>
        </w:tc>
        <w:tc>
          <w:tcPr>
            <w:tcW w:type="dxa" w:w="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4,000.0–100,000.0</w:t>
            </w:r>
          </w:p>
        </w:tc>
      </w:tr>
      <w:tr>
        <w:tc>
          <w:tcPr>
            <w:tcW w:type="dxa" w:w="9026"/>
            <w:gridSpan w:val="7"/>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Age in completed years</w:t>
            </w:r>
          </w:p>
        </w:tc>
      </w:tr>
      <w:tr>
        <w:tc>
          <w:tcPr>
            <w:tcW w:type="dxa" w:w="2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36</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25–45</w:t>
            </w:r>
          </w:p>
        </w:tc>
        <w:tc>
          <w:tcPr>
            <w:tcW w:type="dxa" w:w="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14–77</w:t>
            </w:r>
          </w:p>
        </w:tc>
      </w:tr>
      <w:tr>
        <w:tc>
          <w:tcPr>
            <w:tcW w:type="dxa" w:w="2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44</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37–51</w:t>
            </w:r>
          </w:p>
        </w:tc>
        <w:tc>
          <w:tcPr>
            <w:tcW w:type="dxa" w:w="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24–65</w:t>
            </w:r>
          </w:p>
        </w:tc>
      </w:tr>
      <w:tr>
        <w:tc>
          <w:tcPr>
            <w:tcW w:type="dxa" w:w="2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Hotelier</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33</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29</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28–32</w:t>
            </w:r>
          </w:p>
        </w:tc>
        <w:tc>
          <w:tcPr>
            <w:tcW w:type="dxa" w:w="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26–48</w:t>
            </w:r>
          </w:p>
        </w:tc>
      </w:tr>
      <w:tr>
        <w:tc>
          <w:tcPr>
            <w:tcW w:type="dxa" w:w="2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44</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41–48</w:t>
            </w:r>
          </w:p>
        </w:tc>
        <w:tc>
          <w:tcPr>
            <w:tcW w:type="dxa" w:w="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38–48</w:t>
            </w:r>
          </w:p>
        </w:tc>
      </w:tr>
      <w:tr>
        <w:tc>
          <w:tcPr>
            <w:tcW w:type="dxa" w:w="21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All actors</w:t>
            </w:r>
          </w:p>
        </w:tc>
        <w:tc>
          <w:tcPr>
            <w:tcW w:type="dxa" w:w="10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38</w:t>
            </w:r>
          </w:p>
        </w:tc>
        <w:tc>
          <w:tcPr>
            <w:tcW w:type="dxa" w:w="11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w:t>
            </w:r>
          </w:p>
        </w:tc>
        <w:tc>
          <w:tcPr>
            <w:tcW w:type="dxa" w:w="11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36</w:t>
            </w:r>
          </w:p>
        </w:tc>
        <w:tc>
          <w:tcPr>
            <w:tcW w:type="dxa" w:w="15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27–48</w:t>
            </w:r>
          </w:p>
        </w:tc>
        <w:tc>
          <w:tcPr>
            <w:tcW w:type="dxa" w:w="87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14–77</w:t>
            </w:r>
          </w:p>
        </w:tc>
      </w:tr>
    </w:tbl>
    <w:p>
      <w:pPr>
        <w:spacing w:after="120" w:before="0" w:line="360"/>
        <w:jc w:val="both"/>
      </w:pPr>
      <w:r>
        <w:rPr>
          <w:rFonts w:ascii="Times New Roman" w:cs="Times New Roman" w:eastAsia="Times New Roman" w:hAnsi="Times New Roman"/>
          <w:color w:val="000000"/>
          <w:sz w:val="24"/>
          <w:szCs w:val="24"/>
        </w:rPr>
        <w:t xml:space="preserve">Table 12 gives the underlying continuous figures. Fishers averaged KSh 8,969.2 a month with a median of KSh 6,000.0; middlemen averaged KSh 27,954.5; hoteliers KSh 43,000.0; and the three exporters who answered averaged KSh 90,000.0 with a median of KSh 100,000.0. An exporter therefore reported roughly ten times the monthly mud crab income of a fisher. Mean age rose from 36 years among fishers to 44 among both middlemen and exporters, while hoteliers averaged 33.</w:t>
      </w:r>
    </w:p>
    <w:p>
      <w:pPr>
        <w:spacing w:after="0" w:before="240" w:line="240"/>
      </w:pPr>
      <w:bookmarkStart w:id="41022" w:name="_Fig10"/>
      <w:r>
        <w:rPr>
          <w:rFonts w:ascii="Times New Roman" w:cs="Times New Roman" w:eastAsia="Times New Roman" w:hAnsi="Times New Roman"/>
          <w:b/>
          <w:bCs/>
          <w:color w:val="000000"/>
          <w:sz w:val="24"/>
          <w:szCs w:val="24"/>
        </w:rPr>
        <w:t xml:space="preserve">Figure 10</w:t>
      </w:r>
      <w:bookmarkEnd w:id="41022"/>
    </w:p>
    <w:p>
      <w:pPr>
        <w:spacing w:after="120" w:before="0" w:line="240"/>
      </w:pPr>
      <w:r>
        <w:rPr>
          <w:rFonts w:ascii="Times New Roman" w:cs="Times New Roman" w:eastAsia="Times New Roman" w:hAnsi="Times New Roman"/>
          <w:i/>
          <w:iCs/>
          <w:color w:val="000000"/>
          <w:sz w:val="24"/>
          <w:szCs w:val="24"/>
        </w:rPr>
        <w:t xml:space="preserve">Monthly Mud Crab Income Band Within Each Actor Category</w:t>
      </w:r>
    </w:p>
    <w:p>
      <w:pPr>
        <w:spacing w:after="100"/>
        <w:jc w:val="center"/>
      </w:pPr>
      <w:r>
        <w:drawing>
          <wp:inline distT="0" distB="0" distL="0" distR="0">
            <wp:extent cx="57150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715000" cy="2619375"/>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Segments sum to 100% within each actor category. One exporter gave no valid income figure and is excluded from the exporter column.</w:t>
      </w:r>
    </w:p>
    <w:p>
      <w:pPr>
        <w:spacing w:after="0" w:before="240" w:line="240"/>
      </w:pPr>
      <w:bookmarkStart w:id="41023" w:name="_Tbl13"/>
      <w:r>
        <w:rPr>
          <w:rFonts w:ascii="Times New Roman" w:cs="Times New Roman" w:eastAsia="Times New Roman" w:hAnsi="Times New Roman"/>
          <w:b/>
          <w:bCs/>
          <w:color w:val="000000"/>
          <w:sz w:val="24"/>
          <w:szCs w:val="24"/>
        </w:rPr>
        <w:t xml:space="preserve">Table 13</w:t>
      </w:r>
      <w:bookmarkEnd w:id="41023"/>
    </w:p>
    <w:p>
      <w:pPr>
        <w:spacing w:after="120" w:before="0" w:line="240"/>
      </w:pPr>
      <w:r>
        <w:rPr>
          <w:rFonts w:ascii="Times New Roman" w:cs="Times New Roman" w:eastAsia="Times New Roman" w:hAnsi="Times New Roman"/>
          <w:b w:val="false"/>
          <w:bCs w:val="false"/>
          <w:i/>
          <w:iCs/>
          <w:color w:val="000000"/>
          <w:sz w:val="24"/>
          <w:szCs w:val="24"/>
        </w:rPr>
        <w:t xml:space="preserve">Other Income Activities, Operating Licence and Loan Use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Engages in other income activities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(28.0%)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(4.8%)</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.234</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52 (80.0%)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 (72.0%)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(78.6%)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 (95.2%)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Holds an operating licence</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(12.5%)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(15.4%)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(14.3%)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.840</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56 (87.5%)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23 (92.0%)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(84.6%)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 (85.7%)</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(18.2%)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.580</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(81.8%)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(71.4%)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Uses loans to facilitate business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.311</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13 covers three indicators of business formality. Most fishers relied on mud crab fishing as their sole income source, only 13 (20.0%) reporting another activity, while every middleman, hotelier and exporter reported additional income. Operating licences were held by 8 of 64 fishers (12.5%) and 6 of 22 middlemen (27.3%) against every hotelier and exporter. No fisher used a business loan at all, whereas 16 middlemen (72.7%) did, rising to all four (100.0%) at Vanga, and two of the four exporters (50.0%). None of the three items was significantly associated with BMU among fishers or middlemen.</w:t>
      </w:r>
    </w:p>
    <w:p>
      <w:pPr>
        <w:spacing w:after="0" w:before="240" w:line="240"/>
      </w:pPr>
      <w:bookmarkStart w:id="41024" w:name="_Fig11"/>
      <w:r>
        <w:rPr>
          <w:rFonts w:ascii="Times New Roman" w:cs="Times New Roman" w:eastAsia="Times New Roman" w:hAnsi="Times New Roman"/>
          <w:b/>
          <w:bCs/>
          <w:color w:val="000000"/>
          <w:sz w:val="24"/>
          <w:szCs w:val="24"/>
        </w:rPr>
        <w:t xml:space="preserve">Figure 11</w:t>
      </w:r>
      <w:bookmarkEnd w:id="41024"/>
    </w:p>
    <w:p>
      <w:pPr>
        <w:spacing w:after="120" w:before="0" w:line="240"/>
      </w:pPr>
      <w:r>
        <w:rPr>
          <w:rFonts w:ascii="Times New Roman" w:cs="Times New Roman" w:eastAsia="Times New Roman" w:hAnsi="Times New Roman"/>
          <w:i/>
          <w:iCs/>
          <w:color w:val="000000"/>
          <w:sz w:val="24"/>
          <w:szCs w:val="24"/>
        </w:rPr>
        <w:t xml:space="preserve">Licensing, Credit, Training and Collective Membership by Actor Category</w:t>
      </w:r>
    </w:p>
    <w:p>
      <w:pPr>
        <w:spacing w:after="100"/>
        <w:jc w:val="center"/>
      </w:pPr>
      <w:r>
        <w:drawing>
          <wp:inline distT="0" distB="0" distL="0" distR="0">
            <wp:extent cx="571500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715000" cy="2228850"/>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percentage answering Yes within each actor category. The label no data marks an item the actor category did not complete, which is different from a zero.</w:t>
      </w:r>
    </w:p>
    <w:p>
      <w:pPr>
        <w:spacing w:after="0" w:before="240" w:line="240"/>
      </w:pPr>
      <w:bookmarkStart w:id="41025" w:name="_Tbl14"/>
      <w:r>
        <w:rPr>
          <w:rFonts w:ascii="Times New Roman" w:cs="Times New Roman" w:eastAsia="Times New Roman" w:hAnsi="Times New Roman"/>
          <w:b/>
          <w:bCs/>
          <w:color w:val="000000"/>
          <w:sz w:val="24"/>
          <w:szCs w:val="24"/>
        </w:rPr>
        <w:t xml:space="preserve">Table 14</w:t>
      </w:r>
      <w:bookmarkEnd w:id="41025"/>
    </w:p>
    <w:p>
      <w:pPr>
        <w:spacing w:after="120" w:before="0" w:line="240"/>
      </w:pPr>
      <w:r>
        <w:rPr>
          <w:rFonts w:ascii="Times New Roman" w:cs="Times New Roman" w:eastAsia="Times New Roman" w:hAnsi="Times New Roman"/>
          <w:b w:val="false"/>
          <w:bCs w:val="false"/>
          <w:i/>
          <w:iCs/>
          <w:color w:val="000000"/>
          <w:sz w:val="24"/>
          <w:szCs w:val="24"/>
        </w:rPr>
        <w:t xml:space="preserve">Main Source of Business Credit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Main source of business credit</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.124</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Formal institutions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Middlemen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61 (93.8%)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 (92.9%)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 (90.5%)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Middlemen and relatives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(6.2%)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(9.5%)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(54.5%)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(36.4%)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.099</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Formal institutions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Middlemen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(63.6%)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Middlemen and relatives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Formal institutions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Middlemen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Middlemen and relatives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Formal institutions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Middlemen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Middlemen and relatives</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14 shows where credit came from. Fishers who accessed credit relied overwhelmingly on middlemen (61, 93.8%), with a further 4 (6.2%) naming middlemen together with relatives; the middleman share reached 25 (100.0%) at Shimoni. Middlemen themselves relied more on exporters (12, 54.5%) than on other middlemen (10, 45.5%), the exporter share rising to all four (100.0%) at Vanga. All four exporters relied on formal institutions. No hotelier reported a credit source. Credit source was not significantly associated with BMU for fishers (p = .124) or middlemen (p = .099).</w:t>
      </w:r>
    </w:p>
    <w:p>
      <w:pPr>
        <w:spacing w:after="120" w:before="0" w:line="360"/>
        <w:jc w:val="both"/>
      </w:pPr>
      <w:r>
        <w:rPr>
          <w:rFonts w:ascii="Times New Roman" w:cs="Times New Roman" w:eastAsia="Times New Roman" w:hAnsi="Times New Roman"/>
          <w:color w:val="000000"/>
          <w:sz w:val="24"/>
          <w:szCs w:val="24"/>
        </w:rPr>
        <w:t xml:space="preserve">Considered together, Tables 9 to 14 describe a business structure that scales and formalises further down the chain. Scale rose from fishers, almost uniformly small-scale, through middlemen, whose scale varied by site and approached significance, to hoteliers at medium scale and exporters at large scale. Income followed the same gradient, and formal licensing was rare upstream but universal downstream. Credit traced the same line in reverse: fishers who borrowed relied on middlemen, middlemen who borrowed relied on exporters, and exporters relied on banks — a single chain of credit dependency running from the landing beach to the export market. For Objective One this is the clearest evidence that the actor categories are not merely different occupations but successive positions of unequal formality and unequal access to finance.</w:t>
      </w:r>
    </w:p>
    <w:p>
      <w:pPr>
        <w:pStyle w:val="Heading3"/>
        <w:spacing w:after="120" w:before="240" w:line="360"/>
        <w:outlineLvl w:val="2"/>
      </w:pPr>
      <w:bookmarkStart w:id="52058" w:name="_Toc_58"/>
      <w:r>
        <w:rPr>
          <w:rFonts w:ascii="Times New Roman" w:cs="Times New Roman" w:eastAsia="Times New Roman" w:hAnsi="Times New Roman"/>
          <w:b/>
          <w:bCs/>
          <w:color w:val="000000"/>
          <w:sz w:val="24"/>
          <w:szCs w:val="24"/>
        </w:rPr>
        <w:t xml:space="preserve">4.3.3 Knowledge, Training and Group Membership</w:t>
      </w:r>
      <w:bookmarkEnd w:id="52058"/>
    </w:p>
    <w:p>
      <w:pPr>
        <w:spacing w:after="0" w:before="240" w:line="240"/>
      </w:pPr>
      <w:bookmarkStart w:id="41026" w:name="_Tbl15"/>
      <w:r>
        <w:rPr>
          <w:rFonts w:ascii="Times New Roman" w:cs="Times New Roman" w:eastAsia="Times New Roman" w:hAnsi="Times New Roman"/>
          <w:b/>
          <w:bCs/>
          <w:color w:val="000000"/>
          <w:sz w:val="24"/>
          <w:szCs w:val="24"/>
        </w:rPr>
        <w:t xml:space="preserve">Table 15</w:t>
      </w:r>
      <w:bookmarkEnd w:id="41026"/>
    </w:p>
    <w:p>
      <w:pPr>
        <w:spacing w:after="120" w:before="0" w:line="240"/>
      </w:pPr>
      <w:r>
        <w:rPr>
          <w:rFonts w:ascii="Times New Roman" w:cs="Times New Roman" w:eastAsia="Times New Roman" w:hAnsi="Times New Roman"/>
          <w:b w:val="false"/>
          <w:bCs w:val="false"/>
          <w:i/>
          <w:iCs/>
          <w:color w:val="000000"/>
          <w:sz w:val="24"/>
          <w:szCs w:val="24"/>
        </w:rPr>
        <w:t xml:space="preserve">Knowledge Acquisition and Formal Training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How mud crab knowledge and skills were acquired</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Family tradition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41 (64.1%)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 (79.2%)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(52.4%)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.194</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Other source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23 (35.9%)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(20.8%)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(47.6%)</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Family tradition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Other source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Family tradition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Other source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Family tradition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Other source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Received formal mud crab training</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(7.7%)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.035</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60 (92.3%)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24 (96.0%)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(78.6%)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15 covers how fishers learned the trade and whether they had been trained. Both items were put to fishers only. Family tradition was the leading route into the fishery (41 of 64, 64.1%), ranging from 19 (79.2%) at Shimoni to 1 (33.3%) at Msambweni, and was not associated with BMU (p = .194). Formal training was rare: only 5 of 65 fishers (7.7%) had received any, and training did vary by site (p = .035), with 3 of 14 trained fishers at Majoreni (21.4%) against 1 of 25 at Shimoni (4.0%) and none at Vanga.</w:t>
      </w:r>
    </w:p>
    <w:p>
      <w:pPr>
        <w:spacing w:after="0" w:before="240" w:line="240"/>
      </w:pPr>
      <w:bookmarkStart w:id="41027" w:name="_Tbl16"/>
      <w:r>
        <w:rPr>
          <w:rFonts w:ascii="Times New Roman" w:cs="Times New Roman" w:eastAsia="Times New Roman" w:hAnsi="Times New Roman"/>
          <w:b/>
          <w:bCs/>
          <w:color w:val="000000"/>
          <w:sz w:val="24"/>
          <w:szCs w:val="24"/>
        </w:rPr>
        <w:t xml:space="preserve">Table 16</w:t>
      </w:r>
      <w:bookmarkEnd w:id="41027"/>
    </w:p>
    <w:p>
      <w:pPr>
        <w:spacing w:after="120" w:before="0" w:line="240"/>
      </w:pPr>
      <w:r>
        <w:rPr>
          <w:rFonts w:ascii="Times New Roman" w:cs="Times New Roman" w:eastAsia="Times New Roman" w:hAnsi="Times New Roman"/>
          <w:b w:val="false"/>
          <w:bCs w:val="false"/>
          <w:i/>
          <w:iCs/>
          <w:color w:val="000000"/>
          <w:sz w:val="24"/>
          <w:szCs w:val="24"/>
        </w:rPr>
        <w:t xml:space="preserve">Cooperative Membership, Self-Help Group Participation and Primary Market Supplied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Member of a cooperative or association</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Participates in a self-help group</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Primary market supplied</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Local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Local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Local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Local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 markets</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16, no fisher, middleman, hotelier or exporter reported membership of a cooperative or association, or participation in a self-help group. The figure was 0% in every actor category at every site. Primary market divided cleanly by actor: fishers, middlemen and hoteliers supplied local markets exclusively, while all four exporters supplied export markets exclusively.</w:t>
      </w:r>
    </w:p>
    <w:p>
      <w:pPr>
        <w:spacing w:after="120" w:before="0" w:line="360"/>
        <w:jc w:val="both"/>
      </w:pPr>
      <w:r>
        <w:rPr>
          <w:rFonts w:ascii="Times New Roman" w:cs="Times New Roman" w:eastAsia="Times New Roman" w:hAnsi="Times New Roman"/>
          <w:color w:val="000000"/>
          <w:sz w:val="24"/>
          <w:szCs w:val="24"/>
        </w:rPr>
        <w:t xml:space="preserve">Tables 15 and 16 together point to a fishery with very little institutional support or formal organisation. Most fishers learned the trade at home rather than through instruction, and fewer than one in twelve had received any training. Not one respondent in any actor category, upstream or downstream, belonged to a cooperative, an association or a self-help group. The single point of formal structure in the chain was the market channel itself, which divided the domestic and international segments of the trade cleanly and categorically. For Objective One, the absence of any collective body at any node is the most consequential single finding: it means every actor in this chain negotiates alone.</w:t>
      </w:r>
    </w:p>
    <w:p>
      <w:pPr>
        <w:pStyle w:val="Heading3"/>
        <w:spacing w:after="120" w:before="240" w:line="360"/>
        <w:outlineLvl w:val="2"/>
      </w:pPr>
      <w:bookmarkStart w:id="52059" w:name="_Toc_59"/>
      <w:r>
        <w:rPr>
          <w:rFonts w:ascii="Times New Roman" w:cs="Times New Roman" w:eastAsia="Times New Roman" w:hAnsi="Times New Roman"/>
          <w:b/>
          <w:bCs/>
          <w:color w:val="000000"/>
          <w:sz w:val="24"/>
          <w:szCs w:val="24"/>
        </w:rPr>
        <w:t xml:space="preserve">4.3.4 Summary of Objective One</w:t>
      </w:r>
      <w:bookmarkEnd w:id="52059"/>
    </w:p>
    <w:p>
      <w:pPr>
        <w:spacing w:after="120" w:before="0" w:line="360"/>
        <w:jc w:val="both"/>
      </w:pPr>
      <w:r>
        <w:rPr>
          <w:rFonts w:ascii="Times New Roman" w:cs="Times New Roman" w:eastAsia="Times New Roman" w:hAnsi="Times New Roman"/>
          <w:color w:val="000000"/>
          <w:sz w:val="24"/>
          <w:szCs w:val="24"/>
        </w:rPr>
        <w:t xml:space="preserve">Objective One asked who the mud crab actors are and what characterises them. The answer is four groups that differ systematically and in the same direction on almost every measure. Fishers were younger, schooled to primary level or below, small-scale, minimally licensed, untrained, un-diversified and financed by the same middlemen who bought from them. Middlemen were older, far more experienced, better capitalised and connected to exporters. Hoteliers and exporters were formally qualified, fully licensed and operating at a scale upstream actors did not reach. Of the nineteen characteristics examined, only fisher age group, fisher marital status and fisher training showed a significant association with BMU, and middleman scale of operation approached one. The profile of a mud crab actor is therefore set overwhelmingly by position in the chain, not by the landing site at which they work.</w:t>
      </w:r>
    </w:p>
    <w:p>
      <w:pPr>
        <w:pStyle w:val="Heading3"/>
        <w:spacing w:after="120" w:before="240" w:line="360"/>
        <w:outlineLvl w:val="2"/>
      </w:pPr>
      <w:bookmarkStart w:id="52060" w:name="_Toc_60"/>
      <w:r>
        <w:rPr>
          <w:rFonts w:ascii="Times New Roman" w:cs="Times New Roman" w:eastAsia="Times New Roman" w:hAnsi="Times New Roman"/>
          <w:b/>
          <w:bCs/>
          <w:color w:val="000000"/>
          <w:sz w:val="24"/>
          <w:szCs w:val="24"/>
        </w:rPr>
        <w:t xml:space="preserve">4.3.5 Discussion of Findings in Relation to Previous Studies</w:t>
      </w:r>
      <w:bookmarkEnd w:id="52060"/>
    </w:p>
    <w:p>
      <w:pPr>
        <w:spacing w:after="120" w:before="0" w:line="360"/>
        <w:jc w:val="both"/>
      </w:pPr>
      <w:r>
        <w:rPr>
          <w:rFonts w:ascii="Times New Roman" w:cs="Times New Roman" w:eastAsia="Times New Roman" w:hAnsi="Times New Roman"/>
          <w:color w:val="000000"/>
          <w:sz w:val="24"/>
          <w:szCs w:val="24"/>
        </w:rPr>
        <w:t xml:space="preserve">The demographic profile indicates participation concentrated among young-to-middle-aged adults and overwhelmingly male. This broadly agrees with accounts of the Kenyan mud crab fishery as a small-scale coastal livelihood embedded in mangrove-dependent communities (Mirera, 2017a; Fondo &amp; Ogutu, 2021). The significant association between fisher age and BMU, set against non-significant differences for the other demographic characteristics, extends that literature by showing that age composition can vary locally even where the wider social profile is comparatively uniform. The near absence of women should be read as a feature of this sampling frame rather than proof that women are absent from crab-related livelihoods, particularly because the hotelier and exporter samples were very small.</w:t>
      </w:r>
    </w:p>
    <w:p>
      <w:pPr>
        <w:spacing w:after="120" w:before="0" w:line="360"/>
        <w:jc w:val="both"/>
      </w:pPr>
      <w:r>
        <w:rPr>
          <w:rFonts w:ascii="Times New Roman" w:cs="Times New Roman" w:eastAsia="Times New Roman" w:hAnsi="Times New Roman"/>
          <w:color w:val="000000"/>
          <w:sz w:val="24"/>
          <w:szCs w:val="24"/>
        </w:rPr>
        <w:t xml:space="preserve">Education, ethnicity and marital status describe a socially differentiated but predominantly small-scale fishery. Fishers and middlemen were largely primary-educated whereas hoteliers and exporters held higher qualifications. This downstream rise in attainment is consistent with the distinction drawn in the literature between community-level harvesting and more formal market-facing activity, although the cited studies do not establish education as the cause of occupational position (Mirera, 2014a, 2017a). Neither ethnicity nor marital status showed a significant BMU association among middlemen, so these results should be read descriptively and not as evidence that either characteristic determines entry into the chain.</w:t>
      </w:r>
    </w:p>
    <w:p>
      <w:pPr>
        <w:spacing w:after="120" w:before="0" w:line="360"/>
        <w:jc w:val="both"/>
      </w:pPr>
      <w:r>
        <w:rPr>
          <w:rFonts w:ascii="Times New Roman" w:cs="Times New Roman" w:eastAsia="Times New Roman" w:hAnsi="Times New Roman"/>
          <w:color w:val="000000"/>
          <w:sz w:val="24"/>
          <w:szCs w:val="24"/>
        </w:rPr>
        <w:t xml:space="preserve">Differences in experience, role and ownership point to distinct positions along the chain. Fishers were primarily harvesters, middlemen occupied trading and aggregation roles with markedly longer experience, and hoteliers and exporters represented downstream buying and marketing functions. This role differentiation agrees with the value-chain structure described in reviews of the Kenyan fishery, which separate harvesting from aggregation and market access (Mirera, 2017a; Fondo &amp; Ogutu, 2021). The present data extend those accounts by showing that ownership was universal at every node, so the gradient in earnings and scale cannot be explained by differences in who owns the enterprise.</w:t>
      </w:r>
    </w:p>
    <w:p>
      <w:pPr>
        <w:spacing w:after="120" w:before="0" w:line="360"/>
        <w:jc w:val="both"/>
      </w:pPr>
      <w:r>
        <w:rPr>
          <w:rFonts w:ascii="Times New Roman" w:cs="Times New Roman" w:eastAsia="Times New Roman" w:hAnsi="Times New Roman"/>
          <w:color w:val="000000"/>
          <w:sz w:val="24"/>
          <w:szCs w:val="24"/>
        </w:rPr>
        <w:t xml:space="preserve">Scale and income increased toward the downstream end of the chain, and middleman scale also varied by site, although the association only approached significance and should not be treated as significant. This gradient is compatible with concerns in Kenyan fisheries research about unequal access to markets, services and value addition (Fondo &amp; Ogutu, 2021). It extends earlier work by presenting qualifications, scale, income, licensing and formalisation together as a linked downstream pattern. It does not demonstrate causality, and the hotelier and exporter estimates are especially uncertain because those samples were very small and drawn mainly from outside the four BMUs.</w:t>
      </w:r>
    </w:p>
    <w:p>
      <w:pPr>
        <w:spacing w:after="120" w:before="0" w:line="360"/>
        <w:jc w:val="both"/>
      </w:pPr>
      <w:r>
        <w:rPr>
          <w:rFonts w:ascii="Times New Roman" w:cs="Times New Roman" w:eastAsia="Times New Roman" w:hAnsi="Times New Roman"/>
          <w:color w:val="000000"/>
          <w:sz w:val="24"/>
          <w:szCs w:val="24"/>
        </w:rPr>
        <w:t xml:space="preserve">Credit relationships reveal vertical dependence within the chain. Fishers who accessed credit relied overwhelmingly on middlemen, middlemen more often on exporters, and exporters on formal institutions. Crona et al. (2016) describe such arrangements as enabling and constraining at once: the advance solves an immediate cash problem while narrowing where the seller can sell. Béné et al. (2007) treat informal credit in small-scale fisheries as both safety net and mechanism of persistent low returns. The present inventory cannot establish the terms of these arrangements or whether they were beneficial or exploitative, but it does show that the person extending credit to a fisher is the same person buying from him.</w:t>
      </w:r>
    </w:p>
    <w:p>
      <w:pPr>
        <w:spacing w:after="120" w:before="0" w:line="360"/>
        <w:jc w:val="both"/>
      </w:pPr>
      <w:r>
        <w:rPr>
          <w:rFonts w:ascii="Times New Roman" w:cs="Times New Roman" w:eastAsia="Times New Roman" w:hAnsi="Times New Roman"/>
          <w:color w:val="000000"/>
          <w:sz w:val="24"/>
          <w:szCs w:val="24"/>
        </w:rPr>
        <w:t xml:space="preserve">Knowledge transmission remained predominantly informal, with family tradition the leading route into fishing and formal training rare. This agrees with Mirera’s (2014a) account of the importance of organised community settings for learning and livelihood development, and with his review of a fishery grounded in local practice (Mirera, 2017a). The rarity of formal training diverges from the capacity-building orientation emphasised in organised aquaculture initiatives, but that is a difference between settings rather than evidence that such initiatives were ineffective.</w:t>
      </w:r>
    </w:p>
    <w:p>
      <w:pPr>
        <w:spacing w:after="120" w:before="0" w:line="360"/>
        <w:jc w:val="both"/>
      </w:pPr>
      <w:r>
        <w:rPr>
          <w:rFonts w:ascii="Times New Roman" w:cs="Times New Roman" w:eastAsia="Times New Roman" w:hAnsi="Times New Roman"/>
          <w:color w:val="000000"/>
          <w:sz w:val="24"/>
          <w:szCs w:val="24"/>
        </w:rPr>
        <w:t xml:space="preserve">The complete absence of cooperative or self-help-group membership contrasts sharply with the organised community-group model examined by Mirera (2014a), where organisation was integral to small-scale mud crab aquaculture, and supports policy calls for stronger institutions and coordination in fisheries development (Fondo &amp; Ogutu, 2021). Gutiérrez et al. (2011) found that leadership and clear incentives, rather than the existence of a group, separate successful cases from the rest; that nothing at all exists here, at any node, suggests earlier attempts offered members nothing they could see. The divergence is readily explained by context: evidence from organised aquaculture groups should not be assumed to describe independent capture-fishery actors.</w:t>
      </w:r>
    </w:p>
    <w:p>
      <w:pPr>
        <w:spacing w:after="120" w:before="0" w:line="360"/>
        <w:jc w:val="both"/>
      </w:pPr>
      <w:r>
        <w:rPr>
          <w:rFonts w:ascii="Times New Roman" w:cs="Times New Roman" w:eastAsia="Times New Roman" w:hAnsi="Times New Roman"/>
          <w:color w:val="000000"/>
          <w:sz w:val="24"/>
          <w:szCs w:val="24"/>
        </w:rPr>
        <w:t xml:space="preserve">Taken as a whole, Objective One depicts an upstream-to-downstream gradient in qualifications, scale, income, licensing and formalisation, with fishers occupying the least formal and most livelihood-dependent position. This accords with literature identifying persistent constraints to inclusive value addition and institutional development in Kenya’s fisheries (Fondo &amp; Ogutu, 2021), while extending it with actor-level evidence tested against site. It should not be read as a population estimate for hoteliers or exporters, nor as proof that downstream position causes higher income or formalisation.</w:t>
      </w:r>
    </w:p>
    <w:p>
      <w:pPr>
        <w:pStyle w:val="Heading2"/>
        <w:spacing w:after="140" w:before="280" w:line="360"/>
        <w:outlineLvl w:val="1"/>
      </w:pPr>
      <w:bookmarkStart w:id="52061" w:name="_Toc_61"/>
      <w:r>
        <w:rPr>
          <w:rFonts w:ascii="Times New Roman" w:cs="Times New Roman" w:eastAsia="Times New Roman" w:hAnsi="Times New Roman"/>
          <w:b/>
          <w:bCs/>
          <w:color w:val="000000"/>
          <w:sz w:val="26"/>
          <w:szCs w:val="26"/>
        </w:rPr>
        <w:t xml:space="preserve">4.4 Objective Two: Functions Performed by Actors at Each Market Node</w:t>
      </w:r>
      <w:bookmarkEnd w:id="52061"/>
    </w:p>
    <w:p>
      <w:pPr>
        <w:spacing w:after="120" w:before="0" w:line="360"/>
        <w:jc w:val="both"/>
      </w:pPr>
      <w:r>
        <w:rPr>
          <w:rFonts w:ascii="Times New Roman" w:cs="Times New Roman" w:eastAsia="Times New Roman" w:hAnsi="Times New Roman"/>
          <w:color w:val="000000"/>
          <w:sz w:val="24"/>
          <w:szCs w:val="24"/>
        </w:rPr>
        <w:t xml:space="preserve">Objective Two examined what each actor category actually does with a mud crab: how it is obtained, prepared, graded, packed, moved, priced and paid for. The results are grouped into acquisition and disposal, buyers and market channels, handling and transport, grading and quality, losses, payment and price setting, trading relationships, and reported prices.</w:t>
      </w:r>
    </w:p>
    <w:p>
      <w:pPr>
        <w:pStyle w:val="Heading3"/>
        <w:spacing w:after="120" w:before="240" w:line="360"/>
        <w:outlineLvl w:val="2"/>
      </w:pPr>
      <w:bookmarkStart w:id="52062" w:name="_Toc_62"/>
      <w:r>
        <w:rPr>
          <w:rFonts w:ascii="Times New Roman" w:cs="Times New Roman" w:eastAsia="Times New Roman" w:hAnsi="Times New Roman"/>
          <w:b/>
          <w:bCs/>
          <w:color w:val="000000"/>
          <w:sz w:val="24"/>
          <w:szCs w:val="24"/>
        </w:rPr>
        <w:t xml:space="preserve">4.4.1 Acquisition of Crabs and Disposal of the Catch</w:t>
      </w:r>
      <w:bookmarkEnd w:id="52062"/>
    </w:p>
    <w:p>
      <w:pPr>
        <w:spacing w:after="0" w:before="240" w:line="240"/>
      </w:pPr>
      <w:bookmarkStart w:id="41028" w:name="_Tbl17"/>
      <w:r>
        <w:rPr>
          <w:rFonts w:ascii="Times New Roman" w:cs="Times New Roman" w:eastAsia="Times New Roman" w:hAnsi="Times New Roman"/>
          <w:b/>
          <w:bCs/>
          <w:color w:val="000000"/>
          <w:sz w:val="24"/>
          <w:szCs w:val="24"/>
        </w:rPr>
        <w:t xml:space="preserve">Table 17</w:t>
      </w:r>
      <w:bookmarkEnd w:id="41028"/>
    </w:p>
    <w:p>
      <w:pPr>
        <w:spacing w:after="120" w:before="0" w:line="240"/>
      </w:pPr>
      <w:r>
        <w:rPr>
          <w:rFonts w:ascii="Times New Roman" w:cs="Times New Roman" w:eastAsia="Times New Roman" w:hAnsi="Times New Roman"/>
          <w:b w:val="false"/>
          <w:bCs w:val="false"/>
          <w:i/>
          <w:iCs/>
          <w:color w:val="000000"/>
          <w:sz w:val="24"/>
          <w:szCs w:val="24"/>
        </w:rPr>
        <w:t xml:space="preserve">How Mud Crabs Are Acquired and Source of Crabs for Sale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How mud crabs are acquired</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Catching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Purchasing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Catching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Purchasing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Catching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Purchasing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Catching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Purchasing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Source of crabs for sale</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Catching personally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Purchasing from middlemen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Purchasing from middlemen/agents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Catching personally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Purchasing from middlemen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(95.5%)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(90.9%)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Purchasing from middlemen/agents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Catching personally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Purchasing from middlemen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Purchasing from middlemen/agents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Catching personally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Purchasing from middlemen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Purchasing from middlemen/agents</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17 divides the chain at its first joint. Every fisher obtained crabs by catching them and every middleman, hotelier and exporter obtained them by purchase, with no exception at any site. Source of crabs followed the same division: all 65 fishers caught personally, 21 of 22 middlemen (95.5%) purchased from other middlemen, all five hoteliers purchased from middlemen, and all four exporters purchased from middlemen or agents. The single middleman who caught personally was at Shimoni.</w:t>
      </w:r>
    </w:p>
    <w:p>
      <w:pPr>
        <w:spacing w:after="0" w:before="240" w:line="240"/>
      </w:pPr>
      <w:bookmarkStart w:id="41029" w:name="_Fig12"/>
      <w:r>
        <w:rPr>
          <w:rFonts w:ascii="Times New Roman" w:cs="Times New Roman" w:eastAsia="Times New Roman" w:hAnsi="Times New Roman"/>
          <w:b/>
          <w:bCs/>
          <w:color w:val="000000"/>
          <w:sz w:val="24"/>
          <w:szCs w:val="24"/>
        </w:rPr>
        <w:t xml:space="preserve">Figure 12</w:t>
      </w:r>
      <w:bookmarkEnd w:id="41029"/>
    </w:p>
    <w:p>
      <w:pPr>
        <w:spacing w:after="120" w:before="0" w:line="240"/>
      </w:pPr>
      <w:r>
        <w:rPr>
          <w:rFonts w:ascii="Times New Roman" w:cs="Times New Roman" w:eastAsia="Times New Roman" w:hAnsi="Times New Roman"/>
          <w:i/>
          <w:iCs/>
          <w:color w:val="000000"/>
          <w:sz w:val="24"/>
          <w:szCs w:val="24"/>
        </w:rPr>
        <w:t xml:space="preserve">Source of Crabs for Sale Within Each Actor Category</w:t>
      </w:r>
    </w:p>
    <w:p>
      <w:pPr>
        <w:spacing w:after="100"/>
        <w:jc w:val="center"/>
      </w:pPr>
      <w:r>
        <w:drawing>
          <wp:inline distT="0" distB="0" distL="0" distR="0">
            <wp:extent cx="57150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715000" cy="2000250"/>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percentage within each actor category. Percentages are valid percentages within the actor category.</w:t>
      </w:r>
    </w:p>
    <w:p>
      <w:pPr>
        <w:spacing w:after="0" w:before="240" w:line="240"/>
      </w:pPr>
      <w:bookmarkStart w:id="41030" w:name="_Tbl18"/>
      <w:r>
        <w:rPr>
          <w:rFonts w:ascii="Times New Roman" w:cs="Times New Roman" w:eastAsia="Times New Roman" w:hAnsi="Times New Roman"/>
          <w:b/>
          <w:bCs/>
          <w:color w:val="000000"/>
          <w:sz w:val="24"/>
          <w:szCs w:val="24"/>
        </w:rPr>
        <w:t xml:space="preserve">Table 18</w:t>
      </w:r>
      <w:bookmarkEnd w:id="41030"/>
    </w:p>
    <w:p>
      <w:pPr>
        <w:spacing w:after="120" w:before="0" w:line="240"/>
      </w:pPr>
      <w:r>
        <w:rPr>
          <w:rFonts w:ascii="Times New Roman" w:cs="Times New Roman" w:eastAsia="Times New Roman" w:hAnsi="Times New Roman"/>
          <w:b w:val="false"/>
          <w:bCs w:val="false"/>
          <w:i/>
          <w:iCs/>
          <w:color w:val="000000"/>
          <w:sz w:val="24"/>
          <w:szCs w:val="24"/>
        </w:rPr>
        <w:t xml:space="preserve">Fishing or Collection Gear Used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Fishing or collection gear</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Hand collection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47 (72.3%)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 (76.0%)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(76.2%)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.144</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Hooked stick</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(12.3%)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Scoop net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(13.8%)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(4.8%)</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Sweep nets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Hand collection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Hooked stick</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Scoop net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Sweep nets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Hand collection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Hooked stick</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Scoop net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Sweep nets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Hand collection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Hooked stick</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Scoop net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Sweep nets</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18 covers harvesting gear, an item answered by fishers and by the one middleman who also caught. Hand collection dominated (47 of 65, 72.3%), ranging from 8 (57.1%) at Majoreni to 2 (100.0%) in the Other sites group. Scoop nets accounted for 9 (13.8%) and hooked sticks for 8 (12.3%), with a single report of sweep nets. Gear was not associated with BMU (p = .144).</w:t>
      </w:r>
    </w:p>
    <w:p>
      <w:pPr>
        <w:spacing w:after="0" w:before="240" w:line="240"/>
      </w:pPr>
      <w:bookmarkStart w:id="41031" w:name="_Fig13"/>
      <w:r>
        <w:rPr>
          <w:rFonts w:ascii="Times New Roman" w:cs="Times New Roman" w:eastAsia="Times New Roman" w:hAnsi="Times New Roman"/>
          <w:b/>
          <w:bCs/>
          <w:color w:val="000000"/>
          <w:sz w:val="24"/>
          <w:szCs w:val="24"/>
        </w:rPr>
        <w:t xml:space="preserve">Figure 13</w:t>
      </w:r>
      <w:bookmarkEnd w:id="41031"/>
    </w:p>
    <w:p>
      <w:pPr>
        <w:spacing w:after="120" w:before="0" w:line="240"/>
      </w:pPr>
      <w:r>
        <w:rPr>
          <w:rFonts w:ascii="Times New Roman" w:cs="Times New Roman" w:eastAsia="Times New Roman" w:hAnsi="Times New Roman"/>
          <w:i/>
          <w:iCs/>
          <w:color w:val="000000"/>
          <w:sz w:val="24"/>
          <w:szCs w:val="24"/>
        </w:rPr>
        <w:t xml:space="preserve">Fishing or Collection Gear Used by Fishers Within Each BMU</w:t>
      </w:r>
    </w:p>
    <w:p>
      <w:pPr>
        <w:spacing w:after="100"/>
        <w:jc w:val="center"/>
      </w:pPr>
      <w:r>
        <w:drawing>
          <wp:inline distT="0" distB="0" distL="0" distR="0">
            <wp:extent cx="57150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715000" cy="2676525"/>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percentage of fishers within each BMU. Hand collection was the dominant method at all four sites.</w:t>
      </w:r>
    </w:p>
    <w:p>
      <w:pPr>
        <w:spacing w:after="0" w:before="240" w:line="240"/>
      </w:pPr>
      <w:bookmarkStart w:id="41032" w:name="_Tbl19"/>
      <w:r>
        <w:rPr>
          <w:rFonts w:ascii="Times New Roman" w:cs="Times New Roman" w:eastAsia="Times New Roman" w:hAnsi="Times New Roman"/>
          <w:b/>
          <w:bCs/>
          <w:color w:val="000000"/>
          <w:sz w:val="24"/>
          <w:szCs w:val="24"/>
        </w:rPr>
        <w:t xml:space="preserve">Table 19</w:t>
      </w:r>
      <w:bookmarkEnd w:id="41032"/>
    </w:p>
    <w:p>
      <w:pPr>
        <w:spacing w:after="120" w:before="0" w:line="240"/>
      </w:pPr>
      <w:r>
        <w:rPr>
          <w:rFonts w:ascii="Times New Roman" w:cs="Times New Roman" w:eastAsia="Times New Roman" w:hAnsi="Times New Roman"/>
          <w:b w:val="false"/>
          <w:bCs w:val="false"/>
          <w:i/>
          <w:iCs/>
          <w:color w:val="000000"/>
          <w:sz w:val="24"/>
          <w:szCs w:val="24"/>
        </w:rPr>
        <w:t xml:space="preserve">Daily Mud Crab Catch Reported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Daily mud crab catch</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2-3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.453</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4-5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(9.2%)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(4.8%)</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5-10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44 (67.7%)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(64.0%)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17 (81.0%)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Above 10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(21.5%)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(35.7%)</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(14.3%)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2-3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4-5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5-10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Above 10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2-3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4-5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5-10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Above 10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2-3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4-5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5-10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Above 10 kg</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19, the most commonly reported daily catch was 5–10 kg (44 of 65 fishers, 67.7%), a share ranging from 8 (57.1%) at Majoreni to 17 (81.0%) at Vanga. Catches above 10 kg were reported by 14 fishers (21.5%) and catches of 4–5 kg by 6 (9.2%), the latter concentrated at Msambweni (1, 33.3%). Daily catch was not associated with BMU (p = .453). The item was not put to middlemen, hoteliers or exporters, whose columns are therefore blank.</w:t>
      </w:r>
    </w:p>
    <w:p>
      <w:pPr>
        <w:spacing w:after="0" w:before="240" w:line="240"/>
      </w:pPr>
      <w:bookmarkStart w:id="41033" w:name="_Fig14"/>
      <w:r>
        <w:rPr>
          <w:rFonts w:ascii="Times New Roman" w:cs="Times New Roman" w:eastAsia="Times New Roman" w:hAnsi="Times New Roman"/>
          <w:b/>
          <w:bCs/>
          <w:color w:val="000000"/>
          <w:sz w:val="24"/>
          <w:szCs w:val="24"/>
        </w:rPr>
        <w:t xml:space="preserve">Figure 14</w:t>
      </w:r>
      <w:bookmarkEnd w:id="41033"/>
    </w:p>
    <w:p>
      <w:pPr>
        <w:spacing w:after="120" w:before="0" w:line="240"/>
      </w:pPr>
      <w:r>
        <w:rPr>
          <w:rFonts w:ascii="Times New Roman" w:cs="Times New Roman" w:eastAsia="Times New Roman" w:hAnsi="Times New Roman"/>
          <w:i/>
          <w:iCs/>
          <w:color w:val="000000"/>
          <w:sz w:val="24"/>
          <w:szCs w:val="24"/>
        </w:rPr>
        <w:t xml:space="preserve">Daily Mud Crab Catch Reported by Fishers Within Each BMU</w:t>
      </w:r>
    </w:p>
    <w:p>
      <w:pPr>
        <w:spacing w:after="100"/>
        <w:jc w:val="center"/>
      </w:pPr>
      <w:r>
        <w:drawing>
          <wp:inline distT="0" distB="0" distL="0" distR="0">
            <wp:extent cx="5715000"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715000" cy="2733675"/>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percentage of fishers within each BMU. The 5–10 kg band was the most common at every site.</w:t>
      </w:r>
    </w:p>
    <w:p>
      <w:pPr>
        <w:spacing w:after="0" w:before="240" w:line="240"/>
      </w:pPr>
      <w:bookmarkStart w:id="41034" w:name="_Tbl20"/>
      <w:r>
        <w:rPr>
          <w:rFonts w:ascii="Times New Roman" w:cs="Times New Roman" w:eastAsia="Times New Roman" w:hAnsi="Times New Roman"/>
          <w:b/>
          <w:bCs/>
          <w:color w:val="000000"/>
          <w:sz w:val="24"/>
          <w:szCs w:val="24"/>
        </w:rPr>
        <w:t xml:space="preserve">Table 20</w:t>
      </w:r>
      <w:bookmarkEnd w:id="41034"/>
    </w:p>
    <w:p>
      <w:pPr>
        <w:spacing w:after="120" w:before="0" w:line="240"/>
      </w:pPr>
      <w:r>
        <w:rPr>
          <w:rFonts w:ascii="Times New Roman" w:cs="Times New Roman" w:eastAsia="Times New Roman" w:hAnsi="Times New Roman"/>
          <w:b w:val="false"/>
          <w:bCs w:val="false"/>
          <w:i/>
          <w:iCs/>
          <w:color w:val="000000"/>
          <w:sz w:val="24"/>
          <w:szCs w:val="24"/>
        </w:rPr>
        <w:t xml:space="preserve">Proportion of Catch Sold and Travel Time from Fishing Grounds to Market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Proportion of catch sold</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Whole catch</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52 (80.0%)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 (80.0%)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 (92.9%)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 (71.4%)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.452</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Three-quarters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(28.6%)</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Whole catch</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Three-quarters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Whole catch</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Three-quarters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Whole catch</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Three-quarters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Travel time from fishing grounds to market</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 hour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(33.8%)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(64.3%)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(38.1%)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.010</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6 hours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43 (66.2%)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(84.0%)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(35.7%)</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 (61.9%)</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 hour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6 hours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 hour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6 hours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 hour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6 hours</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20 reports what fishers did with the catch and how far they had to carry it. Selling the whole catch was the norm (52, 80.0%), ranging from 2 (66.7%) at Msambweni to 13 (92.9%) at Majoreni; the remaining 13 fishers (20.0%) sold three-quarters. Travel time to market was six hours for 43 fishers (66.2%) and one hour for 22 (33.8%). Travel time varied significantly by site (p = .010): 21 of 25 Shimoni fishers (84.0%) and all three at Msambweni reported six hours, against only 5 of 14 at Majoreni (35.7%). Proportion sold was not associated with BMU (p = .452).</w:t>
      </w:r>
    </w:p>
    <w:p>
      <w:pPr>
        <w:spacing w:after="0" w:before="240" w:line="240"/>
      </w:pPr>
      <w:bookmarkStart w:id="41035" w:name="_Fig15"/>
      <w:r>
        <w:rPr>
          <w:rFonts w:ascii="Times New Roman" w:cs="Times New Roman" w:eastAsia="Times New Roman" w:hAnsi="Times New Roman"/>
          <w:b/>
          <w:bCs/>
          <w:color w:val="000000"/>
          <w:sz w:val="24"/>
          <w:szCs w:val="24"/>
        </w:rPr>
        <w:t xml:space="preserve">Figure 15</w:t>
      </w:r>
      <w:bookmarkEnd w:id="41035"/>
    </w:p>
    <w:p>
      <w:pPr>
        <w:spacing w:after="120" w:before="0" w:line="240"/>
      </w:pPr>
      <w:r>
        <w:rPr>
          <w:rFonts w:ascii="Times New Roman" w:cs="Times New Roman" w:eastAsia="Times New Roman" w:hAnsi="Times New Roman"/>
          <w:i/>
          <w:iCs/>
          <w:color w:val="000000"/>
          <w:sz w:val="24"/>
          <w:szCs w:val="24"/>
        </w:rPr>
        <w:t xml:space="preserve">Travel Time from Fishing Grounds to Market, Fishers by BMU</w:t>
      </w:r>
    </w:p>
    <w:p>
      <w:pPr>
        <w:spacing w:after="100"/>
        <w:jc w:val="center"/>
      </w:pPr>
      <w:r>
        <w:drawing>
          <wp:inline distT="0" distB="0" distL="0" distR="0">
            <wp:extent cx="57150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715000" cy="2790825"/>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percentage of fishers within each BMU. Majoreni fishers reached the point of sale considerably faster than fishers elsewhere.</w:t>
      </w:r>
    </w:p>
    <w:p>
      <w:pPr>
        <w:spacing w:after="120" w:before="0" w:line="360"/>
        <w:jc w:val="both"/>
      </w:pPr>
      <w:r>
        <w:rPr>
          <w:rFonts w:ascii="Times New Roman" w:cs="Times New Roman" w:eastAsia="Times New Roman" w:hAnsi="Times New Roman"/>
          <w:color w:val="000000"/>
          <w:sz w:val="24"/>
          <w:szCs w:val="24"/>
        </w:rPr>
        <w:t xml:space="preserve">Tables 17 to 20 establish the harvesting node as a seller with no holding capacity and no alternative to immediate sale. A fisher who lands 5 to 10 kg of live crab, carries it on foot for up to six hours and disposes of the entire catch the same day has no practical means of waiting for a better offer. That the Majoreni fishers reached market fastest is worth carrying forward, because Majoreni also turns out to be the site where fishers received the best price.</w:t>
      </w:r>
    </w:p>
    <w:p>
      <w:pPr>
        <w:pStyle w:val="Heading3"/>
        <w:spacing w:after="120" w:before="240" w:line="360"/>
        <w:outlineLvl w:val="2"/>
      </w:pPr>
      <w:bookmarkStart w:id="52063" w:name="_Toc_63"/>
      <w:r>
        <w:rPr>
          <w:rFonts w:ascii="Times New Roman" w:cs="Times New Roman" w:eastAsia="Times New Roman" w:hAnsi="Times New Roman"/>
          <w:b/>
          <w:bCs/>
          <w:color w:val="000000"/>
          <w:sz w:val="24"/>
          <w:szCs w:val="24"/>
        </w:rPr>
        <w:t xml:space="preserve">4.4.2 Buyers and Market Channels</w:t>
      </w:r>
      <w:bookmarkEnd w:id="52063"/>
    </w:p>
    <w:p>
      <w:pPr>
        <w:spacing w:after="0" w:before="240" w:line="240"/>
      </w:pPr>
      <w:bookmarkStart w:id="41036" w:name="_Tbl21"/>
      <w:r>
        <w:rPr>
          <w:rFonts w:ascii="Times New Roman" w:cs="Times New Roman" w:eastAsia="Times New Roman" w:hAnsi="Times New Roman"/>
          <w:b/>
          <w:bCs/>
          <w:color w:val="000000"/>
          <w:sz w:val="24"/>
          <w:szCs w:val="24"/>
        </w:rPr>
        <w:t xml:space="preserve">Table 21</w:t>
      </w:r>
      <w:bookmarkEnd w:id="41036"/>
    </w:p>
    <w:p>
      <w:pPr>
        <w:spacing w:after="120" w:before="0" w:line="240"/>
      </w:pPr>
      <w:r>
        <w:rPr>
          <w:rFonts w:ascii="Times New Roman" w:cs="Times New Roman" w:eastAsia="Times New Roman" w:hAnsi="Times New Roman"/>
          <w:b w:val="false"/>
          <w:bCs w:val="false"/>
          <w:i/>
          <w:iCs/>
          <w:color w:val="000000"/>
          <w:sz w:val="24"/>
          <w:szCs w:val="24"/>
        </w:rPr>
        <w:t xml:space="preserve">Main Buyer Category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Main buyer category</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Company agents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Consumers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First-level middlemen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Importers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Second-level middlemen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Company agents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(40.9%)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.656</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Consumers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(18.2%)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First-level middlemen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Importers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Second-level middlemen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(31.8%)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Company agents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Consumers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First-level middlemen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Importers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Second-level middlemen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Company agents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Consumers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First-level middlemen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Importers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Second-level middlemen</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21 shows who each actor sold to. Every fisher, at every site, sold to a first-level middleman. Middlemen sold on to company agents (9, 40.9%), second-level middlemen (7, 31.8%) or exporters (5, 22.7%), with one selling to another first-level middleman; the company-agent share ranged from 3 (27.3%) at Shimoni to 3 (75.0%) at Vanga, and buyer category was not associated with BMU (p = .656). Hoteliers sold to consumers and exporters to importers, in both cases without exception.</w:t>
      </w:r>
    </w:p>
    <w:p>
      <w:pPr>
        <w:spacing w:after="0" w:before="240" w:line="240"/>
      </w:pPr>
      <w:bookmarkStart w:id="41037" w:name="_Fig16"/>
      <w:r>
        <w:rPr>
          <w:rFonts w:ascii="Times New Roman" w:cs="Times New Roman" w:eastAsia="Times New Roman" w:hAnsi="Times New Roman"/>
          <w:b/>
          <w:bCs/>
          <w:color w:val="000000"/>
          <w:sz w:val="24"/>
          <w:szCs w:val="24"/>
        </w:rPr>
        <w:t xml:space="preserve">Figure 16</w:t>
      </w:r>
      <w:bookmarkEnd w:id="41037"/>
    </w:p>
    <w:p>
      <w:pPr>
        <w:spacing w:after="120" w:before="0" w:line="240"/>
      </w:pPr>
      <w:r>
        <w:rPr>
          <w:rFonts w:ascii="Times New Roman" w:cs="Times New Roman" w:eastAsia="Times New Roman" w:hAnsi="Times New Roman"/>
          <w:i/>
          <w:iCs/>
          <w:color w:val="000000"/>
          <w:sz w:val="24"/>
          <w:szCs w:val="24"/>
        </w:rPr>
        <w:t xml:space="preserve">Main Buyer Category Within Each Actor Category</w:t>
      </w:r>
    </w:p>
    <w:p>
      <w:pPr>
        <w:spacing w:after="100"/>
        <w:jc w:val="center"/>
      </w:pPr>
      <w:r>
        <w:drawing>
          <wp:inline distT="0" distB="0" distL="0" distR="0">
            <wp:extent cx="5715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715000" cy="2428875"/>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percentage within each actor category. Fishers sold exclusively to first-level middlemen; each downstream category had its own distinct main buyer.</w:t>
      </w:r>
    </w:p>
    <w:p>
      <w:pPr>
        <w:spacing w:after="0" w:before="240" w:line="240"/>
      </w:pPr>
      <w:bookmarkStart w:id="41038" w:name="_Tbl22"/>
      <w:r>
        <w:rPr>
          <w:rFonts w:ascii="Times New Roman" w:cs="Times New Roman" w:eastAsia="Times New Roman" w:hAnsi="Times New Roman"/>
          <w:b/>
          <w:bCs/>
          <w:color w:val="000000"/>
          <w:sz w:val="24"/>
          <w:szCs w:val="24"/>
        </w:rPr>
        <w:t xml:space="preserve">Table 22</w:t>
      </w:r>
      <w:bookmarkEnd w:id="41038"/>
    </w:p>
    <w:p>
      <w:pPr>
        <w:spacing w:after="120" w:before="0" w:line="240"/>
      </w:pPr>
      <w:r>
        <w:rPr>
          <w:rFonts w:ascii="Times New Roman" w:cs="Times New Roman" w:eastAsia="Times New Roman" w:hAnsi="Times New Roman"/>
          <w:b w:val="false"/>
          <w:bCs w:val="false"/>
          <w:i/>
          <w:iCs/>
          <w:color w:val="000000"/>
          <w:sz w:val="24"/>
          <w:szCs w:val="24"/>
        </w:rPr>
        <w:t xml:space="preserve">Primary Market Channel and Contact With Final Consumers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Primary market channel</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Local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Restaurants and hotels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Local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Restaurants and hotels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Local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Restaurants and hotels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Local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Restaurants and hotels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Contact with final consumers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Through intermediaries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Direct contact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Through intermediaries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Direct contact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Through intermediaries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Direct contact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Through intermediaries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Direct contact</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22 completes the picture. Fishers and middlemen supplied local markets exclusively, hoteliers supplied restaurants and hotels, and exporters supplied export markets. Contact with the final consumer divided just as cleanly: all 65 fishers and all 22 middlemen reached the consumer only through intermediaries, while all five hoteliers and all four exporters dealt with the end buyer directly. Neither item varied enough within fishers or middlemen to support a test against BMU.</w:t>
      </w:r>
    </w:p>
    <w:p>
      <w:pPr>
        <w:spacing w:after="120" w:before="0" w:line="360"/>
        <w:jc w:val="both"/>
      </w:pPr>
      <w:r>
        <w:rPr>
          <w:rFonts w:ascii="Times New Roman" w:cs="Times New Roman" w:eastAsia="Times New Roman" w:hAnsi="Times New Roman"/>
          <w:color w:val="000000"/>
          <w:sz w:val="24"/>
          <w:szCs w:val="24"/>
        </w:rPr>
        <w:t xml:space="preserve">Tables 21 and 22 answer a central part of Objective Two. The actors who know what a crab finally sells for are the two groups furthest from the water, and the two groups who catch and aggregate it never meet the person who eats it. That informational distance is the structural fact underlying the price results reported later in this chapter.</w:t>
      </w:r>
    </w:p>
    <w:p>
      <w:pPr>
        <w:spacing w:after="0" w:before="240" w:line="240"/>
      </w:pPr>
      <w:bookmarkStart w:id="41039" w:name="_Tbl23"/>
      <w:r>
        <w:rPr>
          <w:rFonts w:ascii="Times New Roman" w:cs="Times New Roman" w:eastAsia="Times New Roman" w:hAnsi="Times New Roman"/>
          <w:b/>
          <w:bCs/>
          <w:color w:val="000000"/>
          <w:sz w:val="24"/>
          <w:szCs w:val="24"/>
        </w:rPr>
        <w:t xml:space="preserve">Table 23</w:t>
      </w:r>
      <w:bookmarkEnd w:id="41039"/>
    </w:p>
    <w:p>
      <w:pPr>
        <w:spacing w:after="120" w:before="0" w:line="240"/>
      </w:pPr>
      <w:r>
        <w:rPr>
          <w:rFonts w:ascii="Times New Roman" w:cs="Times New Roman" w:eastAsia="Times New Roman" w:hAnsi="Times New Roman"/>
          <w:b w:val="false"/>
          <w:bCs w:val="false"/>
          <w:i/>
          <w:iCs/>
          <w:color w:val="000000"/>
          <w:sz w:val="24"/>
          <w:szCs w:val="24"/>
        </w:rPr>
        <w:t xml:space="preserve">Number of Buyers, State of Crabs Sold and Regularity of the Main Buyer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Number of buyers reported</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One buyer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50 (76.9%)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17 (68.0%)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(71.4%)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 (85.7%)</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.412</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Two buyers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 (23.1%)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(32.0%)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(14.3%)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One buyer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Two buyers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One buyer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Two buyers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One buyer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Two buyers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State of mud crabs sold</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Live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Live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Live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Live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Main buyer is regular</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23 records how many buyers each actor dealt with and the condition in which crabs changed hands. Among fishers, 50 (76.9%) reported a single buyer and 15 (23.1%) reported two, with the single-buyer share ranging from 17 (68.0%) at Shimoni to all three (100.0%) at Msambweni; the number of buyers was not associated with BMU (p = .412). The item was not put to the other three categories. All 65 fishers sold crabs live, and every respondent in all four actor categories — 96 of 96 — said their main buyer was a regular one.</w:t>
      </w:r>
    </w:p>
    <w:p>
      <w:pPr>
        <w:spacing w:after="120" w:before="0" w:line="360"/>
        <w:jc w:val="both"/>
      </w:pPr>
      <w:r>
        <w:rPr>
          <w:rFonts w:ascii="Times New Roman" w:cs="Times New Roman" w:eastAsia="Times New Roman" w:hAnsi="Times New Roman"/>
          <w:color w:val="000000"/>
          <w:sz w:val="24"/>
          <w:szCs w:val="24"/>
        </w:rPr>
        <w:t xml:space="preserve">Those three rows together describe a market with almost no spot trading at the harvesting node. Three quarters of fishers dealt with one buyer, that buyer was a regular, and the crab was live and therefore perishable at the moment of sale. A seller in that position has little practical ability to decline the price offered, which is the condition the pricing results later in this chapter describe.</w:t>
      </w:r>
    </w:p>
    <w:p>
      <w:pPr>
        <w:spacing w:after="0" w:before="240" w:line="240"/>
      </w:pPr>
      <w:bookmarkStart w:id="41040" w:name="_Tbl24"/>
      <w:r>
        <w:rPr>
          <w:rFonts w:ascii="Times New Roman" w:cs="Times New Roman" w:eastAsia="Times New Roman" w:hAnsi="Times New Roman"/>
          <w:b/>
          <w:bCs/>
          <w:color w:val="000000"/>
          <w:sz w:val="24"/>
          <w:szCs w:val="24"/>
        </w:rPr>
        <w:t xml:space="preserve">Table 24</w:t>
      </w:r>
      <w:bookmarkEnd w:id="41040"/>
    </w:p>
    <w:p>
      <w:pPr>
        <w:spacing w:after="120" w:before="0" w:line="240"/>
      </w:pPr>
      <w:r>
        <w:rPr>
          <w:rFonts w:ascii="Times New Roman" w:cs="Times New Roman" w:eastAsia="Times New Roman" w:hAnsi="Times New Roman"/>
          <w:b w:val="false"/>
          <w:bCs w:val="false"/>
          <w:i/>
          <w:iCs/>
          <w:color w:val="000000"/>
          <w:sz w:val="24"/>
          <w:szCs w:val="24"/>
        </w:rPr>
        <w:t xml:space="preserve">Location of Sale and Knowledge of the Onward Sale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Location of sale</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Landing beach</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Town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Landing beach</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.928</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(36.4%)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Town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(50.0%)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(54.5%)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Landing beach</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Town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Landing beach</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Town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Knows whom the next trader sells to</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24, the place of sale divided by node. Every fisher sold at the landing beach, without exception at any site. Middlemen sold in town (11, 50.0%) or at a market (10, 45.5%), with one still selling at the beach, and the pattern did not vary by BMU (p = .928). All five hoteliers and all four exporters sold in town. On knowledge of the onward sale, every fisher, every middleman and all four exporters who answered said they did not know whom the next trader sold to; no hotelier completed the item.</w:t>
      </w:r>
    </w:p>
    <w:p>
      <w:pPr>
        <w:spacing w:after="120" w:before="0" w:line="360"/>
        <w:jc w:val="both"/>
      </w:pPr>
      <w:r>
        <w:rPr>
          <w:rFonts w:ascii="Times New Roman" w:cs="Times New Roman" w:eastAsia="Times New Roman" w:hAnsi="Times New Roman"/>
          <w:color w:val="000000"/>
          <w:sz w:val="24"/>
          <w:szCs w:val="24"/>
        </w:rPr>
        <w:t xml:space="preserve">This is the informational counterpart to Table 22. Not one actor upstream of the final buyer could say where the crab went next. Combined with the absence of market research reported later in Table 44, it means no actor in this chain has sight of the price two steps ahead of their own transaction.</w:t>
      </w:r>
    </w:p>
    <w:p>
      <w:pPr>
        <w:spacing w:after="0" w:before="240" w:line="240"/>
      </w:pPr>
      <w:bookmarkStart w:id="41041" w:name="_Tbl25"/>
      <w:r>
        <w:rPr>
          <w:rFonts w:ascii="Times New Roman" w:cs="Times New Roman" w:eastAsia="Times New Roman" w:hAnsi="Times New Roman"/>
          <w:b/>
          <w:bCs/>
          <w:color w:val="000000"/>
          <w:sz w:val="24"/>
          <w:szCs w:val="24"/>
        </w:rPr>
        <w:t xml:space="preserve">Table 25</w:t>
      </w:r>
      <w:bookmarkEnd w:id="41041"/>
    </w:p>
    <w:p>
      <w:pPr>
        <w:spacing w:after="120" w:before="0" w:line="240"/>
      </w:pPr>
      <w:r>
        <w:rPr>
          <w:rFonts w:ascii="Times New Roman" w:cs="Times New Roman" w:eastAsia="Times New Roman" w:hAnsi="Times New Roman"/>
          <w:b w:val="false"/>
          <w:bCs w:val="false"/>
          <w:i/>
          <w:iCs/>
          <w:color w:val="000000"/>
          <w:sz w:val="24"/>
          <w:szCs w:val="24"/>
        </w:rPr>
        <w:t xml:space="preserve">First Buyer Location Reported by Fishers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First buyer location</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Bodo Pwani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&lt; .001</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Gasi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(3.2%)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Kiwegu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(25.4%)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(7.7%)</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 (75.0%)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Majoreni / Aleni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 (30.2%)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(92.3%)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Mkuyuni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17 (27.0%)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(64.0%)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Mwambao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Shimoni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(7.9%)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Vanga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(3.2%)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Bodo Pwani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Gasi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Kiwegu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Majoreni / Aleni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Mkuyuni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Mwambao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Shimoni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Vanga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Bodo Pwani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Gasi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Kiwegu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Majoreni / Aleni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Mkuyuni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Mwambao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Shimoni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Vanga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Bodo Pwani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Gasi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Kiwegu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Majoreni / Aleni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Mkuyuni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Mwambao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Shimoni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Vanga</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25 reports where fishers said their first buyer was located, an item answered by 63 of the 65 fishers. Three places accounted for more than four-fifths of first sales: Majoreni or Aleni, named by 19 (30.2%), Mkuyuni by 17 (27.0%) and Kiwegu by 16 (25.4%). Shimoni was named by 5 (7.9%), and Gasi, Vanga, Mwambao and Bodo Pwani by four fishers between them. Each of those places is the buying point nearest a particular landing site: of the fishers answering at each site, 16 of 25 at Shimoni (64.0%) named Mkuyuni, 12 of 13 at Majoreni (92.3%) named Majoreni or Aleni, and 15 of 20 at Vanga (75.0%) named Kiwegu. The association with BMU was the strongest recorded anywhere in this study, χ²(21, N = 61) = 125.19, p &lt; .001, 99% CI [.000, .000].</w:t>
      </w:r>
    </w:p>
    <w:p>
      <w:pPr>
        <w:spacing w:after="120" w:before="0" w:line="360"/>
        <w:jc w:val="both"/>
      </w:pPr>
      <w:r>
        <w:rPr>
          <w:rFonts w:ascii="Times New Roman" w:cs="Times New Roman" w:eastAsia="Times New Roman" w:hAnsi="Times New Roman"/>
          <w:color w:val="000000"/>
          <w:sz w:val="24"/>
          <w:szCs w:val="24"/>
        </w:rPr>
        <w:t xml:space="preserve">That result needs reading with care. A near-perfect association between where a fisher lands and where his buyer sits is close to a tautology, and it is reported here for completeness rather than as a finding about market structure. What it does establish is that first sale is a local transaction: the buyer is at or beside the landing site, not in a distant market to which the fisher could take his catch instead.</w:t>
      </w:r>
    </w:p>
    <w:p>
      <w:pPr>
        <w:spacing w:after="0" w:before="240" w:line="240"/>
      </w:pPr>
      <w:bookmarkStart w:id="41042" w:name="_Tbl26"/>
      <w:r>
        <w:rPr>
          <w:rFonts w:ascii="Times New Roman" w:cs="Times New Roman" w:eastAsia="Times New Roman" w:hAnsi="Times New Roman"/>
          <w:b/>
          <w:bCs/>
          <w:color w:val="000000"/>
          <w:sz w:val="24"/>
          <w:szCs w:val="24"/>
        </w:rPr>
        <w:t xml:space="preserve">Table 26</w:t>
      </w:r>
      <w:bookmarkEnd w:id="41042"/>
    </w:p>
    <w:p>
      <w:pPr>
        <w:spacing w:after="120" w:before="0" w:line="240"/>
      </w:pPr>
      <w:r>
        <w:rPr>
          <w:rFonts w:ascii="Times New Roman" w:cs="Times New Roman" w:eastAsia="Times New Roman" w:hAnsi="Times New Roman"/>
          <w:b w:val="false"/>
          <w:bCs w:val="false"/>
          <w:i/>
          <w:iCs/>
          <w:color w:val="000000"/>
          <w:sz w:val="24"/>
          <w:szCs w:val="24"/>
        </w:rPr>
        <w:t xml:space="preserve">Second Buyer Location Reported by Fishers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Second buyer location</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Kiwegu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15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Majoreni / Aleni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15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(26.7%)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(80.0%)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Mkuyuni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15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(53.3%)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Kiwegu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Majoreni / Aleni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Mkuyuni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Kiwegu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Majoreni / Aleni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Mkuyuni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Kiwegu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Majoreni / Aleni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Mkuyuni</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26 covers the second buyer, an item answered by only 15 fishers. Of those, 8 (53.3%) named Mkuyuni, 4 (26.7%) Majoreni or Aleni and 3 (20.0%) Kiwegu, and each group came almost entirely from one landing site: all eight naming Mkuyuni fished at Shimoni and all four naming Majoreni or Aleni fished at Majoreni. The remaining 50 fishers gave no second buyer at all, which is consistent with the single-buyer pattern in Table 23 and is reported here rather than left out, because an absent alternative buyer is itself the finding.</w:t>
      </w:r>
    </w:p>
    <w:p>
      <w:pPr>
        <w:pStyle w:val="Heading3"/>
        <w:spacing w:after="120" w:before="240" w:line="360"/>
        <w:outlineLvl w:val="2"/>
      </w:pPr>
      <w:bookmarkStart w:id="52064" w:name="_Toc_64"/>
      <w:r>
        <w:rPr>
          <w:rFonts w:ascii="Times New Roman" w:cs="Times New Roman" w:eastAsia="Times New Roman" w:hAnsi="Times New Roman"/>
          <w:b/>
          <w:bCs/>
          <w:color w:val="000000"/>
          <w:sz w:val="24"/>
          <w:szCs w:val="24"/>
        </w:rPr>
        <w:t xml:space="preserve">4.4.3 Preparation, Packaging and Transport</w:t>
      </w:r>
      <w:bookmarkEnd w:id="52064"/>
    </w:p>
    <w:p>
      <w:pPr>
        <w:spacing w:after="0" w:before="240" w:line="240"/>
      </w:pPr>
      <w:bookmarkStart w:id="41043" w:name="_Tbl27"/>
      <w:r>
        <w:rPr>
          <w:rFonts w:ascii="Times New Roman" w:cs="Times New Roman" w:eastAsia="Times New Roman" w:hAnsi="Times New Roman"/>
          <w:b/>
          <w:bCs/>
          <w:color w:val="000000"/>
          <w:sz w:val="24"/>
          <w:szCs w:val="24"/>
        </w:rPr>
        <w:t xml:space="preserve">Table 27</w:t>
      </w:r>
      <w:bookmarkEnd w:id="41043"/>
    </w:p>
    <w:p>
      <w:pPr>
        <w:spacing w:after="120" w:before="0" w:line="240"/>
      </w:pPr>
      <w:r>
        <w:rPr>
          <w:rFonts w:ascii="Times New Roman" w:cs="Times New Roman" w:eastAsia="Times New Roman" w:hAnsi="Times New Roman"/>
          <w:b w:val="false"/>
          <w:bCs w:val="false"/>
          <w:i/>
          <w:iCs/>
          <w:color w:val="000000"/>
          <w:sz w:val="24"/>
          <w:szCs w:val="24"/>
        </w:rPr>
        <w:t xml:space="preserve">Preparation of Mud Crabs for Market and Preservation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Preparation of mud crabs for market</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Cleaning, sorting and grading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Processing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Tying claws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Cleaning, sorting and grading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(95.5%)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(90.9%)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Processing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Tying claws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Cleaning, sorting and grading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Processing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Tying claws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Cleaning, sorting and grading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Processing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Tying claws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Preserves or processes mud crabs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 / frozen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 / frozen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 / frozen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 / frozen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27, preparation became more elaborate at each step. All 65 fishers prepared crabs by tying the claws; 21 of 22 middlemen (95.5%) cleaned, sorted and graded; all five hoteliers processed for the kitchen; and all four exporters cleaned, sorted and graded for consignment. Preservation was reported only by the hoteliers, all five of whom froze the product; no fisher, middleman or exporter preserved or processed at all. Preparation was not associated with BMU among middlemen (p = 1.000).</w:t>
      </w:r>
    </w:p>
    <w:p>
      <w:pPr>
        <w:spacing w:after="0" w:before="240" w:line="240"/>
      </w:pPr>
      <w:bookmarkStart w:id="41044" w:name="_Fig17"/>
      <w:r>
        <w:rPr>
          <w:rFonts w:ascii="Times New Roman" w:cs="Times New Roman" w:eastAsia="Times New Roman" w:hAnsi="Times New Roman"/>
          <w:b/>
          <w:bCs/>
          <w:color w:val="000000"/>
          <w:sz w:val="24"/>
          <w:szCs w:val="24"/>
        </w:rPr>
        <w:t xml:space="preserve">Figure 17</w:t>
      </w:r>
      <w:bookmarkEnd w:id="41044"/>
    </w:p>
    <w:p>
      <w:pPr>
        <w:spacing w:after="120" w:before="0" w:line="240"/>
      </w:pPr>
      <w:r>
        <w:rPr>
          <w:rFonts w:ascii="Times New Roman" w:cs="Times New Roman" w:eastAsia="Times New Roman" w:hAnsi="Times New Roman"/>
          <w:i/>
          <w:iCs/>
          <w:color w:val="000000"/>
          <w:sz w:val="24"/>
          <w:szCs w:val="24"/>
        </w:rPr>
        <w:t xml:space="preserve">Preparation of Mud Crabs for Market by Actor Category</w:t>
      </w:r>
    </w:p>
    <w:p>
      <w:pPr>
        <w:spacing w:after="100"/>
        <w:jc w:val="center"/>
      </w:pPr>
      <w:r>
        <w:drawing>
          <wp:inline distT="0" distB="0" distL="0" distR="0">
            <wp:extent cx="5715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715000" cy="2095500"/>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percentage within each actor category. Preparation moves from tying claws at the harvesting node to cleaning, sorting and grading downstream.</w:t>
      </w:r>
    </w:p>
    <w:p>
      <w:pPr>
        <w:spacing w:after="0" w:before="240" w:line="240"/>
      </w:pPr>
      <w:bookmarkStart w:id="41045" w:name="_Tbl28"/>
      <w:r>
        <w:rPr>
          <w:rFonts w:ascii="Times New Roman" w:cs="Times New Roman" w:eastAsia="Times New Roman" w:hAnsi="Times New Roman"/>
          <w:b/>
          <w:bCs/>
          <w:color w:val="000000"/>
          <w:sz w:val="24"/>
          <w:szCs w:val="24"/>
        </w:rPr>
        <w:t xml:space="preserve">Table 28</w:t>
      </w:r>
      <w:bookmarkEnd w:id="41045"/>
    </w:p>
    <w:p>
      <w:pPr>
        <w:spacing w:after="120" w:before="0" w:line="240"/>
      </w:pPr>
      <w:r>
        <w:rPr>
          <w:rFonts w:ascii="Times New Roman" w:cs="Times New Roman" w:eastAsia="Times New Roman" w:hAnsi="Times New Roman"/>
          <w:b w:val="false"/>
          <w:bCs w:val="false"/>
          <w:i/>
          <w:iCs/>
          <w:color w:val="000000"/>
          <w:sz w:val="24"/>
          <w:szCs w:val="24"/>
        </w:rPr>
        <w:t xml:space="preserve">Packaging Used for Transporting Mud Crabs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Packaging used for transportation</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Baskets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.837</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Crates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Plastic containers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(32.3%)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(28.0%)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(33.3%)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Sacks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44 (67.7%)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 (72.0%)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(66.7%)</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Styrofoam</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Baskets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(36.4%)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.924</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Crates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(50.0%)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(54.5%)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Plastic containers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Sacks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Styrofoam</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Baskets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Crates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Plastic containers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Sacks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Styrofoam</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Baskets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Crates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Plastic containers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Sacks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Styrofoam</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28 shows a clear ladder of containment. Fishers used sacks (44, 67.7%) or plastic containers (21, 32.3%); middlemen used crates (11, 50.0%) or baskets (10, 45.5%), with one still using a sack; and all four exporters used Styrofoam. Hoteliers did not complete this item because they bought at their own premises, so their column is left blank rather than recorded as zero. Packaging was not associated with BMU for fishers (p = .837) or middlemen (p = .924).</w:t>
      </w:r>
    </w:p>
    <w:p>
      <w:pPr>
        <w:spacing w:after="0" w:before="240" w:line="240"/>
      </w:pPr>
      <w:bookmarkStart w:id="41046" w:name="_Fig18"/>
      <w:r>
        <w:rPr>
          <w:rFonts w:ascii="Times New Roman" w:cs="Times New Roman" w:eastAsia="Times New Roman" w:hAnsi="Times New Roman"/>
          <w:b/>
          <w:bCs/>
          <w:color w:val="000000"/>
          <w:sz w:val="24"/>
          <w:szCs w:val="24"/>
        </w:rPr>
        <w:t xml:space="preserve">Figure 18</w:t>
      </w:r>
      <w:bookmarkEnd w:id="41046"/>
    </w:p>
    <w:p>
      <w:pPr>
        <w:spacing w:after="120" w:before="0" w:line="240"/>
      </w:pPr>
      <w:r>
        <w:rPr>
          <w:rFonts w:ascii="Times New Roman" w:cs="Times New Roman" w:eastAsia="Times New Roman" w:hAnsi="Times New Roman"/>
          <w:i/>
          <w:iCs/>
          <w:color w:val="000000"/>
          <w:sz w:val="24"/>
          <w:szCs w:val="24"/>
        </w:rPr>
        <w:t xml:space="preserve">Packaging Used for Transporting Mud Crabs by Actor Category</w:t>
      </w:r>
    </w:p>
    <w:p>
      <w:pPr>
        <w:spacing w:after="100"/>
        <w:jc w:val="center"/>
      </w:pPr>
      <w:r>
        <w:drawing>
          <wp:inline distT="0" distB="0" distL="0" distR="0">
            <wp:extent cx="5715000"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715000" cy="2409825"/>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percentage within each actor category. Hoteliers did not complete this item because they purchased at their own premises.</w:t>
      </w:r>
    </w:p>
    <w:p>
      <w:pPr>
        <w:spacing w:after="0" w:before="240" w:line="240"/>
      </w:pPr>
      <w:bookmarkStart w:id="41047" w:name="_Tbl29"/>
      <w:r>
        <w:rPr>
          <w:rFonts w:ascii="Times New Roman" w:cs="Times New Roman" w:eastAsia="Times New Roman" w:hAnsi="Times New Roman"/>
          <w:b/>
          <w:bCs/>
          <w:color w:val="000000"/>
          <w:sz w:val="24"/>
          <w:szCs w:val="24"/>
        </w:rPr>
        <w:t xml:space="preserve">Table 29</w:t>
      </w:r>
      <w:bookmarkEnd w:id="41047"/>
    </w:p>
    <w:p>
      <w:pPr>
        <w:spacing w:after="120" w:before="0" w:line="240"/>
      </w:pPr>
      <w:r>
        <w:rPr>
          <w:rFonts w:ascii="Times New Roman" w:cs="Times New Roman" w:eastAsia="Times New Roman" w:hAnsi="Times New Roman"/>
          <w:b w:val="false"/>
          <w:bCs w:val="false"/>
          <w:i/>
          <w:iCs/>
          <w:color w:val="000000"/>
          <w:sz w:val="24"/>
          <w:szCs w:val="24"/>
        </w:rPr>
        <w:t xml:space="preserve">Mode of Transporting Mud Crabs to Market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Mode of transporting mud crabs to market</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Airplane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.388</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Motorcycle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(12.3%)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(14.3%)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Motorised boat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On foot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57 (87.7%)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24 (96.0%)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(85.7%)</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 (85.7%)</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Vehicle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Airplane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.402</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Motorcycle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Motorised boat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(18.2%)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On foot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Vehicle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17 (77.3%)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(81.8%)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(85.7%)</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Airplane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Motorcycle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Motorised boat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On foot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Vehicle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Airplane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Motorcycle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Motorised boat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On foot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Vehicle</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29 follows the same ladder. Fishers travelled on foot (57, 87.7%) or by motorcycle (8, 12.3%); middlemen used vehicles (17, 77.3%) or motorised boats (4, 18.2%), with one on foot; and all four exporters used air freight. Transport was not associated with BMU for fishers (p = .388) or middlemen (p = .402).</w:t>
      </w:r>
    </w:p>
    <w:p>
      <w:pPr>
        <w:spacing w:after="0" w:before="240" w:line="240"/>
      </w:pPr>
      <w:bookmarkStart w:id="41048" w:name="_Fig19"/>
      <w:r>
        <w:rPr>
          <w:rFonts w:ascii="Times New Roman" w:cs="Times New Roman" w:eastAsia="Times New Roman" w:hAnsi="Times New Roman"/>
          <w:b/>
          <w:bCs/>
          <w:color w:val="000000"/>
          <w:sz w:val="24"/>
          <w:szCs w:val="24"/>
        </w:rPr>
        <w:t xml:space="preserve">Figure 19</w:t>
      </w:r>
      <w:bookmarkEnd w:id="41048"/>
    </w:p>
    <w:p>
      <w:pPr>
        <w:spacing w:after="120" w:before="0" w:line="240"/>
      </w:pPr>
      <w:r>
        <w:rPr>
          <w:rFonts w:ascii="Times New Roman" w:cs="Times New Roman" w:eastAsia="Times New Roman" w:hAnsi="Times New Roman"/>
          <w:i/>
          <w:iCs/>
          <w:color w:val="000000"/>
          <w:sz w:val="24"/>
          <w:szCs w:val="24"/>
        </w:rPr>
        <w:t xml:space="preserve">Mode of Transporting Mud Crabs to Market by Actor Category</w:t>
      </w:r>
    </w:p>
    <w:p>
      <w:pPr>
        <w:spacing w:after="100"/>
        <w:jc w:val="center"/>
      </w:pPr>
      <w:r>
        <w:drawing>
          <wp:inline distT="0" distB="0" distL="0" distR="0">
            <wp:extent cx="571500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715000" cy="2457450"/>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percentage within each actor category. Hoteliers did not complete this item.</w:t>
      </w:r>
    </w:p>
    <w:p>
      <w:pPr>
        <w:spacing w:after="120" w:before="0" w:line="360"/>
        <w:jc w:val="both"/>
      </w:pPr>
      <w:r>
        <w:rPr>
          <w:rFonts w:ascii="Times New Roman" w:cs="Times New Roman" w:eastAsia="Times New Roman" w:hAnsi="Times New Roman"/>
          <w:color w:val="000000"/>
          <w:sz w:val="24"/>
          <w:szCs w:val="24"/>
        </w:rPr>
        <w:t xml:space="preserve">Tables 23 to 25 show that protection of the product rises with distance from the water, and that the cost of that protection is borne by whoever holds the crab at the time. A sack carried on foot and a Styrofoam box flown out are two ends of the same handling problem, and the actor least able to absorb a loss is the one using the least protective method.</w:t>
      </w:r>
    </w:p>
    <w:p>
      <w:pPr>
        <w:pStyle w:val="Heading3"/>
        <w:spacing w:after="120" w:before="240" w:line="360"/>
        <w:outlineLvl w:val="2"/>
      </w:pPr>
      <w:bookmarkStart w:id="52065" w:name="_Toc_65"/>
      <w:r>
        <w:rPr>
          <w:rFonts w:ascii="Times New Roman" w:cs="Times New Roman" w:eastAsia="Times New Roman" w:hAnsi="Times New Roman"/>
          <w:b/>
          <w:bCs/>
          <w:color w:val="000000"/>
          <w:sz w:val="24"/>
          <w:szCs w:val="24"/>
        </w:rPr>
        <w:t xml:space="preserve">4.4.4 Grading and Quality Control</w:t>
      </w:r>
      <w:bookmarkEnd w:id="52065"/>
    </w:p>
    <w:p>
      <w:pPr>
        <w:spacing w:after="0" w:before="240" w:line="240"/>
      </w:pPr>
      <w:bookmarkStart w:id="41049" w:name="_Tbl30"/>
      <w:r>
        <w:rPr>
          <w:rFonts w:ascii="Times New Roman" w:cs="Times New Roman" w:eastAsia="Times New Roman" w:hAnsi="Times New Roman"/>
          <w:b/>
          <w:bCs/>
          <w:color w:val="000000"/>
          <w:sz w:val="24"/>
          <w:szCs w:val="24"/>
        </w:rPr>
        <w:t xml:space="preserve">Table 30</w:t>
      </w:r>
      <w:bookmarkEnd w:id="41049"/>
    </w:p>
    <w:p>
      <w:pPr>
        <w:spacing w:after="120" w:before="0" w:line="240"/>
      </w:pPr>
      <w:r>
        <w:rPr>
          <w:rFonts w:ascii="Times New Roman" w:cs="Times New Roman" w:eastAsia="Times New Roman" w:hAnsi="Times New Roman"/>
          <w:b w:val="false"/>
          <w:bCs w:val="false"/>
          <w:i/>
          <w:iCs/>
          <w:color w:val="000000"/>
          <w:sz w:val="24"/>
          <w:szCs w:val="24"/>
        </w:rPr>
        <w:t xml:space="preserve">Grading Practice and Criteria Used to Determine Grade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Engages in grading mud crabs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Criteria used to determine grade</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Size, weight, shell condition and claw size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Weight only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Size, weight, shell condition and claw size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(95.5%)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(90.9%)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Weight only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Size, weight, shell condition and claw size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Weight only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Size, weight, shell condition and claw size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Weight only</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30 records the single most consequential functional difference in the chapter. Every one of the 96 respondents, at every site, said they graded mud crabs. They did not grade by the same rule. All 65 fishers graded on weight alone, while 21 of 22 middlemen (95.5%) and every hotelier and exporter combined size, weight, shell condition and claw size. The one middleman using weight alone was at Shimoni. Grading criteria did not vary by site among middlemen (p = 1.000), and did not vary at all among fishers.</w:t>
      </w:r>
    </w:p>
    <w:p>
      <w:pPr>
        <w:spacing w:after="0" w:before="240" w:line="240"/>
      </w:pPr>
      <w:bookmarkStart w:id="41050" w:name="_Fig20"/>
      <w:r>
        <w:rPr>
          <w:rFonts w:ascii="Times New Roman" w:cs="Times New Roman" w:eastAsia="Times New Roman" w:hAnsi="Times New Roman"/>
          <w:b/>
          <w:bCs/>
          <w:color w:val="000000"/>
          <w:sz w:val="24"/>
          <w:szCs w:val="24"/>
        </w:rPr>
        <w:t xml:space="preserve">Figure 20</w:t>
      </w:r>
      <w:bookmarkEnd w:id="41050"/>
    </w:p>
    <w:p>
      <w:pPr>
        <w:spacing w:after="120" w:before="0" w:line="240"/>
      </w:pPr>
      <w:r>
        <w:rPr>
          <w:rFonts w:ascii="Times New Roman" w:cs="Times New Roman" w:eastAsia="Times New Roman" w:hAnsi="Times New Roman"/>
          <w:i/>
          <w:iCs/>
          <w:color w:val="000000"/>
          <w:sz w:val="24"/>
          <w:szCs w:val="24"/>
        </w:rPr>
        <w:t xml:space="preserve">Criteria Used to Determine Crab Grade by Actor Category</w:t>
      </w:r>
    </w:p>
    <w:p>
      <w:pPr>
        <w:spacing w:after="100"/>
        <w:jc w:val="center"/>
      </w:pPr>
      <w:r>
        <w:drawing>
          <wp:inline distT="0" distB="0" distL="0" distR="0">
            <wp:extent cx="5715000"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715000" cy="1781175"/>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percentage within each actor category. Fishers graded on weight alone; every other category used a four-criterion rule.</w:t>
      </w:r>
    </w:p>
    <w:p>
      <w:pPr>
        <w:spacing w:after="0" w:before="240" w:line="240"/>
      </w:pPr>
      <w:bookmarkStart w:id="41051" w:name="_Tbl31"/>
      <w:r>
        <w:rPr>
          <w:rFonts w:ascii="Times New Roman" w:cs="Times New Roman" w:eastAsia="Times New Roman" w:hAnsi="Times New Roman"/>
          <w:b/>
          <w:bCs/>
          <w:color w:val="000000"/>
          <w:sz w:val="24"/>
          <w:szCs w:val="24"/>
        </w:rPr>
        <w:t xml:space="preserve">Table 31</w:t>
      </w:r>
      <w:bookmarkEnd w:id="41051"/>
    </w:p>
    <w:p>
      <w:pPr>
        <w:spacing w:after="120" w:before="0" w:line="240"/>
      </w:pPr>
      <w:r>
        <w:rPr>
          <w:rFonts w:ascii="Times New Roman" w:cs="Times New Roman" w:eastAsia="Times New Roman" w:hAnsi="Times New Roman"/>
          <w:b w:val="false"/>
          <w:bCs w:val="false"/>
          <w:i/>
          <w:iCs/>
          <w:color w:val="000000"/>
          <w:sz w:val="24"/>
          <w:szCs w:val="24"/>
        </w:rPr>
        <w:t xml:space="preserve">Quality Measures Before Market and Use of Formal Quality Control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Quality measure before the market</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Inspections, certification and packaging standards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Packaging standards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Tying the claws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Inspections, certification and packaging standards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Packaging standards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(95.5%)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(90.9%)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Tying the claws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Inspections, certification and packaging standards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Packaging standards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Tying the claws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Inspections, certification and packaging standards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Packaging standards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Tying the claws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Uses formal quality-control measures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31 shows the same asymmetry in quality assurance. Fishers tied the claws (65, 100.0%); middlemen (21, 95.5%) and hoteliers cited packaging standards; exporters cited inspections, certification and packaging standards. Formal quality-control measures were reported by all nine downstream actors and by none of the 87 fishers and middlemen.</w:t>
      </w:r>
    </w:p>
    <w:p>
      <w:pPr>
        <w:spacing w:after="0" w:before="240" w:line="240"/>
      </w:pPr>
      <w:bookmarkStart w:id="41052" w:name="_Tbl32"/>
      <w:r>
        <w:rPr>
          <w:rFonts w:ascii="Times New Roman" w:cs="Times New Roman" w:eastAsia="Times New Roman" w:hAnsi="Times New Roman"/>
          <w:b/>
          <w:bCs/>
          <w:color w:val="000000"/>
          <w:sz w:val="24"/>
          <w:szCs w:val="24"/>
        </w:rPr>
        <w:t xml:space="preserve">Table 32</w:t>
      </w:r>
      <w:bookmarkEnd w:id="41052"/>
    </w:p>
    <w:p>
      <w:pPr>
        <w:spacing w:after="120" w:before="0" w:line="240"/>
      </w:pPr>
      <w:r>
        <w:rPr>
          <w:rFonts w:ascii="Times New Roman" w:cs="Times New Roman" w:eastAsia="Times New Roman" w:hAnsi="Times New Roman"/>
          <w:b w:val="false"/>
          <w:bCs w:val="false"/>
          <w:i/>
          <w:iCs/>
          <w:color w:val="000000"/>
          <w:sz w:val="24"/>
          <w:szCs w:val="24"/>
        </w:rPr>
        <w:t xml:space="preserve">Size Label and Grade Assignment for Large Crabs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Reported large-crab size category</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53 (81.5%)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(56.0%)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 (95.2%)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.001</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All sizes / mixed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(18.5%)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(44.0%)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(4.8%)</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All sizes / mixed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All sizes / mixed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All sizes / mixed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Grade assigned to large crabs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50 (76.9%)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(56.0%)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17 (81.0%)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 (23.1%)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(44.0%)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32, 53 fishers (81.5%) used the Large label for their biggest crabs while 12 (18.5%) recorded all sizes or mixed, and 50 (76.9%) assigned Grade A while 15 (23.1%) assigned a mixed grade. Every middleman, hotelier and exporter who answered used the plain labels. The fisher pattern varied significantly by site (p = .001): at Shimoni only 14 of 25 (56.0%) used the Large label, against all 14 at Majoreni and 20 of 21 (95.2%) at Vanga.</w:t>
      </w:r>
    </w:p>
    <w:p>
      <w:pPr>
        <w:spacing w:after="0" w:before="240" w:line="240"/>
      </w:pPr>
      <w:bookmarkStart w:id="41053" w:name="_Fig21"/>
      <w:r>
        <w:rPr>
          <w:rFonts w:ascii="Times New Roman" w:cs="Times New Roman" w:eastAsia="Times New Roman" w:hAnsi="Times New Roman"/>
          <w:b/>
          <w:bCs/>
          <w:color w:val="000000"/>
          <w:sz w:val="24"/>
          <w:szCs w:val="24"/>
        </w:rPr>
        <w:t xml:space="preserve">Figure 21</w:t>
      </w:r>
      <w:bookmarkEnd w:id="41053"/>
    </w:p>
    <w:p>
      <w:pPr>
        <w:spacing w:after="120" w:before="0" w:line="240"/>
      </w:pPr>
      <w:r>
        <w:rPr>
          <w:rFonts w:ascii="Times New Roman" w:cs="Times New Roman" w:eastAsia="Times New Roman" w:hAnsi="Times New Roman"/>
          <w:i/>
          <w:iCs/>
          <w:color w:val="000000"/>
          <w:sz w:val="24"/>
          <w:szCs w:val="24"/>
        </w:rPr>
        <w:t xml:space="preserve">Large-Crab Size Label Reported by Fishers Within Each BMU</w:t>
      </w:r>
    </w:p>
    <w:p>
      <w:pPr>
        <w:spacing w:after="100"/>
        <w:jc w:val="center"/>
      </w:pPr>
      <w:r>
        <w:drawing>
          <wp:inline distT="0" distB="0" distL="0" distR="0">
            <wp:extent cx="57150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715000" cy="2752725"/>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percentage of fishers within each BMU using each label. The Other sites group is excluded from the site comparison.</w:t>
      </w:r>
    </w:p>
    <w:p>
      <w:pPr>
        <w:spacing w:after="0" w:before="240" w:line="240"/>
      </w:pPr>
      <w:bookmarkStart w:id="41054" w:name="_Tbl33"/>
      <w:r>
        <w:rPr>
          <w:rFonts w:ascii="Times New Roman" w:cs="Times New Roman" w:eastAsia="Times New Roman" w:hAnsi="Times New Roman"/>
          <w:b/>
          <w:bCs/>
          <w:color w:val="000000"/>
          <w:sz w:val="24"/>
          <w:szCs w:val="24"/>
        </w:rPr>
        <w:t xml:space="preserve">Table 33</w:t>
      </w:r>
      <w:bookmarkEnd w:id="41054"/>
    </w:p>
    <w:p>
      <w:pPr>
        <w:spacing w:after="120" w:before="0" w:line="240"/>
      </w:pPr>
      <w:r>
        <w:rPr>
          <w:rFonts w:ascii="Times New Roman" w:cs="Times New Roman" w:eastAsia="Times New Roman" w:hAnsi="Times New Roman"/>
          <w:b w:val="false"/>
          <w:bCs w:val="false"/>
          <w:i/>
          <w:iCs/>
          <w:color w:val="000000"/>
          <w:sz w:val="24"/>
          <w:szCs w:val="24"/>
        </w:rPr>
        <w:t xml:space="preserve">Size Label and Grade Assignment for Medium Crabs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Reported medium-crab size category</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Medium</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 (96.9%)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23 (92.0%)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.406</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size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(3.1%)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Medium</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size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Medium</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size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Medium</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size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Grade assigned to medium crabs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B</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51 (78.5%)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 (60.0%)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17 (81.0%)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(21.5%)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(40.0%)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B</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B</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B</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33 shows a narrower spread for medium crabs. Sixty-three fishers (96.9%) used the Medium label and 51 (78.5%) assigned Grade B, against 14 (21.5%) who assigned a mixed grade. Every middleman and exporter used the plain labels. The medium-size label was not associated with BMU (p = .406). Hoteliers did not complete the medium-crab grading items.</w:t>
      </w:r>
    </w:p>
    <w:p>
      <w:pPr>
        <w:spacing w:after="0" w:before="240" w:line="240"/>
      </w:pPr>
      <w:bookmarkStart w:id="41055" w:name="_Tbl34"/>
      <w:r>
        <w:rPr>
          <w:rFonts w:ascii="Times New Roman" w:cs="Times New Roman" w:eastAsia="Times New Roman" w:hAnsi="Times New Roman"/>
          <w:b/>
          <w:bCs/>
          <w:color w:val="000000"/>
          <w:sz w:val="24"/>
          <w:szCs w:val="24"/>
        </w:rPr>
        <w:t xml:space="preserve">Table 34</w:t>
      </w:r>
      <w:bookmarkEnd w:id="41055"/>
    </w:p>
    <w:p>
      <w:pPr>
        <w:spacing w:after="120" w:before="0" w:line="240"/>
      </w:pPr>
      <w:r>
        <w:rPr>
          <w:rFonts w:ascii="Times New Roman" w:cs="Times New Roman" w:eastAsia="Times New Roman" w:hAnsi="Times New Roman"/>
          <w:b w:val="false"/>
          <w:bCs w:val="false"/>
          <w:i/>
          <w:iCs/>
          <w:color w:val="000000"/>
          <w:sz w:val="24"/>
          <w:szCs w:val="24"/>
        </w:rPr>
        <w:t xml:space="preserve">Size Label and Grade Assignment for Small Crabs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Reported small-crab size category</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Small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56 (86.2%)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(64.0%)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.002</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size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(13.8%)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(36.0%)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Small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size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Small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size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Small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size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Grade assigned to small crabs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C</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59 (90.8%)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(88.0%)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 (85.7%)</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(9.2%)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(14.3%)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C</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C</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C</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34 covers the small grade, reported by fishers only. Fifty-six fishers (86.2%) used the Small label and 59 (90.8%) assigned Grade C, while 9 (13.8%) recorded mixed size and 6 (9.2%) a mixed grade. Small-size labelling varied significantly by site (p = .002), with 16 of 25 Shimoni fishers (64.0%) using the plain label against all fishers at Majoreni, Vanga and Msambweni.</w:t>
      </w:r>
    </w:p>
    <w:p>
      <w:pPr>
        <w:spacing w:after="120" w:before="0" w:line="360"/>
        <w:jc w:val="both"/>
      </w:pPr>
      <w:r>
        <w:rPr>
          <w:rFonts w:ascii="Times New Roman" w:cs="Times New Roman" w:eastAsia="Times New Roman" w:hAnsi="Times New Roman"/>
          <w:color w:val="000000"/>
          <w:sz w:val="24"/>
          <w:szCs w:val="24"/>
        </w:rPr>
        <w:t xml:space="preserve">Tables 26 to 30 identify the mechanism by which value is captured downstream. A fisher can weigh a crab as accurately as anyone; what he cannot do is price the shell condition and claw size his buyer is paying for, or verify independently that the grade offered is the grade the animal deserves. The site variation in labelling compounds the problem. The survey recorded the word used, not a measured carapace width, so this is a matter of vocabulary rather than biology — but a Shimoni fisher and his buyer may not mean the same thing by the word large, and that is precisely the condition under which a grading dispute resolves in favour of the better-informed party.</w:t>
      </w:r>
    </w:p>
    <w:p>
      <w:pPr>
        <w:pStyle w:val="Heading3"/>
        <w:spacing w:after="120" w:before="240" w:line="360"/>
        <w:outlineLvl w:val="2"/>
      </w:pPr>
      <w:bookmarkStart w:id="52066" w:name="_Toc_66"/>
      <w:r>
        <w:rPr>
          <w:rFonts w:ascii="Times New Roman" w:cs="Times New Roman" w:eastAsia="Times New Roman" w:hAnsi="Times New Roman"/>
          <w:b/>
          <w:bCs/>
          <w:color w:val="000000"/>
          <w:sz w:val="24"/>
          <w:szCs w:val="24"/>
        </w:rPr>
        <w:t xml:space="preserve">4.4.5 Reported Losses</w:t>
      </w:r>
      <w:bookmarkEnd w:id="52066"/>
    </w:p>
    <w:p>
      <w:pPr>
        <w:spacing w:after="0" w:before="240" w:line="240"/>
      </w:pPr>
      <w:bookmarkStart w:id="41056" w:name="_Tbl35"/>
      <w:r>
        <w:rPr>
          <w:rFonts w:ascii="Times New Roman" w:cs="Times New Roman" w:eastAsia="Times New Roman" w:hAnsi="Times New Roman"/>
          <w:b/>
          <w:bCs/>
          <w:color w:val="000000"/>
          <w:sz w:val="24"/>
          <w:szCs w:val="24"/>
        </w:rPr>
        <w:t xml:space="preserve">Table 35</w:t>
      </w:r>
      <w:bookmarkEnd w:id="41056"/>
    </w:p>
    <w:p>
      <w:pPr>
        <w:spacing w:after="120" w:before="0" w:line="240"/>
      </w:pPr>
      <w:r>
        <w:rPr>
          <w:rFonts w:ascii="Times New Roman" w:cs="Times New Roman" w:eastAsia="Times New Roman" w:hAnsi="Times New Roman"/>
          <w:b w:val="false"/>
          <w:bCs w:val="false"/>
          <w:i/>
          <w:iCs/>
          <w:color w:val="000000"/>
          <w:sz w:val="24"/>
          <w:szCs w:val="24"/>
        </w:rPr>
        <w:t xml:space="preserve">Reported Daily Mortality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Reported daily mortality quantity</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Frozen / no mortality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0.5-1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4-5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Above 10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Frozen / no mortality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0.5-1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4-5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(95.5%)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(90.9%)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Above 10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Frozen / no mortality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0.5-1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4-5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Above 10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Frozen / no mortality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0.5-1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4-5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Above 10 kg</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35 shows that losses rise with the volume each actor holds. All 65 fishers reported daily mortality of 0.5 to 1 kg; 21 of 22 middlemen (95.5%) reported 4 to 5 kg; all four exporters reported more than 10 kg; and all five hoteliers reported no mortality because they froze the product on arrival. Mortality was not associated with BMU among middlemen (p = 1.000).</w:t>
      </w:r>
    </w:p>
    <w:p>
      <w:pPr>
        <w:spacing w:after="0" w:before="240" w:line="240"/>
      </w:pPr>
      <w:bookmarkStart w:id="41057" w:name="_Fig22"/>
      <w:r>
        <w:rPr>
          <w:rFonts w:ascii="Times New Roman" w:cs="Times New Roman" w:eastAsia="Times New Roman" w:hAnsi="Times New Roman"/>
          <w:b/>
          <w:bCs/>
          <w:color w:val="000000"/>
          <w:sz w:val="24"/>
          <w:szCs w:val="24"/>
        </w:rPr>
        <w:t xml:space="preserve">Figure 22</w:t>
      </w:r>
      <w:bookmarkEnd w:id="41057"/>
    </w:p>
    <w:p>
      <w:pPr>
        <w:spacing w:after="120" w:before="0" w:line="240"/>
      </w:pPr>
      <w:r>
        <w:rPr>
          <w:rFonts w:ascii="Times New Roman" w:cs="Times New Roman" w:eastAsia="Times New Roman" w:hAnsi="Times New Roman"/>
          <w:i/>
          <w:iCs/>
          <w:color w:val="000000"/>
          <w:sz w:val="24"/>
          <w:szCs w:val="24"/>
        </w:rPr>
        <w:t xml:space="preserve">Reported Daily Mortality by Actor Category</w:t>
      </w:r>
    </w:p>
    <w:p>
      <w:pPr>
        <w:spacing w:after="100"/>
        <w:jc w:val="center"/>
      </w:pPr>
      <w:r>
        <w:drawing>
          <wp:inline distT="0" distB="0" distL="0" distR="0">
            <wp:extent cx="57150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715000" cy="2600325"/>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percentage within each actor category. Hoteliers reported no mortality because crabs were frozen on arrival.</w:t>
      </w:r>
    </w:p>
    <w:p>
      <w:pPr>
        <w:spacing w:after="0" w:before="240" w:line="240"/>
      </w:pPr>
      <w:bookmarkStart w:id="41058" w:name="_Tbl36"/>
      <w:r>
        <w:rPr>
          <w:rFonts w:ascii="Times New Roman" w:cs="Times New Roman" w:eastAsia="Times New Roman" w:hAnsi="Times New Roman"/>
          <w:b/>
          <w:bCs/>
          <w:color w:val="000000"/>
          <w:sz w:val="24"/>
          <w:szCs w:val="24"/>
        </w:rPr>
        <w:t xml:space="preserve">Table 36</w:t>
      </w:r>
      <w:bookmarkEnd w:id="41058"/>
    </w:p>
    <w:p>
      <w:pPr>
        <w:spacing w:after="120" w:before="0" w:line="240"/>
      </w:pPr>
      <w:r>
        <w:rPr>
          <w:rFonts w:ascii="Times New Roman" w:cs="Times New Roman" w:eastAsia="Times New Roman" w:hAnsi="Times New Roman"/>
          <w:b w:val="false"/>
          <w:bCs w:val="false"/>
          <w:i/>
          <w:iCs/>
          <w:color w:val="000000"/>
          <w:sz w:val="24"/>
          <w:szCs w:val="24"/>
        </w:rPr>
        <w:t xml:space="preserve">Reported Loss Through Spoilage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Reported loss through spoilage</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3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Above 10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.066</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3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(40.9%)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(63.6%)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 (59.1%)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(36.4%)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(71.4%)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Above 10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3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Above 10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3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Above 10 kg</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36 covers spoilage, an item not put to fishers. Middlemen reported 5 kg (13, 59.1%) or 3 kg (9, 40.9%), the 5 kg share rising from 4 (36.4%) at Shimoni to all four (100.0%) at Vanga; the site difference approached but did not reach significance (p = .066). All five hoteliers reported 1 kg and all four exporters more than 10 kg.</w:t>
      </w:r>
    </w:p>
    <w:p>
      <w:pPr>
        <w:spacing w:after="120" w:before="0" w:line="360"/>
        <w:jc w:val="both"/>
      </w:pPr>
      <w:r>
        <w:rPr>
          <w:rFonts w:ascii="Times New Roman" w:cs="Times New Roman" w:eastAsia="Times New Roman" w:hAnsi="Times New Roman"/>
          <w:color w:val="000000"/>
          <w:sz w:val="24"/>
          <w:szCs w:val="24"/>
        </w:rPr>
        <w:t xml:space="preserve">Read together, Tables 31 and 32 show a chain in which every actor loses stock and none records it against a shared standard. The actor holding live crabs carries the loss, and because no one measures it consistently the cost of mortality cannot be priced into a grade or recovered through one.</w:t>
      </w:r>
    </w:p>
    <w:p>
      <w:pPr>
        <w:pStyle w:val="Heading3"/>
        <w:spacing w:after="120" w:before="240" w:line="360"/>
        <w:outlineLvl w:val="2"/>
      </w:pPr>
      <w:bookmarkStart w:id="52067" w:name="_Toc_67"/>
      <w:r>
        <w:rPr>
          <w:rFonts w:ascii="Times New Roman" w:cs="Times New Roman" w:eastAsia="Times New Roman" w:hAnsi="Times New Roman"/>
          <w:b/>
          <w:bCs/>
          <w:color w:val="000000"/>
          <w:sz w:val="24"/>
          <w:szCs w:val="24"/>
        </w:rPr>
        <w:t xml:space="preserve">4.4.6 Payment, Price Setting and Sale Location</w:t>
      </w:r>
      <w:bookmarkEnd w:id="52067"/>
    </w:p>
    <w:p>
      <w:pPr>
        <w:spacing w:after="0" w:before="240" w:line="240"/>
      </w:pPr>
      <w:bookmarkStart w:id="41059" w:name="_Tbl37"/>
      <w:r>
        <w:rPr>
          <w:rFonts w:ascii="Times New Roman" w:cs="Times New Roman" w:eastAsia="Times New Roman" w:hAnsi="Times New Roman"/>
          <w:b/>
          <w:bCs/>
          <w:color w:val="000000"/>
          <w:sz w:val="24"/>
          <w:szCs w:val="24"/>
        </w:rPr>
        <w:t xml:space="preserve">Table 37</w:t>
      </w:r>
      <w:bookmarkEnd w:id="41059"/>
    </w:p>
    <w:p>
      <w:pPr>
        <w:spacing w:after="120" w:before="0" w:line="240"/>
      </w:pPr>
      <w:r>
        <w:rPr>
          <w:rFonts w:ascii="Times New Roman" w:cs="Times New Roman" w:eastAsia="Times New Roman" w:hAnsi="Times New Roman"/>
          <w:b w:val="false"/>
          <w:bCs w:val="false"/>
          <w:i/>
          <w:iCs/>
          <w:color w:val="000000"/>
          <w:sz w:val="24"/>
          <w:szCs w:val="24"/>
        </w:rPr>
        <w:t xml:space="preserve">Mode of Payment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Mode of payment</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Cash on delivery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(15.4%)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.515</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 (27.7%)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M-Pesa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 (46.2%)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(44.0%)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(50.0%)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(42.9%)</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M-Pesa and cash</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M-Pesa and 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Cash on delivery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.470</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(40.9%)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(54.5%)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M-Pesa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(31.8%)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(18.2%)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M-Pesa and cash</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M-Pesa and 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Cash on delivery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M-Pesa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M-Pesa and cash</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M-Pesa and 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Cash on delivery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M-Pesa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M-Pesa and cash</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M-Pesa and credit</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37, M-Pesa was the commonest single arrangement among fishers (30, 46.2%), but credit accounted for 18 (27.7%) and a further 7 (10.8%) combined M-Pesa with credit, so close to two fishers in five were paid at least partly on credit by the very middleman buying from them. Cash on delivery accounted for 10 (15.4%). Middlemen most often reported credit themselves (9, 40.9%), followed by M-Pesa (7, 31.8%) and cash on delivery (6, 27.3%). All five hoteliers used M-Pesa and cash together; the item was not completed by exporters. Payment was not associated with BMU for fishers (p = .515) or middlemen (p = .470).</w:t>
      </w:r>
    </w:p>
    <w:p>
      <w:pPr>
        <w:spacing w:after="0" w:before="240" w:line="240"/>
      </w:pPr>
      <w:bookmarkStart w:id="41060" w:name="_Fig23"/>
      <w:r>
        <w:rPr>
          <w:rFonts w:ascii="Times New Roman" w:cs="Times New Roman" w:eastAsia="Times New Roman" w:hAnsi="Times New Roman"/>
          <w:b/>
          <w:bCs/>
          <w:color w:val="000000"/>
          <w:sz w:val="24"/>
          <w:szCs w:val="24"/>
        </w:rPr>
        <w:t xml:space="preserve">Figure 23</w:t>
      </w:r>
      <w:bookmarkEnd w:id="41060"/>
    </w:p>
    <w:p>
      <w:pPr>
        <w:spacing w:after="120" w:before="0" w:line="240"/>
      </w:pPr>
      <w:r>
        <w:rPr>
          <w:rFonts w:ascii="Times New Roman" w:cs="Times New Roman" w:eastAsia="Times New Roman" w:hAnsi="Times New Roman"/>
          <w:i/>
          <w:iCs/>
          <w:color w:val="000000"/>
          <w:sz w:val="24"/>
          <w:szCs w:val="24"/>
        </w:rPr>
        <w:t xml:space="preserve">Mode of Payment by Actor Category</w:t>
      </w:r>
    </w:p>
    <w:p>
      <w:pPr>
        <w:spacing w:after="10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715000" cy="2400300"/>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percentage within each actor category. The payment item was not completed by exporters.</w:t>
      </w:r>
    </w:p>
    <w:p>
      <w:pPr>
        <w:spacing w:after="0" w:before="240" w:line="240"/>
      </w:pPr>
      <w:bookmarkStart w:id="41061" w:name="_Tbl38"/>
      <w:r>
        <w:rPr>
          <w:rFonts w:ascii="Times New Roman" w:cs="Times New Roman" w:eastAsia="Times New Roman" w:hAnsi="Times New Roman"/>
          <w:b/>
          <w:bCs/>
          <w:color w:val="000000"/>
          <w:sz w:val="24"/>
          <w:szCs w:val="24"/>
        </w:rPr>
        <w:t xml:space="preserve">Table 38</w:t>
      </w:r>
      <w:bookmarkEnd w:id="41061"/>
    </w:p>
    <w:p>
      <w:pPr>
        <w:spacing w:after="120" w:before="0" w:line="240"/>
      </w:pPr>
      <w:r>
        <w:rPr>
          <w:rFonts w:ascii="Times New Roman" w:cs="Times New Roman" w:eastAsia="Times New Roman" w:hAnsi="Times New Roman"/>
          <w:b w:val="false"/>
          <w:bCs w:val="false"/>
          <w:i/>
          <w:iCs/>
          <w:color w:val="000000"/>
          <w:sz w:val="24"/>
          <w:szCs w:val="24"/>
        </w:rPr>
        <w:t xml:space="preserve">Pricing Mechanism and How Prices Are Set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Standard pricing mechanism is used</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How mud crab prices are set</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Competitive pricing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Fixed pricing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Competitive pricing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(63.6%)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(54.5%)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(71.4%)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.722</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Fixed pricing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(36.4%)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Competitive pricing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Fixed pricing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Competitive pricing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Fixed pricing</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38 divides the chain in two. Not one respondent in any actor category, at any site, reported using a standard pricing mechanism. All 65 fishers and all five hoteliers described the price as fixed, meaning the buyer set it and told them; 14 of 22 middlemen (63.6%) and all four exporters described their own pricing as competitive. Price setting was not associated with BMU among middlemen (p = .722).</w:t>
      </w:r>
    </w:p>
    <w:p>
      <w:pPr>
        <w:spacing w:after="0" w:before="240" w:line="240"/>
      </w:pPr>
      <w:bookmarkStart w:id="41062" w:name="_Fig24"/>
      <w:r>
        <w:rPr>
          <w:rFonts w:ascii="Times New Roman" w:cs="Times New Roman" w:eastAsia="Times New Roman" w:hAnsi="Times New Roman"/>
          <w:b/>
          <w:bCs/>
          <w:color w:val="000000"/>
          <w:sz w:val="24"/>
          <w:szCs w:val="24"/>
        </w:rPr>
        <w:t xml:space="preserve">Figure 24</w:t>
      </w:r>
      <w:bookmarkEnd w:id="41062"/>
    </w:p>
    <w:p>
      <w:pPr>
        <w:spacing w:after="120" w:before="0" w:line="240"/>
      </w:pPr>
      <w:r>
        <w:rPr>
          <w:rFonts w:ascii="Times New Roman" w:cs="Times New Roman" w:eastAsia="Times New Roman" w:hAnsi="Times New Roman"/>
          <w:i/>
          <w:iCs/>
          <w:color w:val="000000"/>
          <w:sz w:val="24"/>
          <w:szCs w:val="24"/>
        </w:rPr>
        <w:t xml:space="preserve">How Mud Crab Prices Are Set, by Actor Category</w:t>
      </w:r>
    </w:p>
    <w:p>
      <w:pPr>
        <w:spacing w:after="100"/>
        <w:jc w:val="center"/>
      </w:pPr>
      <w:r>
        <w:drawing>
          <wp:inline distT="0" distB="0" distL="0" distR="0">
            <wp:extent cx="5715000"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715000" cy="1847850"/>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percentage within each actor category. Fishers and hoteliers described the price as fixed by the buyer; middlemen and exporters described their own pricing as competitive.</w:t>
      </w:r>
    </w:p>
    <w:p>
      <w:pPr>
        <w:spacing w:after="0" w:before="240" w:line="240"/>
      </w:pPr>
      <w:bookmarkStart w:id="41063" w:name="_Tbl39"/>
      <w:r>
        <w:rPr>
          <w:rFonts w:ascii="Times New Roman" w:cs="Times New Roman" w:eastAsia="Times New Roman" w:hAnsi="Times New Roman"/>
          <w:b/>
          <w:bCs/>
          <w:color w:val="000000"/>
          <w:sz w:val="24"/>
          <w:szCs w:val="24"/>
        </w:rPr>
        <w:t xml:space="preserve">Table 39</w:t>
      </w:r>
      <w:bookmarkEnd w:id="41063"/>
    </w:p>
    <w:p>
      <w:pPr>
        <w:spacing w:after="120" w:before="0" w:line="240"/>
      </w:pPr>
      <w:r>
        <w:rPr>
          <w:rFonts w:ascii="Times New Roman" w:cs="Times New Roman" w:eastAsia="Times New Roman" w:hAnsi="Times New Roman"/>
          <w:b w:val="false"/>
          <w:bCs w:val="false"/>
          <w:i/>
          <w:iCs/>
          <w:color w:val="000000"/>
          <w:sz w:val="24"/>
          <w:szCs w:val="24"/>
        </w:rPr>
        <w:t xml:space="preserve">Factors Influencing Price Fluctuations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Factors influencing price fluctuations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and economic factors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factors only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weather and regulatory factors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and economic factors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(63.6%)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(85.7%)</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.238</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factors only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weather and regulatory factors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(36.4%)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(54.5%)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and economic factors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factors only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weather and regulatory factors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and economic factors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factors only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weather and regulatory factors</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39 shows that actors attributed price movement to different causes. All 65 fishers and all four exporters cited seasonal, weather and regulatory factors; 14 of 22 middlemen (63.6%) cited seasonal and economic factors; all five hoteliers cited seasonal factors alone. Among middlemen the factor named was not associated with BMU (p = .238).</w:t>
      </w:r>
    </w:p>
    <w:p>
      <w:pPr>
        <w:spacing w:after="120" w:before="0" w:line="360"/>
        <w:jc w:val="both"/>
      </w:pPr>
      <w:r>
        <w:rPr>
          <w:rFonts w:ascii="Times New Roman" w:cs="Times New Roman" w:eastAsia="Times New Roman" w:hAnsi="Times New Roman"/>
          <w:color w:val="000000"/>
          <w:sz w:val="24"/>
          <w:szCs w:val="24"/>
        </w:rPr>
        <w:t xml:space="preserve">Tables 37 to 39 describe the moment at which the terms of exchange are settled. The fisher sells at the beach, on the day, at a price the buyer sets, and is often paid at least partly in credit by that same buyer. Fixed at the fisher node and competitive at the middleman node are the same transaction described from either end.</w:t>
      </w:r>
    </w:p>
    <w:p>
      <w:pPr>
        <w:pStyle w:val="Heading3"/>
        <w:spacing w:after="120" w:before="240" w:line="360"/>
        <w:outlineLvl w:val="2"/>
      </w:pPr>
      <w:bookmarkStart w:id="52068" w:name="_Toc_68"/>
      <w:r>
        <w:rPr>
          <w:rFonts w:ascii="Times New Roman" w:cs="Times New Roman" w:eastAsia="Times New Roman" w:hAnsi="Times New Roman"/>
          <w:b/>
          <w:bCs/>
          <w:color w:val="000000"/>
          <w:sz w:val="24"/>
          <w:szCs w:val="24"/>
        </w:rPr>
        <w:t xml:space="preserve">4.4.7 Trading Relationships and Market Information</w:t>
      </w:r>
      <w:bookmarkEnd w:id="52068"/>
    </w:p>
    <w:p>
      <w:pPr>
        <w:spacing w:after="0" w:before="240" w:line="240"/>
      </w:pPr>
      <w:bookmarkStart w:id="41064" w:name="_Tbl40"/>
      <w:r>
        <w:rPr>
          <w:rFonts w:ascii="Times New Roman" w:cs="Times New Roman" w:eastAsia="Times New Roman" w:hAnsi="Times New Roman"/>
          <w:b/>
          <w:bCs/>
          <w:color w:val="000000"/>
          <w:sz w:val="24"/>
          <w:szCs w:val="24"/>
        </w:rPr>
        <w:t xml:space="preserve">Table 40</w:t>
      </w:r>
      <w:bookmarkEnd w:id="41064"/>
    </w:p>
    <w:p>
      <w:pPr>
        <w:spacing w:after="120" w:before="0" w:line="240"/>
      </w:pPr>
      <w:r>
        <w:rPr>
          <w:rFonts w:ascii="Times New Roman" w:cs="Times New Roman" w:eastAsia="Times New Roman" w:hAnsi="Times New Roman"/>
          <w:b w:val="false"/>
          <w:bCs w:val="false"/>
          <w:i/>
          <w:iCs/>
          <w:color w:val="000000"/>
          <w:sz w:val="24"/>
          <w:szCs w:val="24"/>
        </w:rPr>
        <w:t xml:space="preserve">Tied Depot Owners and Arrangements With Tied Fishers and Traders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Has depot owners tied to the business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9</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9</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(95.5%)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(90.9%)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Arrangement with tied fishers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Arrangement with tied traders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38 (58.5%)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(56.0%)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(64.3%)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 (61.9%)</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Fixed price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(13.8%)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 (27.7%)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(35.7%)</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11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(90.9%)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(80.0%)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Fixed price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11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11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Fixed price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Fixed price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40 records depot ties and the terms attached to tied relationships. Depot owners were tied to the business for 22 middlemen (100.0%), all five hoteliers and all four exporters, but for only 1 of the 9 fishers who answered (11.1%). Where middlemen and hoteliers had tied fishers, the arrangement was credit in every case — 21 middlemen and 5 hoteliers, 100.0% of those answering. Arrangements with tied traders were more varied: every fisher who answered named credit, while middlemen named credit (7, 63.6%) or fixed price (4, 36.4%), and hoteliers and exporters named frequency of supply.</w:t>
      </w:r>
    </w:p>
    <w:p>
      <w:pPr>
        <w:spacing w:after="120" w:before="0" w:line="360"/>
        <w:jc w:val="both"/>
      </w:pPr>
      <w:r>
        <w:rPr>
          <w:rFonts w:ascii="Times New Roman" w:cs="Times New Roman" w:eastAsia="Times New Roman" w:hAnsi="Times New Roman"/>
          <w:color w:val="000000"/>
          <w:sz w:val="24"/>
          <w:szCs w:val="24"/>
        </w:rPr>
        <w:t xml:space="preserve">This is the clearest statement in the chapter of what ties an upstream actor to a downstream one. It is not a contract and not a price guarantee; it is credit. Every one of the 21 middlemen with tied fishers held them through an advance, and every fisher describing his own tie to a trader described the same instrument. Read against Table 14, where 93.8% of fishers named a middleman as their source of credit, the two tables describe a single mechanism from both ends.</w:t>
      </w:r>
    </w:p>
    <w:p>
      <w:pPr>
        <w:spacing w:after="0" w:before="240" w:line="240"/>
      </w:pPr>
      <w:bookmarkStart w:id="41065" w:name="_Tbl41"/>
      <w:r>
        <w:rPr>
          <w:rFonts w:ascii="Times New Roman" w:cs="Times New Roman" w:eastAsia="Times New Roman" w:hAnsi="Times New Roman"/>
          <w:b/>
          <w:bCs/>
          <w:color w:val="000000"/>
          <w:sz w:val="24"/>
          <w:szCs w:val="24"/>
        </w:rPr>
        <w:t xml:space="preserve">Table 41</w:t>
      </w:r>
      <w:bookmarkEnd w:id="41065"/>
    </w:p>
    <w:p>
      <w:pPr>
        <w:spacing w:after="120" w:before="0" w:line="240"/>
      </w:pPr>
      <w:r>
        <w:rPr>
          <w:rFonts w:ascii="Times New Roman" w:cs="Times New Roman" w:eastAsia="Times New Roman" w:hAnsi="Times New Roman"/>
          <w:b w:val="false"/>
          <w:bCs w:val="false"/>
          <w:i/>
          <w:iCs/>
          <w:color w:val="000000"/>
          <w:sz w:val="24"/>
          <w:szCs w:val="24"/>
        </w:rPr>
        <w:t xml:space="preserve">Arrangements Used With Tied Depot Owners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Arrangement with tied depot owners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56</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56</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 and 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56</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Supply quantity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56</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56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17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 (71.4%)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(80.0%)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 and 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(9.5%)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Supply quantity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 and 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Supply quantity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 and 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Supply quantity</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41, arrangements with tied depot owners were reported by 56 fishers and 21 middlemen. Fishers named frequency of supply (31, 55.4%) or credit (25, 44.6%); middlemen named supply quantity (10, 47.6%), frequency of supply and credit together (7, 33.3%) or credit alone (4, 19.0%). No hotelier or exporter completed the item.</w:t>
      </w:r>
    </w:p>
    <w:p>
      <w:pPr>
        <w:spacing w:after="120" w:before="0" w:line="360"/>
        <w:jc w:val="both"/>
      </w:pPr>
      <w:r>
        <w:rPr>
          <w:rFonts w:ascii="Times New Roman" w:cs="Times New Roman" w:eastAsia="Times New Roman" w:hAnsi="Times New Roman"/>
          <w:color w:val="000000"/>
          <w:sz w:val="24"/>
          <w:szCs w:val="24"/>
        </w:rPr>
        <w:t xml:space="preserve">Taken with Table 40, the pattern is that obligations become more commercial further down the chain. A fisher is held by an advance; a middleman is held by a quantity he has undertaken to deliver. Neither is a written contract in the ordinary sense, and Table 42 shows that only one of the ten fishers who answered reported having any trading agreement at all.</w:t>
      </w:r>
    </w:p>
    <w:p>
      <w:pPr>
        <w:spacing w:after="0" w:before="240" w:line="240"/>
      </w:pPr>
      <w:bookmarkStart w:id="41066" w:name="_Tbl42"/>
      <w:r>
        <w:rPr>
          <w:rFonts w:ascii="Times New Roman" w:cs="Times New Roman" w:eastAsia="Times New Roman" w:hAnsi="Times New Roman"/>
          <w:b/>
          <w:bCs/>
          <w:color w:val="000000"/>
          <w:sz w:val="24"/>
          <w:szCs w:val="24"/>
        </w:rPr>
        <w:t xml:space="preserve">Table 42</w:t>
      </w:r>
      <w:bookmarkEnd w:id="41066"/>
    </w:p>
    <w:p>
      <w:pPr>
        <w:spacing w:after="120" w:before="0" w:line="240"/>
      </w:pPr>
      <w:r>
        <w:rPr>
          <w:rFonts w:ascii="Times New Roman" w:cs="Times New Roman" w:eastAsia="Times New Roman" w:hAnsi="Times New Roman"/>
          <w:b w:val="false"/>
          <w:bCs w:val="false"/>
          <w:i/>
          <w:iCs/>
          <w:color w:val="000000"/>
          <w:sz w:val="24"/>
          <w:szCs w:val="24"/>
        </w:rPr>
        <w:t xml:space="preserve">Tied Fishers, Tied Traders and Trading Agreements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Has fishers tied to the business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(95.5%)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(90.9%)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Has traders tied to the business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(50.0%)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(50.0%)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(54.5%)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Has a formal or informal trading agreement</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10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10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(90.0%)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(95.5%)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(90.9%)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42 shows that tied relationships run downward. No fisher had a fisher tied to him, yet every fisher had a trader tied to his business; 21 of 22 middlemen (95.5%) and all five hoteliers had fishers tied to theirs, while middlemen split evenly on whether they had tied traders (11 and 11). Formal or informal trading agreements covered 21 middlemen (95.5%) and every hotelier and exporter, against 1 of the 10 fishers who answered the item (10.0%).</w:t>
      </w:r>
    </w:p>
    <w:p>
      <w:pPr>
        <w:spacing w:after="0" w:before="240" w:line="240"/>
      </w:pPr>
      <w:bookmarkStart w:id="41067" w:name="_Tbl43"/>
      <w:r>
        <w:rPr>
          <w:rFonts w:ascii="Times New Roman" w:cs="Times New Roman" w:eastAsia="Times New Roman" w:hAnsi="Times New Roman"/>
          <w:b/>
          <w:bCs/>
          <w:color w:val="000000"/>
          <w:sz w:val="24"/>
          <w:szCs w:val="24"/>
        </w:rPr>
        <w:t xml:space="preserve">Table 43</w:t>
      </w:r>
      <w:bookmarkEnd w:id="41067"/>
    </w:p>
    <w:p>
      <w:pPr>
        <w:spacing w:after="120" w:before="0" w:line="240"/>
      </w:pPr>
      <w:r>
        <w:rPr>
          <w:rFonts w:ascii="Times New Roman" w:cs="Times New Roman" w:eastAsia="Times New Roman" w:hAnsi="Times New Roman"/>
          <w:b w:val="false"/>
          <w:bCs w:val="false"/>
          <w:i/>
          <w:iCs/>
          <w:color w:val="000000"/>
          <w:sz w:val="24"/>
          <w:szCs w:val="24"/>
        </w:rPr>
        <w:t xml:space="preserve">Role of Intermediaries and Negotiation Terms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Role of intermediaries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24 (36.9%)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(40.0%)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(33.3%)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.925</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Negotiation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41 (63.1%)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 (60.0%)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(66.7%)</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Negotiation and marketing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Negotiation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(31.8%)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(36.4%)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Negotiation and marketing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(63.6%)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(54.5%)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(71.4%)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Negotiation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Negotiation and marketing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Negotiation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Negotiation and marketing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Terms used with intermediaries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Flexible terms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Flexible terms and competitive bidding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Flexible terms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Flexible terms and competitive bidding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Flexible terms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Flexible terms and competitive bidding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Flexible terms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Flexible terms and competitive bidding</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43, fishers saw the intermediary mainly as a negotiator (41, 63.1%) rather than a marketer (24, 36.9%); middlemen described their own role as negotiation and marketing together (14, 63.6%); hoteliers saw intermediaries as marketers and exporters as both. Terms were flexible for every fisher, middleman and hotelier, while all four exporters combined flexible terms with competitive bidding. Neither item was associated with BMU (p = .925 for fishers, p = 1.000 for middlemen).</w:t>
      </w:r>
    </w:p>
    <w:p>
      <w:pPr>
        <w:spacing w:after="0" w:before="240" w:line="240"/>
      </w:pPr>
      <w:bookmarkStart w:id="41068" w:name="_Tbl44"/>
      <w:r>
        <w:rPr>
          <w:rFonts w:ascii="Times New Roman" w:cs="Times New Roman" w:eastAsia="Times New Roman" w:hAnsi="Times New Roman"/>
          <w:b/>
          <w:bCs/>
          <w:color w:val="000000"/>
          <w:sz w:val="24"/>
          <w:szCs w:val="24"/>
        </w:rPr>
        <w:t xml:space="preserve">Table 44</w:t>
      </w:r>
      <w:bookmarkEnd w:id="41068"/>
    </w:p>
    <w:p>
      <w:pPr>
        <w:spacing w:after="120" w:before="0" w:line="240"/>
      </w:pPr>
      <w:r>
        <w:rPr>
          <w:rFonts w:ascii="Times New Roman" w:cs="Times New Roman" w:eastAsia="Times New Roman" w:hAnsi="Times New Roman"/>
          <w:b w:val="false"/>
          <w:bCs w:val="false"/>
          <w:i/>
          <w:iCs/>
          <w:color w:val="000000"/>
          <w:sz w:val="24"/>
          <w:szCs w:val="24"/>
        </w:rPr>
        <w:t xml:space="preserve">Technology Adoption and Market Research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Adopted technology or modern equipment</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Conducts market research</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44 carries no variation at all, and is the more striking for it. Not one respondent in any actor category, at any site, had adopted modern equipment, and not one conducted market research. The figure was 0% on both items across all 96 respondents.</w:t>
      </w:r>
    </w:p>
    <w:p>
      <w:pPr>
        <w:spacing w:after="120" w:before="0" w:line="360"/>
        <w:jc w:val="both"/>
      </w:pPr>
      <w:r>
        <w:rPr>
          <w:rFonts w:ascii="Times New Roman" w:cs="Times New Roman" w:eastAsia="Times New Roman" w:hAnsi="Times New Roman"/>
          <w:color w:val="000000"/>
          <w:sz w:val="24"/>
          <w:szCs w:val="24"/>
        </w:rPr>
        <w:t xml:space="preserve">Tables 36 to 38 close the functional account. In a chain where the buyer sets the price and controls the grading rule, no actor invests in equipment and no actor gathers independent market information. Every respondent said they kept up to date by networking, which means information travels along the same commercial relationships that determine the terms of trade.</w:t>
      </w:r>
    </w:p>
    <w:p>
      <w:pPr>
        <w:pStyle w:val="Heading3"/>
        <w:spacing w:after="120" w:before="240" w:line="360"/>
        <w:outlineLvl w:val="2"/>
      </w:pPr>
      <w:bookmarkStart w:id="52069" w:name="_Toc_69"/>
      <w:r>
        <w:rPr>
          <w:rFonts w:ascii="Times New Roman" w:cs="Times New Roman" w:eastAsia="Times New Roman" w:hAnsi="Times New Roman"/>
          <w:b/>
          <w:bCs/>
          <w:color w:val="000000"/>
          <w:sz w:val="24"/>
          <w:szCs w:val="24"/>
        </w:rPr>
        <w:t xml:space="preserve">4.4.8 Reported Mud Crab Prices</w:t>
      </w:r>
      <w:bookmarkEnd w:id="52069"/>
    </w:p>
    <w:p>
      <w:pPr>
        <w:spacing w:after="120" w:before="0" w:line="360"/>
        <w:jc w:val="both"/>
      </w:pPr>
      <w:r>
        <w:rPr>
          <w:rFonts w:ascii="Times New Roman" w:cs="Times New Roman" w:eastAsia="Times New Roman" w:hAnsi="Times New Roman"/>
          <w:color w:val="000000"/>
          <w:sz w:val="24"/>
          <w:szCs w:val="24"/>
        </w:rPr>
        <w:t xml:space="preserve">Prices were collected for three size grades in Kenya shillings per kilogram of live crab. Every figure is a gross price at the point of sale; nothing was recorded about transport, holding, mortality, ice, packaging or the cost of money tied up between buying and selling.</w:t>
      </w:r>
    </w:p>
    <w:p>
      <w:pPr>
        <w:spacing w:after="0" w:before="240" w:line="240"/>
      </w:pPr>
      <w:bookmarkStart w:id="41069" w:name="_Tbl45"/>
      <w:r>
        <w:rPr>
          <w:rFonts w:ascii="Times New Roman" w:cs="Times New Roman" w:eastAsia="Times New Roman" w:hAnsi="Times New Roman"/>
          <w:b/>
          <w:bCs/>
          <w:color w:val="000000"/>
          <w:sz w:val="24"/>
          <w:szCs w:val="24"/>
        </w:rPr>
        <w:t xml:space="preserve">Table 45</w:t>
      </w:r>
      <w:bookmarkEnd w:id="41069"/>
    </w:p>
    <w:p>
      <w:pPr>
        <w:spacing w:after="120" w:before="0" w:line="240"/>
      </w:pPr>
      <w:r>
        <w:rPr>
          <w:rFonts w:ascii="Times New Roman" w:cs="Times New Roman" w:eastAsia="Times New Roman" w:hAnsi="Times New Roman"/>
          <w:b w:val="false"/>
          <w:bCs w:val="false"/>
          <w:i/>
          <w:iCs/>
          <w:color w:val="000000"/>
          <w:sz w:val="24"/>
          <w:szCs w:val="24"/>
        </w:rPr>
        <w:t xml:space="preserve">Reported Mud Crab Prices by Actor Category and Size Grade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900"/>
        <w:gridCol w:w="950"/>
        <w:gridCol w:w="1200"/>
        <w:gridCol w:w="1100"/>
        <w:gridCol w:w="1100"/>
        <w:gridCol w:w="1550"/>
        <w:gridCol w:w="1226"/>
      </w:tblGrid>
      <w:tr>
        <w:trPr>
          <w:tblHeader/>
        </w:trPr>
        <w:tc>
          <w:tcPr>
            <w:tcW w:type="dxa" w:w="1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Actor category</w:t>
            </w:r>
          </w:p>
        </w:tc>
        <w:tc>
          <w:tcPr>
            <w:tcW w:type="dxa" w:w="9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Valid n</w:t>
            </w:r>
          </w:p>
        </w:tc>
        <w:tc>
          <w:tcPr>
            <w:tcW w:type="dxa" w:w="12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w:t>
            </w:r>
          </w:p>
        </w:tc>
        <w:tc>
          <w:tcPr>
            <w:tcW w:type="dxa" w:w="11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SD</w:t>
            </w:r>
          </w:p>
        </w:tc>
        <w:tc>
          <w:tcPr>
            <w:tcW w:type="dxa" w:w="11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Mdn</w:t>
            </w:r>
          </w:p>
        </w:tc>
        <w:tc>
          <w:tcPr>
            <w:tcW w:type="dxa" w:w="15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IQR (Q1–Q3)</w:t>
            </w:r>
          </w:p>
        </w:tc>
        <w:tc>
          <w:tcPr>
            <w:tcW w:type="dxa" w:w="12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Range</w:t>
            </w:r>
          </w:p>
        </w:tc>
      </w:tr>
      <w:tr>
        <w:tc>
          <w:tcPr>
            <w:tcW w:type="dxa" w:w="9026"/>
            <w:gridSpan w:val="7"/>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Large (Grade A)</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604.6</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192.2</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650.0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500.0–800.0</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300.0–800.0</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945.5</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140.5</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1,000.0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800.0–1,000.0</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800.0–1,200.0</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Hotelier</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2,200.0</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570.1</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2,000.0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2,000.0–2,500.0</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1,500.0–3,000.0</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1,700.0</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115.5</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1,700.0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1,600.0–1,800.0</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1,600.0–1,800.0</w:t>
            </w:r>
          </w:p>
        </w:tc>
      </w:tr>
      <w:tr>
        <w:tc>
          <w:tcPr>
            <w:tcW w:type="dxa" w:w="9026"/>
            <w:gridSpan w:val="7"/>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Medium (Grade B)</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514.6</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163.4</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500.0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400.0–600.0</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300.0–800.0</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718.2</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100.6</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800.0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600.0–800.0</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600.0–800.0</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Hotelier</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380.0</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109.5</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300.0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300.0–500.0</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300.0–500.0</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1,300.0</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115.5</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1,300.0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1,200.0–1,400.0</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1,200.0–1,400.0</w:t>
            </w:r>
          </w:p>
        </w:tc>
      </w:tr>
      <w:tr>
        <w:tc>
          <w:tcPr>
            <w:tcW w:type="dxa" w:w="9026"/>
            <w:gridSpan w:val="7"/>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Small (Grade C)</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309.2</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50.7</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300.0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300.0–300.0</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250.0–500.0</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Hotelier</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w:t>
            </w:r>
          </w:p>
        </w:tc>
        <w:tc>
          <w:tcPr>
            <w:tcW w:type="dxa" w:w="9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2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bl>
    <w:p>
      <w:pPr>
        <w:spacing w:after="120" w:before="0" w:line="360"/>
        <w:jc w:val="both"/>
      </w:pPr>
      <w:r>
        <w:rPr>
          <w:rFonts w:ascii="Times New Roman" w:cs="Times New Roman" w:eastAsia="Times New Roman" w:hAnsi="Times New Roman"/>
          <w:color w:val="000000"/>
          <w:sz w:val="24"/>
          <w:szCs w:val="24"/>
        </w:rPr>
        <w:t xml:space="preserve">As shown in Table 45, the large-crab price climbed at every step of the chain. Fishers averaged KSh 604.6 per kilogram, middlemen KSh 945.5, exporters KSh 1,700.0 and hoteliers KSh 2,200.0. Medium crabs ran KSh 514.6 for fishers and KSh 718.2 for middlemen, with exporters at KSh 1,300.0. Only fishers priced small crabs, averaging KSh 309.2; no middleman, hotelier or exporter reported a small-grade price at all, which points to the smallest crabs being absorbed locally rather than moving up the chain.</w:t>
      </w:r>
    </w:p>
    <w:p>
      <w:pPr>
        <w:spacing w:after="0" w:before="240" w:line="240"/>
      </w:pPr>
      <w:bookmarkStart w:id="41070" w:name="_Tbl46"/>
      <w:r>
        <w:rPr>
          <w:rFonts w:ascii="Times New Roman" w:cs="Times New Roman" w:eastAsia="Times New Roman" w:hAnsi="Times New Roman"/>
          <w:b/>
          <w:bCs/>
          <w:color w:val="000000"/>
          <w:sz w:val="24"/>
          <w:szCs w:val="24"/>
        </w:rPr>
        <w:t xml:space="preserve">Table 46</w:t>
      </w:r>
      <w:bookmarkEnd w:id="41070"/>
    </w:p>
    <w:p>
      <w:pPr>
        <w:spacing w:after="120" w:before="0" w:line="240"/>
      </w:pPr>
      <w:r>
        <w:rPr>
          <w:rFonts w:ascii="Times New Roman" w:cs="Times New Roman" w:eastAsia="Times New Roman" w:hAnsi="Times New Roman"/>
          <w:b w:val="false"/>
          <w:bCs w:val="false"/>
          <w:i/>
          <w:iCs/>
          <w:color w:val="000000"/>
          <w:sz w:val="24"/>
          <w:szCs w:val="24"/>
        </w:rPr>
        <w:t xml:space="preserve">Kruskal–Wallis Comparisons of Reported Mud Crab Prices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3900"/>
        <w:gridCol w:w="1300"/>
        <w:gridCol w:w="900"/>
        <w:gridCol w:w="1000"/>
        <w:gridCol w:w="1926"/>
      </w:tblGrid>
      <w:tr>
        <w:trPr>
          <w:tblHeader/>
        </w:trPr>
        <w:tc>
          <w:tcPr>
            <w:tcW w:type="dxa" w:w="3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Comparison</w:t>
            </w:r>
          </w:p>
        </w:tc>
        <w:tc>
          <w:tcPr>
            <w:tcW w:type="dxa" w:w="1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df</w:t>
            </w:r>
          </w:p>
        </w:tc>
        <w:tc>
          <w:tcPr>
            <w:tcW w:type="dxa" w:w="10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N</w:t>
            </w:r>
          </w:p>
        </w:tc>
        <w:tc>
          <w:tcPr>
            <w:tcW w:type="dxa" w:w="19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p</w:t>
            </w:r>
          </w:p>
        </w:tc>
      </w:tr>
      <w:tr>
        <w:tc>
          <w:tcPr>
            <w:tcW w:type="dxa" w:w="9026"/>
            <w:gridSpan w:val="5"/>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Price compared across the four actor categories</w:t>
            </w:r>
          </w:p>
        </w:tc>
      </w:tr>
      <w:tr>
        <w:tc>
          <w:tcPr>
            <w:tcW w:type="dxa" w:w="3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Large (Grade A)</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55.84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w:t>
            </w:r>
          </w:p>
        </w:tc>
        <w:tc>
          <w:tcPr>
            <w:tcW w:type="dxa" w:w="19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&lt; .001</w:t>
            </w:r>
          </w:p>
        </w:tc>
      </w:tr>
      <w:tr>
        <w:tc>
          <w:tcPr>
            <w:tcW w:type="dxa" w:w="3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Medium (Grade B)</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38.00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w:t>
            </w:r>
          </w:p>
        </w:tc>
        <w:tc>
          <w:tcPr>
            <w:tcW w:type="dxa" w:w="19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&lt; .001</w:t>
            </w:r>
          </w:p>
        </w:tc>
      </w:tr>
      <w:tr>
        <w:tc>
          <w:tcPr>
            <w:tcW w:type="dxa" w:w="3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Small (Grade C)</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9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9026"/>
            <w:gridSpan w:val="5"/>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Fisher price compared across the four BMUs</w:t>
            </w:r>
          </w:p>
        </w:tc>
      </w:tr>
      <w:tr>
        <w:tc>
          <w:tcPr>
            <w:tcW w:type="dxa" w:w="3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Large (Grade A)</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20.32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63</w:t>
            </w:r>
          </w:p>
        </w:tc>
        <w:tc>
          <w:tcPr>
            <w:tcW w:type="dxa" w:w="19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&lt; .001</w:t>
            </w:r>
          </w:p>
        </w:tc>
      </w:tr>
      <w:tr>
        <w:tc>
          <w:tcPr>
            <w:tcW w:type="dxa" w:w="3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Medium (Grade B)</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20.07</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63</w:t>
            </w:r>
          </w:p>
        </w:tc>
        <w:tc>
          <w:tcPr>
            <w:tcW w:type="dxa" w:w="19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&lt; .001</w:t>
            </w:r>
          </w:p>
        </w:tc>
      </w:tr>
      <w:tr>
        <w:tc>
          <w:tcPr>
            <w:tcW w:type="dxa" w:w="3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Small (Grade C)</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5.85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63</w:t>
            </w:r>
          </w:p>
        </w:tc>
        <w:tc>
          <w:tcPr>
            <w:tcW w:type="dxa" w:w="19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.119</w:t>
            </w:r>
          </w:p>
        </w:tc>
      </w:tr>
      <w:tr>
        <w:tc>
          <w:tcPr>
            <w:tcW w:type="dxa" w:w="9026"/>
            <w:gridSpan w:val="5"/>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Middleman price compared across the three BMUs with traders</w:t>
            </w:r>
          </w:p>
        </w:tc>
      </w:tr>
      <w:tr>
        <w:tc>
          <w:tcPr>
            <w:tcW w:type="dxa" w:w="3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Large (Grade A)</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5.33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w:t>
            </w:r>
          </w:p>
        </w:tc>
        <w:tc>
          <w:tcPr>
            <w:tcW w:type="dxa" w:w="19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.070</w:t>
            </w:r>
          </w:p>
        </w:tc>
      </w:tr>
      <w:tr>
        <w:tc>
          <w:tcPr>
            <w:tcW w:type="dxa" w:w="3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Medium (Grade B)</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3.78</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w:t>
            </w:r>
          </w:p>
        </w:tc>
        <w:tc>
          <w:tcPr>
            <w:tcW w:type="dxa" w:w="19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.151</w:t>
            </w:r>
          </w:p>
        </w:tc>
      </w:tr>
      <w:tr>
        <w:tc>
          <w:tcPr>
            <w:tcW w:type="dxa" w:w="3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Small (Grade C)</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9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9026"/>
            <w:gridSpan w:val="5"/>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Hoteliers and exporters were not compared across BMUs because four of the five hoteliers and all four exporters operated outside the four BMU frames</w:t>
            </w:r>
          </w:p>
        </w:tc>
      </w:tr>
    </w:tbl>
    <w:p>
      <w:pPr>
        <w:spacing w:after="120" w:before="0" w:line="360"/>
        <w:jc w:val="both"/>
      </w:pPr>
      <w:r>
        <w:rPr>
          <w:rFonts w:ascii="Times New Roman" w:cs="Times New Roman" w:eastAsia="Times New Roman" w:hAnsi="Times New Roman"/>
          <w:color w:val="000000"/>
          <w:sz w:val="24"/>
          <w:szCs w:val="24"/>
        </w:rPr>
        <w:t xml:space="preserve">Table 46 tests those differences. The comparison across the four actor categories was significant for large crabs, H(3) = 55.84, p &lt; .001, and for medium crabs, H(3) = 38.00, p &lt; .001. Actor category therefore does influence the price received, at both grades for which more than one category reported a price. The small grade could not be compared across actors because only fishers reported it.</w:t>
      </w:r>
    </w:p>
    <w:p>
      <w:pPr>
        <w:spacing w:after="0" w:before="240" w:line="240"/>
      </w:pPr>
      <w:bookmarkStart w:id="41071" w:name="_Fig25"/>
      <w:r>
        <w:rPr>
          <w:rFonts w:ascii="Times New Roman" w:cs="Times New Roman" w:eastAsia="Times New Roman" w:hAnsi="Times New Roman"/>
          <w:b/>
          <w:bCs/>
          <w:color w:val="000000"/>
          <w:sz w:val="24"/>
          <w:szCs w:val="24"/>
        </w:rPr>
        <w:t xml:space="preserve">Figure 25</w:t>
      </w:r>
      <w:bookmarkEnd w:id="41071"/>
    </w:p>
    <w:p>
      <w:pPr>
        <w:spacing w:after="120" w:before="0" w:line="240"/>
      </w:pPr>
      <w:r>
        <w:rPr>
          <w:rFonts w:ascii="Times New Roman" w:cs="Times New Roman" w:eastAsia="Times New Roman" w:hAnsi="Times New Roman"/>
          <w:i/>
          <w:iCs/>
          <w:color w:val="000000"/>
          <w:sz w:val="24"/>
          <w:szCs w:val="24"/>
        </w:rPr>
        <w:t xml:space="preserve">Mean Reported Mud Crab Price by Actor Category and Size Grade</w:t>
      </w:r>
    </w:p>
    <w:p>
      <w:pPr>
        <w:spacing w:after="100"/>
        <w:jc w:val="center"/>
      </w:pPr>
      <w:r>
        <w:drawing>
          <wp:inline distT="0" distB="0" distL="0" distR="0">
            <wp:extent cx="57150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715000" cy="2628900"/>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mean price in KSh per kilogram and error bars show ±1 standard deviation. Small-grade prices were reported only by fishers. The hotelier medium-grade mean of KSh 380 is discussed below.</w:t>
      </w:r>
    </w:p>
    <w:p>
      <w:pPr>
        <w:spacing w:after="120" w:before="0" w:line="360"/>
        <w:jc w:val="both"/>
      </w:pPr>
      <w:r>
        <w:rPr>
          <w:rFonts w:ascii="Times New Roman" w:cs="Times New Roman" w:eastAsia="Times New Roman" w:hAnsi="Times New Roman"/>
          <w:color w:val="000000"/>
          <w:sz w:val="24"/>
          <w:szCs w:val="24"/>
        </w:rPr>
        <w:t xml:space="preserve">One value breaks the pattern. Hoteliers reported a mean of KSh 380.0 per kilogram for medium crabs, which is below the fisher price for the same grade and far below their own large-grade mean of KSh 2,200.0. All five records were retained exactly as entered. The figure may be correct if those entries refer to a different product form, unit or transaction, but it may equally be a field-entry problem. It is excluded from the chain calculation that follows and should be checked against the questionnaires before it is used to support any argument about value addition.</w:t>
      </w:r>
    </w:p>
    <w:p>
      <w:pPr>
        <w:pStyle w:val="Heading3"/>
        <w:spacing w:after="120" w:before="240" w:line="360"/>
        <w:outlineLvl w:val="2"/>
      </w:pPr>
      <w:bookmarkStart w:id="52070" w:name="_Toc_70"/>
      <w:r>
        <w:rPr>
          <w:rFonts w:ascii="Times New Roman" w:cs="Times New Roman" w:eastAsia="Times New Roman" w:hAnsi="Times New Roman"/>
          <w:b/>
          <w:bCs/>
          <w:color w:val="000000"/>
          <w:sz w:val="24"/>
          <w:szCs w:val="24"/>
        </w:rPr>
        <w:t xml:space="preserve">4.4.9 Marketing Margins and the Distribution of Value</w:t>
      </w:r>
      <w:bookmarkEnd w:id="52070"/>
    </w:p>
    <w:p>
      <w:pPr>
        <w:spacing w:after="120" w:before="0" w:line="360"/>
        <w:jc w:val="both"/>
      </w:pPr>
      <w:r>
        <w:rPr>
          <w:rFonts w:ascii="Times New Roman" w:cs="Times New Roman" w:eastAsia="Times New Roman" w:hAnsi="Times New Roman"/>
          <w:color w:val="000000"/>
          <w:sz w:val="24"/>
          <w:szCs w:val="24"/>
        </w:rPr>
        <w:t xml:space="preserve">Reading the four node prices as one chain shows where the final price accumulates. Two end points were available: crabs that left the middleman for an exporter finished at KSh 1,700.0 per kilogram for the large grade, and crabs that went to a hotel kitchen finished at KSh 2,200.0. Expressing each node’s contribution as a share of that end price places all four actors on a single scale.</w:t>
      </w:r>
    </w:p>
    <w:p>
      <w:pPr>
        <w:spacing w:after="0" w:before="240" w:line="240"/>
      </w:pPr>
      <w:bookmarkStart w:id="41072" w:name="_Tbl47"/>
      <w:r>
        <w:rPr>
          <w:rFonts w:ascii="Times New Roman" w:cs="Times New Roman" w:eastAsia="Times New Roman" w:hAnsi="Times New Roman"/>
          <w:b/>
          <w:bCs/>
          <w:color w:val="000000"/>
          <w:sz w:val="24"/>
          <w:szCs w:val="24"/>
        </w:rPr>
        <w:t xml:space="preserve">Table 47</w:t>
      </w:r>
      <w:bookmarkEnd w:id="41072"/>
    </w:p>
    <w:p>
      <w:pPr>
        <w:spacing w:after="120" w:before="0" w:line="240"/>
      </w:pPr>
      <w:r>
        <w:rPr>
          <w:rFonts w:ascii="Times New Roman" w:cs="Times New Roman" w:eastAsia="Times New Roman" w:hAnsi="Times New Roman"/>
          <w:b w:val="false"/>
          <w:bCs w:val="false"/>
          <w:i/>
          <w:iCs/>
          <w:color w:val="000000"/>
          <w:sz w:val="24"/>
          <w:szCs w:val="24"/>
        </w:rPr>
        <w:t xml:space="preserve">Marketing Margins and the Distribution of the Final Chain Price Across Actor Nodes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400"/>
        <w:gridCol w:w="1450"/>
        <w:gridCol w:w="1900"/>
        <w:gridCol w:w="1750"/>
        <w:gridCol w:w="1526"/>
      </w:tblGrid>
      <w:tr>
        <w:trPr>
          <w:tblHeader/>
        </w:trPr>
        <w:tc>
          <w:tcPr>
            <w:tcW w:type="dxa" w:w="2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Market node</w:t>
            </w:r>
          </w:p>
        </w:tc>
        <w:tc>
          <w:tcPr>
            <w:tcW w:type="dxa" w:w="14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Mean price</w:t>
            </w:r>
          </w:p>
          <w:p>
            <w:pPr>
              <w:spacing w:after="20" w:before="0" w:line="240"/>
              <w:jc w:val="center"/>
            </w:pPr>
            <w:r>
              <w:rPr>
                <w:rFonts w:ascii="Times New Roman" w:cs="Times New Roman" w:eastAsia="Times New Roman" w:hAnsi="Times New Roman"/>
                <w:b/>
                <w:bCs/>
                <w:i w:val="false"/>
                <w:iCs w:val="false"/>
                <w:color w:val="000000"/>
                <w:sz w:val="20"/>
                <w:szCs w:val="20"/>
              </w:rPr>
              <w:t xml:space="preserve">(KSh/kg)</w:t>
            </w:r>
          </w:p>
        </w:tc>
        <w:tc>
          <w:tcPr>
            <w:tcW w:type="dxa" w:w="1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Value retained or</w:t>
            </w:r>
          </w:p>
          <w:p>
            <w:pPr>
              <w:spacing w:after="20" w:before="0" w:line="240"/>
              <w:jc w:val="center"/>
            </w:pPr>
            <w:r>
              <w:rPr>
                <w:rFonts w:ascii="Times New Roman" w:cs="Times New Roman" w:eastAsia="Times New Roman" w:hAnsi="Times New Roman"/>
                <w:b/>
                <w:bCs/>
                <w:i w:val="false"/>
                <w:iCs w:val="false"/>
                <w:color w:val="000000"/>
                <w:sz w:val="20"/>
                <w:szCs w:val="20"/>
              </w:rPr>
              <w:t xml:space="preserve">margin added (KSh/kg)</w:t>
            </w:r>
          </w:p>
        </w:tc>
        <w:tc>
          <w:tcPr>
            <w:tcW w:type="dxa" w:w="17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Margin as % of the</w:t>
            </w:r>
          </w:p>
          <w:p>
            <w:pPr>
              <w:spacing w:after="20" w:before="0" w:line="240"/>
              <w:jc w:val="center"/>
            </w:pPr>
            <w:r>
              <w:rPr>
                <w:rFonts w:ascii="Times New Roman" w:cs="Times New Roman" w:eastAsia="Times New Roman" w:hAnsi="Times New Roman"/>
                <w:b/>
                <w:bCs/>
                <w:i w:val="false"/>
                <w:iCs w:val="false"/>
                <w:color w:val="000000"/>
                <w:sz w:val="20"/>
                <w:szCs w:val="20"/>
              </w:rPr>
              <w:t xml:space="preserve">fisher price</w:t>
            </w:r>
          </w:p>
        </w:tc>
        <w:tc>
          <w:tcPr>
            <w:tcW w:type="dxa" w:w="15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 of the final</w:t>
            </w:r>
          </w:p>
          <w:p>
            <w:pPr>
              <w:spacing w:after="20" w:before="0" w:line="240"/>
              <w:jc w:val="center"/>
            </w:pPr>
            <w:r>
              <w:rPr>
                <w:rFonts w:ascii="Times New Roman" w:cs="Times New Roman" w:eastAsia="Times New Roman" w:hAnsi="Times New Roman"/>
                <w:b/>
                <w:bCs/>
                <w:i w:val="false"/>
                <w:iCs w:val="false"/>
                <w:color w:val="000000"/>
                <w:sz w:val="20"/>
                <w:szCs w:val="20"/>
              </w:rPr>
              <w:t xml:space="preserve">chain price</w:t>
            </w:r>
          </w:p>
        </w:tc>
      </w:tr>
      <w:tr>
        <w:tc>
          <w:tcPr>
            <w:tcW w:type="dxa" w:w="9026"/>
            <w:gridSpan w:val="5"/>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Large (Grade A) sold on to exporters</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 (first sale)</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604.6</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604.6</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35.6</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945.5</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340.8</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56.4</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20.0</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 (end of chain)</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1,700.0</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754.5</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124.8</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44.4</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Hotelier (not in this chain)</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9026"/>
            <w:gridSpan w:val="5"/>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Large (Grade A) sold on to hoteliers</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 (first sale)</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604.6</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604.6</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27.5</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945.5</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340.8</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56.4</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15.5</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Hotelier (end of chain)</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2,200.0</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1,254.5</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207.5</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57.0</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 (not in this chain)</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9026"/>
            <w:gridSpan w:val="5"/>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Medium (Grade B) sold on to exporters</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 (first sale)</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514.6</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514.6</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39.6</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718.2</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203.6</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39.6</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15.7</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 (end of chain)</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1,300.0</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581.8</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113.1</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44.8</w:t>
            </w:r>
          </w:p>
        </w:tc>
      </w:tr>
      <w:tr>
        <w:tc>
          <w:tcPr>
            <w:tcW w:type="dxa" w:w="24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Hotelier (not in this chain)</w:t>
            </w:r>
          </w:p>
        </w:tc>
        <w:tc>
          <w:tcPr>
            <w:tcW w:type="dxa" w:w="14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2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bl>
    <w:p>
      <w:pPr>
        <w:spacing w:after="120" w:before="0" w:line="360"/>
        <w:jc w:val="both"/>
      </w:pPr>
      <w:r>
        <w:rPr>
          <w:rFonts w:ascii="Times New Roman" w:cs="Times New Roman" w:eastAsia="Times New Roman" w:hAnsi="Times New Roman"/>
          <w:color w:val="000000"/>
          <w:sz w:val="24"/>
          <w:szCs w:val="24"/>
        </w:rPr>
        <w:t xml:space="preserve">As shown in Table 47, the fisher kept between a quarter and two fifths of the end price. Large crabs sold on to an exporter left 35.6% with the harvester; the same crabs sold on to a hotel left 27.5%. Medium crabs going for export were the fisher’s best case at 39.6%. In every chain the largest single share was added at the last step: 44.4% between the middleman and the exporter, 57.0% between the middleman and the hotel. The middleman, the actor most often identified with the low beach price, took the smallest share of the three, between 15.5% and 20.0%.</w:t>
      </w:r>
    </w:p>
    <w:p>
      <w:pPr>
        <w:spacing w:after="0" w:before="240" w:line="240"/>
      </w:pPr>
      <w:bookmarkStart w:id="41073" w:name="_Fig26"/>
      <w:r>
        <w:rPr>
          <w:rFonts w:ascii="Times New Roman" w:cs="Times New Roman" w:eastAsia="Times New Roman" w:hAnsi="Times New Roman"/>
          <w:b/>
          <w:bCs/>
          <w:color w:val="000000"/>
          <w:sz w:val="24"/>
          <w:szCs w:val="24"/>
        </w:rPr>
        <w:t xml:space="preserve">Figure 26</w:t>
      </w:r>
      <w:bookmarkEnd w:id="41073"/>
    </w:p>
    <w:p>
      <w:pPr>
        <w:spacing w:after="120" w:before="0" w:line="240"/>
      </w:pPr>
      <w:r>
        <w:rPr>
          <w:rFonts w:ascii="Times New Roman" w:cs="Times New Roman" w:eastAsia="Times New Roman" w:hAnsi="Times New Roman"/>
          <w:i/>
          <w:iCs/>
          <w:color w:val="000000"/>
          <w:sz w:val="24"/>
          <w:szCs w:val="24"/>
        </w:rPr>
        <w:t xml:space="preserve">Share of the Final Chain Price Held at Each Actor Node, by Size Grade and Outlet</w:t>
      </w:r>
    </w:p>
    <w:p>
      <w:pPr>
        <w:spacing w:after="100"/>
        <w:jc w:val="center"/>
      </w:pPr>
      <w:r>
        <w:drawing>
          <wp:inline distT="0" distB="0" distL="0" distR="0">
            <wp:extent cx="5715000"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715000" cy="3019425"/>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Segments show the share of the end-of-chain price retained by the fisher, added between the fisher and the middleman, and added between the middleman and the final buyer. Shares sum to 100% within each bar. Because no cost data were collected these are gross price spreads and not net margins. The medium grade sold on to hoteliers is not shown, for the reason given above.</w:t>
      </w:r>
    </w:p>
    <w:p>
      <w:pPr>
        <w:spacing w:after="120" w:before="0" w:line="360"/>
        <w:jc w:val="both"/>
      </w:pPr>
      <w:r>
        <w:rPr>
          <w:rFonts w:ascii="Times New Roman" w:cs="Times New Roman" w:eastAsia="Times New Roman" w:hAnsi="Times New Roman"/>
          <w:color w:val="000000"/>
          <w:sz w:val="24"/>
          <w:szCs w:val="24"/>
        </w:rPr>
        <w:t xml:space="preserve">Two qualifications belong with that result. The shares rest on group means from different respondents rather than on a single crab followed from beach to buyer, and they would shift once handling, freight and mortality were priced in. The direction is nevertheless hard to argue away. An exporter paying KSh 945.5 and selling at KSh 1,700.0 works on a spread of KSh 754.5 per kilogram, roughly one and a quarter times what the fisher received for landing the animal. This is the evidence Objective Two requires on how value is distributed: not that any actor takes more than their costs justify, which these data cannot show, but that the value is realised two steps beyond the point the harvester can reach.</w:t>
      </w:r>
    </w:p>
    <w:p>
      <w:pPr>
        <w:pStyle w:val="Heading3"/>
        <w:spacing w:after="120" w:before="240" w:line="360"/>
        <w:outlineLvl w:val="2"/>
      </w:pPr>
      <w:bookmarkStart w:id="52071" w:name="_Toc_71"/>
      <w:r>
        <w:rPr>
          <w:rFonts w:ascii="Times New Roman" w:cs="Times New Roman" w:eastAsia="Times New Roman" w:hAnsi="Times New Roman"/>
          <w:b/>
          <w:bCs/>
          <w:color w:val="000000"/>
          <w:sz w:val="24"/>
          <w:szCs w:val="24"/>
        </w:rPr>
        <w:t xml:space="preserve">4.4.10 Prices by Study Site</w:t>
      </w:r>
      <w:bookmarkEnd w:id="52071"/>
    </w:p>
    <w:p>
      <w:pPr>
        <w:spacing w:after="120" w:before="0" w:line="360"/>
        <w:jc w:val="both"/>
      </w:pPr>
      <w:r>
        <w:rPr>
          <w:rFonts w:ascii="Times New Roman" w:cs="Times New Roman" w:eastAsia="Times New Roman" w:hAnsi="Times New Roman"/>
          <w:color w:val="000000"/>
          <w:sz w:val="24"/>
          <w:szCs w:val="24"/>
        </w:rPr>
        <w:t xml:space="preserve">Holding the actor role constant and comparing sites answers a different question: whether a fisher at one landing site receives a different price from a fisher at another.</w:t>
      </w:r>
    </w:p>
    <w:p>
      <w:pPr>
        <w:spacing w:after="0" w:before="240" w:line="240"/>
      </w:pPr>
      <w:bookmarkStart w:id="41074" w:name="_Tbl48"/>
      <w:r>
        <w:rPr>
          <w:rFonts w:ascii="Times New Roman" w:cs="Times New Roman" w:eastAsia="Times New Roman" w:hAnsi="Times New Roman"/>
          <w:b/>
          <w:bCs/>
          <w:color w:val="000000"/>
          <w:sz w:val="24"/>
          <w:szCs w:val="24"/>
        </w:rPr>
        <w:t xml:space="preserve">Table 48</w:t>
      </w:r>
      <w:bookmarkEnd w:id="41074"/>
    </w:p>
    <w:p>
      <w:pPr>
        <w:spacing w:after="120" w:before="0" w:line="240"/>
      </w:pPr>
      <w:r>
        <w:rPr>
          <w:rFonts w:ascii="Times New Roman" w:cs="Times New Roman" w:eastAsia="Times New Roman" w:hAnsi="Times New Roman"/>
          <w:b w:val="false"/>
          <w:bCs w:val="false"/>
          <w:i/>
          <w:iCs/>
          <w:color w:val="000000"/>
          <w:sz w:val="24"/>
          <w:szCs w:val="24"/>
        </w:rPr>
        <w:t xml:space="preserve">Mean Reported Mud Crab Price by Actor Category, BMU and Size Grade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900"/>
        <w:gridCol w:w="1800"/>
        <w:gridCol w:w="1850"/>
        <w:gridCol w:w="1750"/>
        <w:gridCol w:w="1726"/>
      </w:tblGrid>
      <w:tr>
        <w:trPr>
          <w:tblHeader/>
        </w:trPr>
        <w:tc>
          <w:tcPr>
            <w:tcW w:type="dxa" w:w="1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BMU</w:t>
            </w:r>
          </w:p>
        </w:tc>
        <w:tc>
          <w:tcPr>
            <w:tcW w:type="dxa" w:w="18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Fisher</w:t>
            </w:r>
          </w:p>
          <w:p>
            <w:pPr>
              <w:spacing w:after="20" w:before="0" w:line="240"/>
              <w:jc w:val="center"/>
            </w:pPr>
            <w:r>
              <w:rPr>
                <w:rFonts w:ascii="Times New Roman" w:cs="Times New Roman" w:eastAsia="Times New Roman" w:hAnsi="Times New Roman"/>
                <w:b/>
                <w:bCs/>
                <w:i w:val="false"/>
                <w:iCs w:val="false"/>
                <w:color w:val="000000"/>
                <w:sz w:val="20"/>
                <w:szCs w:val="20"/>
              </w:rPr>
              <w:t xml:space="preserve">M KSh/kg (n)</w:t>
            </w:r>
          </w:p>
        </w:tc>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Middleman</w:t>
            </w:r>
          </w:p>
          <w:p>
            <w:pPr>
              <w:spacing w:after="20" w:before="0" w:line="240"/>
              <w:jc w:val="center"/>
            </w:pPr>
            <w:r>
              <w:rPr>
                <w:rFonts w:ascii="Times New Roman" w:cs="Times New Roman" w:eastAsia="Times New Roman" w:hAnsi="Times New Roman"/>
                <w:b/>
                <w:bCs/>
                <w:i w:val="false"/>
                <w:iCs w:val="false"/>
                <w:color w:val="000000"/>
                <w:sz w:val="20"/>
                <w:szCs w:val="20"/>
              </w:rPr>
              <w:t xml:space="preserve">M KSh/kg (n)</w:t>
            </w:r>
          </w:p>
        </w:tc>
        <w:tc>
          <w:tcPr>
            <w:tcW w:type="dxa" w:w="17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Hotelier</w:t>
            </w:r>
          </w:p>
          <w:p>
            <w:pPr>
              <w:spacing w:after="20" w:before="0" w:line="240"/>
              <w:jc w:val="center"/>
            </w:pPr>
            <w:r>
              <w:rPr>
                <w:rFonts w:ascii="Times New Roman" w:cs="Times New Roman" w:eastAsia="Times New Roman" w:hAnsi="Times New Roman"/>
                <w:b/>
                <w:bCs/>
                <w:i w:val="false"/>
                <w:iCs w:val="false"/>
                <w:color w:val="000000"/>
                <w:sz w:val="20"/>
                <w:szCs w:val="20"/>
              </w:rPr>
              <w:t xml:space="preserve">M KSh/kg (n)</w:t>
            </w:r>
          </w:p>
        </w:tc>
        <w:tc>
          <w:tcPr>
            <w:tcW w:type="dxa" w:w="17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Exporter</w:t>
            </w:r>
          </w:p>
          <w:p>
            <w:pPr>
              <w:spacing w:after="20" w:before="0" w:line="240"/>
              <w:jc w:val="center"/>
            </w:pPr>
            <w:r>
              <w:rPr>
                <w:rFonts w:ascii="Times New Roman" w:cs="Times New Roman" w:eastAsia="Times New Roman" w:hAnsi="Times New Roman"/>
                <w:b/>
                <w:bCs/>
                <w:i w:val="false"/>
                <w:iCs w:val="false"/>
                <w:color w:val="000000"/>
                <w:sz w:val="20"/>
                <w:szCs w:val="20"/>
              </w:rPr>
              <w:t xml:space="preserve">M KSh/kg (n)</w:t>
            </w:r>
          </w:p>
        </w:tc>
      </w:tr>
      <w:tr>
        <w:tc>
          <w:tcPr>
            <w:tcW w:type="dxa" w:w="9026"/>
            <w:gridSpan w:val="5"/>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Large (Grade A)</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Shimoni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540.0 (25)</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981.8 (11)</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1,500.0 (1)</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Majoreni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785.7 (14)</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857.1 (7)</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Vanga</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535.7 (21)</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1,000.0 (4)</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Msambweni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650.0 (3)</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Other sites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800.0 (2)</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2,375.0 (4)</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1,700.0 (4)</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All sites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604.6 (65)</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945.5 (22)</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2,200.0 (5)</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1,700.0 (4)</w:t>
            </w:r>
          </w:p>
        </w:tc>
      </w:tr>
      <w:tr>
        <w:tc>
          <w:tcPr>
            <w:tcW w:type="dxa" w:w="9026"/>
            <w:gridSpan w:val="5"/>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Medium (Grade B)</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Shimoni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404.0 (25)</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745.5 (11)</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300.0 (1)</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Majoreni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600.0 (14)</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657.1 (7)</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Vanga</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576.2 (21)</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750.0 (4)</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Msambweni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616.7 (3)</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Other sites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500.0 (2)</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400.0 (4)</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1,300.0 (4)</w:t>
            </w:r>
          </w:p>
        </w:tc>
      </w:tr>
      <w:tr>
        <w:tc>
          <w:tcPr>
            <w:tcW w:type="dxa" w:w="1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All sites</w:t>
            </w:r>
          </w:p>
        </w:tc>
        <w:tc>
          <w:tcPr>
            <w:tcW w:type="dxa" w:w="18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514.6 (65)</w:t>
            </w:r>
          </w:p>
        </w:tc>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718.2 (22)</w:t>
            </w:r>
          </w:p>
        </w:tc>
        <w:tc>
          <w:tcPr>
            <w:tcW w:type="dxa" w:w="17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380.0 (5)</w:t>
            </w:r>
          </w:p>
        </w:tc>
        <w:tc>
          <w:tcPr>
            <w:tcW w:type="dxa" w:w="172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1,300.0 (4)</w:t>
            </w:r>
          </w:p>
        </w:tc>
      </w:tr>
    </w:tbl>
    <w:p>
      <w:pPr>
        <w:spacing w:after="120" w:before="0" w:line="360"/>
        <w:jc w:val="both"/>
      </w:pPr>
      <w:r>
        <w:rPr>
          <w:rFonts w:ascii="Times New Roman" w:cs="Times New Roman" w:eastAsia="Times New Roman" w:hAnsi="Times New Roman"/>
          <w:color w:val="000000"/>
          <w:sz w:val="24"/>
          <w:szCs w:val="24"/>
        </w:rPr>
        <w:t xml:space="preserve">Table 48 shows that fisher prices varied considerably by site. Majoreni fishers reported the highest large-crab mean at KSh 785.7 per kilogram, well above Shimoni at KSh 540.0 and Vanga at KSh 535.7, with Msambweni at KSh 650.0 on three respondents. Middleman means were much closer together, from KSh 857.1 at Majoreni to KSh 1,000.0 at Vanga. Returning to Table 46, fisher prices differed significantly across sites for large crabs, H(3) = 20.32, p &lt; .001, and for medium crabs, H(3) = 20.07, p &lt; .001, while middleman prices did not, H(2) = 5.33, p = .070 and H(2) = 3.78, p = .151. Small-grade prices did not differ across sites either, H(3) = 5.85, p = .119.</w:t>
      </w:r>
    </w:p>
    <w:p>
      <w:pPr>
        <w:spacing w:after="0" w:before="240" w:line="240"/>
      </w:pPr>
      <w:bookmarkStart w:id="41075" w:name="_Fig27"/>
      <w:r>
        <w:rPr>
          <w:rFonts w:ascii="Times New Roman" w:cs="Times New Roman" w:eastAsia="Times New Roman" w:hAnsi="Times New Roman"/>
          <w:b/>
          <w:bCs/>
          <w:color w:val="000000"/>
          <w:sz w:val="24"/>
          <w:szCs w:val="24"/>
        </w:rPr>
        <w:t xml:space="preserve">Figure 27</w:t>
      </w:r>
      <w:bookmarkEnd w:id="41075"/>
    </w:p>
    <w:p>
      <w:pPr>
        <w:spacing w:after="120" w:before="0" w:line="240"/>
      </w:pPr>
      <w:r>
        <w:rPr>
          <w:rFonts w:ascii="Times New Roman" w:cs="Times New Roman" w:eastAsia="Times New Roman" w:hAnsi="Times New Roman"/>
          <w:i/>
          <w:iCs/>
          <w:color w:val="000000"/>
          <w:sz w:val="24"/>
          <w:szCs w:val="24"/>
        </w:rPr>
        <w:t xml:space="preserve">Mean Large-Crab Price by Actor Category and BMU</w:t>
      </w:r>
    </w:p>
    <w:p>
      <w:pPr>
        <w:spacing w:after="100"/>
        <w:jc w:val="center"/>
      </w:pPr>
      <w:r>
        <w:drawing>
          <wp:inline distT="0" distB="0" distL="0" distR="0">
            <wp:extent cx="57150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715000" cy="2533650"/>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mean large-crab price in KSh per kilogram. A missing bar means no respondent of that actor category was sampled at that site. The single Shimoni hotelier and the Other sites group rest on very small numbers.</w:t>
      </w:r>
    </w:p>
    <w:p>
      <w:pPr>
        <w:spacing w:after="0" w:before="240" w:line="240"/>
      </w:pPr>
      <w:bookmarkStart w:id="41076" w:name="_Tbl49"/>
      <w:r>
        <w:rPr>
          <w:rFonts w:ascii="Times New Roman" w:cs="Times New Roman" w:eastAsia="Times New Roman" w:hAnsi="Times New Roman"/>
          <w:b/>
          <w:bCs/>
          <w:color w:val="000000"/>
          <w:sz w:val="24"/>
          <w:szCs w:val="24"/>
        </w:rPr>
        <w:t xml:space="preserve">Table 49</w:t>
      </w:r>
      <w:bookmarkEnd w:id="41076"/>
    </w:p>
    <w:p>
      <w:pPr>
        <w:spacing w:after="120" w:before="0" w:line="240"/>
      </w:pPr>
      <w:r>
        <w:rPr>
          <w:rFonts w:ascii="Times New Roman" w:cs="Times New Roman" w:eastAsia="Times New Roman" w:hAnsi="Times New Roman"/>
          <w:b w:val="false"/>
          <w:bCs w:val="false"/>
          <w:i/>
          <w:iCs/>
          <w:color w:val="000000"/>
          <w:sz w:val="24"/>
          <w:szCs w:val="24"/>
        </w:rPr>
        <w:t xml:space="preserve">First-Sale Price Spread Between Fishers and Middlemen Within Each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500"/>
        <w:gridCol w:w="1300"/>
        <w:gridCol w:w="1450"/>
        <w:gridCol w:w="1200"/>
        <w:gridCol w:w="1700"/>
        <w:gridCol w:w="1876"/>
      </w:tblGrid>
      <w:tr>
        <w:trPr>
          <w:tblHeader/>
        </w:trPr>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BMU</w:t>
            </w:r>
          </w:p>
        </w:tc>
        <w:tc>
          <w:tcPr>
            <w:tcW w:type="dxa" w:w="1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Fisher M</w:t>
            </w:r>
          </w:p>
          <w:p>
            <w:pPr>
              <w:spacing w:after="20" w:before="0" w:line="240"/>
              <w:jc w:val="center"/>
            </w:pPr>
            <w:r>
              <w:rPr>
                <w:rFonts w:ascii="Times New Roman" w:cs="Times New Roman" w:eastAsia="Times New Roman" w:hAnsi="Times New Roman"/>
                <w:b/>
                <w:bCs/>
                <w:i w:val="false"/>
                <w:iCs w:val="false"/>
                <w:color w:val="000000"/>
                <w:sz w:val="20"/>
                <w:szCs w:val="20"/>
              </w:rPr>
              <w:t xml:space="preserve">(KSh/kg)</w:t>
            </w:r>
          </w:p>
        </w:tc>
        <w:tc>
          <w:tcPr>
            <w:tcW w:type="dxa" w:w="14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Middleman M</w:t>
            </w:r>
          </w:p>
          <w:p>
            <w:pPr>
              <w:spacing w:after="20" w:before="0" w:line="240"/>
              <w:jc w:val="center"/>
            </w:pPr>
            <w:r>
              <w:rPr>
                <w:rFonts w:ascii="Times New Roman" w:cs="Times New Roman" w:eastAsia="Times New Roman" w:hAnsi="Times New Roman"/>
                <w:b/>
                <w:bCs/>
                <w:i w:val="false"/>
                <w:iCs w:val="false"/>
                <w:color w:val="000000"/>
                <w:sz w:val="20"/>
                <w:szCs w:val="20"/>
              </w:rPr>
              <w:t xml:space="preserve">(KSh/kg)</w:t>
            </w:r>
          </w:p>
        </w:tc>
        <w:tc>
          <w:tcPr>
            <w:tcW w:type="dxa" w:w="12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Spread</w:t>
            </w:r>
          </w:p>
          <w:p>
            <w:pPr>
              <w:spacing w:after="20" w:before="0" w:line="240"/>
              <w:jc w:val="center"/>
            </w:pPr>
            <w:r>
              <w:rPr>
                <w:rFonts w:ascii="Times New Roman" w:cs="Times New Roman" w:eastAsia="Times New Roman" w:hAnsi="Times New Roman"/>
                <w:b/>
                <w:bCs/>
                <w:i w:val="false"/>
                <w:iCs w:val="false"/>
                <w:color w:val="000000"/>
                <w:sz w:val="20"/>
                <w:szCs w:val="20"/>
              </w:rPr>
              <w:t xml:space="preserve">(KSh/kg)</w:t>
            </w:r>
          </w:p>
        </w:tc>
        <w:tc>
          <w:tcPr>
            <w:tcW w:type="dxa" w:w="17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Spread as % of</w:t>
            </w:r>
          </w:p>
          <w:p>
            <w:pPr>
              <w:spacing w:after="20" w:before="0" w:line="240"/>
              <w:jc w:val="center"/>
            </w:pPr>
            <w:r>
              <w:rPr>
                <w:rFonts w:ascii="Times New Roman" w:cs="Times New Roman" w:eastAsia="Times New Roman" w:hAnsi="Times New Roman"/>
                <w:b/>
                <w:bCs/>
                <w:i w:val="false"/>
                <w:iCs w:val="false"/>
                <w:color w:val="000000"/>
                <w:sz w:val="20"/>
                <w:szCs w:val="20"/>
              </w:rPr>
              <w:t xml:space="preserve">the fisher price</w:t>
            </w:r>
          </w:p>
        </w:tc>
        <w:tc>
          <w:tcPr>
            <w:tcW w:type="dxa" w:w="187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Fisher price as % of</w:t>
            </w:r>
          </w:p>
          <w:p>
            <w:pPr>
              <w:spacing w:after="20" w:before="0" w:line="240"/>
              <w:jc w:val="center"/>
            </w:pPr>
            <w:r>
              <w:rPr>
                <w:rFonts w:ascii="Times New Roman" w:cs="Times New Roman" w:eastAsia="Times New Roman" w:hAnsi="Times New Roman"/>
                <w:b/>
                <w:bCs/>
                <w:i w:val="false"/>
                <w:iCs w:val="false"/>
                <w:color w:val="000000"/>
                <w:sz w:val="20"/>
                <w:szCs w:val="20"/>
              </w:rPr>
              <w:t xml:space="preserve">the middleman price</w:t>
            </w:r>
          </w:p>
        </w:tc>
      </w:tr>
      <w:tr>
        <w:tc>
          <w:tcPr>
            <w:tcW w:type="dxa" w:w="9026"/>
            <w:gridSpan w:val="6"/>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Large (Grade A)</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Shimoni</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540.0</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981.8</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441.8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81.8</w:t>
            </w:r>
          </w:p>
        </w:tc>
        <w:tc>
          <w:tcPr>
            <w:tcW w:type="dxa" w:w="1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55.0</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Majoreni</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785.7</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857.1</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71.4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9.1</w:t>
            </w:r>
          </w:p>
        </w:tc>
        <w:tc>
          <w:tcPr>
            <w:tcW w:type="dxa" w:w="1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91.7</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Vanga</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535.7</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1,000.0</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464.3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86.7</w:t>
            </w:r>
          </w:p>
        </w:tc>
        <w:tc>
          <w:tcPr>
            <w:tcW w:type="dxa" w:w="1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53.6</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Msambweni</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650.0</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Other sites</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800.0</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9026"/>
            <w:gridSpan w:val="6"/>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Medium (Grade B)</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Shimoni</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404.0</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745.5</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341.5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84.5</w:t>
            </w:r>
          </w:p>
        </w:tc>
        <w:tc>
          <w:tcPr>
            <w:tcW w:type="dxa" w:w="1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54.2</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Majoreni</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600.0</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657.1</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57.1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9.5</w:t>
            </w:r>
          </w:p>
        </w:tc>
        <w:tc>
          <w:tcPr>
            <w:tcW w:type="dxa" w:w="1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91.3</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Vanga</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576.2</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750.0</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173.8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30.2</w:t>
            </w:r>
          </w:p>
        </w:tc>
        <w:tc>
          <w:tcPr>
            <w:tcW w:type="dxa" w:w="1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76.8</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Msambweni</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616.7</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5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Other sites</w:t>
            </w:r>
          </w:p>
        </w:tc>
        <w:tc>
          <w:tcPr>
            <w:tcW w:type="dxa" w:w="13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500.0</w:t>
            </w:r>
          </w:p>
        </w:tc>
        <w:tc>
          <w:tcPr>
            <w:tcW w:type="dxa" w:w="14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87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bl>
    <w:p>
      <w:pPr>
        <w:spacing w:after="120" w:before="0" w:line="360"/>
        <w:jc w:val="both"/>
      </w:pPr>
      <w:r>
        <w:rPr>
          <w:rFonts w:ascii="Times New Roman" w:cs="Times New Roman" w:eastAsia="Times New Roman" w:hAnsi="Times New Roman"/>
          <w:color w:val="000000"/>
          <w:sz w:val="24"/>
          <w:szCs w:val="24"/>
        </w:rPr>
        <w:t xml:space="preserve">Table 49 sets the two upstream node prices side by side at each landing site. Majoreni stands apart: its fishers held 91.7% of the local middleman price for large crabs and 91.3% for medium crabs, leaving spreads of only KSh 71.4 and KSh 57.1 per kilogram. At Shimoni and Vanga the same comparison gave 55.0% and 53.6% for large crabs, spreads of KSh 441.8 and KSh 464.3, or between 82% and 87% on top of what the fisher was paid. Vanga sat in between for medium crabs at 76.8%. The pattern holds in both grades, which makes it unlikely to be an artefact of one unusual price.</w:t>
      </w:r>
    </w:p>
    <w:p>
      <w:pPr>
        <w:spacing w:after="0" w:before="240" w:line="240"/>
      </w:pPr>
      <w:bookmarkStart w:id="41077" w:name="_Fig28"/>
      <w:r>
        <w:rPr>
          <w:rFonts w:ascii="Times New Roman" w:cs="Times New Roman" w:eastAsia="Times New Roman" w:hAnsi="Times New Roman"/>
          <w:b/>
          <w:bCs/>
          <w:color w:val="000000"/>
          <w:sz w:val="24"/>
          <w:szCs w:val="24"/>
        </w:rPr>
        <w:t xml:space="preserve">Figure 28</w:t>
      </w:r>
      <w:bookmarkEnd w:id="41077"/>
    </w:p>
    <w:p>
      <w:pPr>
        <w:spacing w:after="120" w:before="0" w:line="240"/>
      </w:pPr>
      <w:r>
        <w:rPr>
          <w:rFonts w:ascii="Times New Roman" w:cs="Times New Roman" w:eastAsia="Times New Roman" w:hAnsi="Times New Roman"/>
          <w:i/>
          <w:iCs/>
          <w:color w:val="000000"/>
          <w:sz w:val="24"/>
          <w:szCs w:val="24"/>
        </w:rPr>
        <w:t xml:space="preserve">Fisher Price as a Percentage of the Middleman Price Within Each BMU</w:t>
      </w:r>
    </w:p>
    <w:p>
      <w:pPr>
        <w:spacing w:after="100"/>
        <w:jc w:val="center"/>
      </w:pPr>
      <w:r>
        <w:drawing>
          <wp:inline distT="0" distB="0" distL="0" distR="0">
            <wp:extent cx="57150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715000" cy="2790825"/>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fisher mean expressed as a percentage of the middleman mean for the same grade at the same site. A taller bar means a narrower gap between the two nodes. Msambweni and the Other sites group are absent because no middleman was sampled there.</w:t>
      </w:r>
    </w:p>
    <w:p>
      <w:pPr>
        <w:spacing w:after="120" w:before="0" w:line="360"/>
        <w:jc w:val="both"/>
      </w:pPr>
      <w:r>
        <w:rPr>
          <w:rFonts w:ascii="Times New Roman" w:cs="Times New Roman" w:eastAsia="Times New Roman" w:hAnsi="Times New Roman"/>
          <w:color w:val="000000"/>
          <w:sz w:val="24"/>
          <w:szCs w:val="24"/>
        </w:rPr>
        <w:t xml:space="preserve">Where that difference comes from is worth stating plainly, because the two nodes did not move together. Fisher prices varied significantly across sites; middleman prices did not. The narrow Majoreni gap is therefore built on the fisher side of the transaction rather than on Majoreni traders charging less than their counterparts: Majoreni middlemen sold at KSh 857.1, within KSh 143 of the other two sites, while Majoreni fishers were paid KSh 785.7 against roughly KSh 537 at Shimoni and Vanga. The gap a fisher faces is set at his own landing site. It is also worth recalling from Table 20 that Majoreni fishers reached the point of sale fastest, which is consistent with, though not proof of, a shorter and more competitive first-sale market there.</w:t>
      </w:r>
    </w:p>
    <w:p>
      <w:pPr>
        <w:pStyle w:val="Heading3"/>
        <w:spacing w:after="120" w:before="240" w:line="360"/>
        <w:outlineLvl w:val="2"/>
      </w:pPr>
      <w:bookmarkStart w:id="52072" w:name="_Toc_72"/>
      <w:r>
        <w:rPr>
          <w:rFonts w:ascii="Times New Roman" w:cs="Times New Roman" w:eastAsia="Times New Roman" w:hAnsi="Times New Roman"/>
          <w:b/>
          <w:bCs/>
          <w:color w:val="000000"/>
          <w:sz w:val="24"/>
          <w:szCs w:val="24"/>
        </w:rPr>
        <w:t xml:space="preserve">4.4.11 Summary of Objective Two</w:t>
      </w:r>
      <w:bookmarkEnd w:id="52072"/>
    </w:p>
    <w:p>
      <w:pPr>
        <w:spacing w:after="120" w:before="0" w:line="360"/>
        <w:jc w:val="both"/>
      </w:pPr>
      <w:r>
        <w:rPr>
          <w:rFonts w:ascii="Times New Roman" w:cs="Times New Roman" w:eastAsia="Times New Roman" w:hAnsi="Times New Roman"/>
          <w:color w:val="000000"/>
          <w:sz w:val="24"/>
          <w:szCs w:val="24"/>
        </w:rPr>
        <w:t xml:space="preserve">Objective Two asked what functions actors perform at each market node. Functions divided cleanly, and so did the information attached to them. Fishers harvested by hand, tied claws, packed into sacks, walked to the landing site and sold the whole catch to a first-level middleman at a price they called fixed. Middlemen aggregated, cleaned, sorted and graded on a four-criterion rule, then moved crabs by vehicle or boat to company agents, other middlemen or exporters. Hoteliers processed and froze for their own kitchens. Exporters packed Styrofoam for air freight under inspection and certification. Formal quality control, the fuller grading rule and contact with the final buyer sat entirely downstream.</w:t>
      </w:r>
    </w:p>
    <w:p>
      <w:pPr>
        <w:spacing w:after="120" w:before="0" w:line="360"/>
        <w:jc w:val="both"/>
      </w:pPr>
      <w:r>
        <w:rPr>
          <w:rFonts w:ascii="Times New Roman" w:cs="Times New Roman" w:eastAsia="Times New Roman" w:hAnsi="Times New Roman"/>
          <w:color w:val="000000"/>
          <w:sz w:val="24"/>
          <w:szCs w:val="24"/>
        </w:rPr>
        <w:t xml:space="preserve">Prices rose at every node and differed significantly between actor categories. Expressed as shares of the price the crab eventually fetched, the fisher retained between 27.5% and 39.6%, the middleman added between 15.5% and 20.0%, and between 44.4% and 57.0% was added at the final buyer. Among fishers, price also differed significantly by site, and the size of the first-sale gap was set locally: Majoreni fishers held 91.7% of the middleman price for large crabs where Shimoni and Vanga fishers held close to 54%.</w:t>
      </w:r>
    </w:p>
    <w:p>
      <w:pPr>
        <w:pStyle w:val="Heading3"/>
        <w:spacing w:after="120" w:before="240" w:line="360"/>
        <w:outlineLvl w:val="2"/>
      </w:pPr>
      <w:bookmarkStart w:id="52073" w:name="_Toc_73"/>
      <w:r>
        <w:rPr>
          <w:rFonts w:ascii="Times New Roman" w:cs="Times New Roman" w:eastAsia="Times New Roman" w:hAnsi="Times New Roman"/>
          <w:b/>
          <w:bCs/>
          <w:color w:val="000000"/>
          <w:sz w:val="24"/>
          <w:szCs w:val="24"/>
        </w:rPr>
        <w:t xml:space="preserve">4.4.12 Discussion of Findings in Relation to Previous Studies</w:t>
      </w:r>
      <w:bookmarkEnd w:id="52073"/>
    </w:p>
    <w:p>
      <w:pPr>
        <w:spacing w:after="120" w:before="0" w:line="360"/>
        <w:jc w:val="both"/>
      </w:pPr>
      <w:r>
        <w:rPr>
          <w:rFonts w:ascii="Times New Roman" w:cs="Times New Roman" w:eastAsia="Times New Roman" w:hAnsi="Times New Roman"/>
          <w:color w:val="000000"/>
          <w:sz w:val="24"/>
          <w:szCs w:val="24"/>
        </w:rPr>
        <w:t xml:space="preserve">The functional sequence documented here — harvesting, aggregation, processing and export, each performed by a distinct actor category — agrees closely with the value-chain structure described for the Kenyan mud crab fishery (Mirera, 2017a; Fondo &amp; Ogutu, 2021) and with the broader account of small-scale fisheries chains in which middlemen supply the link between dispersed harvesters and distant buyers (Crona et al., 2016). The present study extends those accounts by testing each function against site rather than assuming uniformity: of the functional variables examined, only travel time to market, the large-crab size label and the small-crab size label showed a significant association with BMU among fishers, and none did among middlemen.</w:t>
      </w:r>
    </w:p>
    <w:p>
      <w:pPr>
        <w:spacing w:after="120" w:before="0" w:line="360"/>
        <w:jc w:val="both"/>
      </w:pPr>
      <w:r>
        <w:rPr>
          <w:rFonts w:ascii="Times New Roman" w:cs="Times New Roman" w:eastAsia="Times New Roman" w:hAnsi="Times New Roman"/>
          <w:color w:val="000000"/>
          <w:sz w:val="24"/>
          <w:szCs w:val="24"/>
        </w:rPr>
        <w:t xml:space="preserve">The grading result is where this study makes its clearest contribution. Every actor graded, but fishers graded on weight alone while every downstream category used a four-criterion rule. Jacinto (2004) identifies precisely this kind of informational asymmetry as a determinant of how value is distributed in small-scale fisheries value chains, and the present data supply a clean instance of it in a fishery where the literature has so far documented actors and functions more thoroughly than the terms of exchange between them. The site variation in labelling adds a local dimension that earlier work has not reported.</w:t>
      </w:r>
    </w:p>
    <w:p>
      <w:pPr>
        <w:spacing w:after="120" w:before="0" w:line="360"/>
        <w:jc w:val="both"/>
      </w:pPr>
      <w:r>
        <w:rPr>
          <w:rFonts w:ascii="Times New Roman" w:cs="Times New Roman" w:eastAsia="Times New Roman" w:hAnsi="Times New Roman"/>
          <w:color w:val="000000"/>
          <w:sz w:val="24"/>
          <w:szCs w:val="24"/>
        </w:rPr>
        <w:t xml:space="preserve">On handling and loss, the finding that protection rises downstream while mortality rises with the volume held is consistent with FAO (2025) on the determinants of survival and quality in the live mud crab trade. The divergence from that literature is not in the direction of the result but in its measurement: no actor in this chain recorded losses against a shared standard, so the cost of mortality cannot be attributed, priced or recovered. That is a gap in practice rather than a contradiction of previous findings.</w:t>
      </w:r>
    </w:p>
    <w:p>
      <w:pPr>
        <w:spacing w:after="120" w:before="0" w:line="360"/>
        <w:jc w:val="both"/>
      </w:pPr>
      <w:r>
        <w:rPr>
          <w:rFonts w:ascii="Times New Roman" w:cs="Times New Roman" w:eastAsia="Times New Roman" w:hAnsi="Times New Roman"/>
          <w:color w:val="000000"/>
          <w:sz w:val="24"/>
          <w:szCs w:val="24"/>
        </w:rPr>
        <w:t xml:space="preserve">The price results agree with the expectation that later actors, carrying aggregation, mortality, transport and buyer-access costs, will trade at higher prices. The caveat matters and is stated plainly: these are gross prices. Munga and Muthumbi (2018) draw the same distinction for the Tana Delta mud crab fishery, where gross price differentials narrowed considerably once handling and transport were netted out, so nothing here should be read as a statement about profit.</w:t>
      </w:r>
    </w:p>
    <w:p>
      <w:pPr>
        <w:spacing w:after="120" w:before="0" w:line="360"/>
        <w:jc w:val="both"/>
      </w:pPr>
      <w:r>
        <w:rPr>
          <w:rFonts w:ascii="Times New Roman" w:cs="Times New Roman" w:eastAsia="Times New Roman" w:hAnsi="Times New Roman"/>
          <w:color w:val="000000"/>
          <w:sz w:val="24"/>
          <w:szCs w:val="24"/>
        </w:rPr>
        <w:t xml:space="preserve">Within that limit, the distribution of the end-of-chain price is the substantive extension this study offers. The producer’s share of between 27.5% and 39.6% sits at the low end of what has been reported for perishable, high-value seafood. Jacinto (2004) argues that in small-scale fisheries the share captured at each node tracks control of information and market access more closely than physical effort, and the ordering here matches that argument exactly: the actor doing the fishing takes the smallest share, and the largest single share accrues at the step furthest from the water.</w:t>
      </w:r>
    </w:p>
    <w:p>
      <w:pPr>
        <w:spacing w:after="120" w:before="0" w:line="360"/>
        <w:jc w:val="both"/>
      </w:pPr>
      <w:r>
        <w:rPr>
          <w:rFonts w:ascii="Times New Roman" w:cs="Times New Roman" w:eastAsia="Times New Roman" w:hAnsi="Times New Roman"/>
          <w:color w:val="000000"/>
          <w:sz w:val="24"/>
          <w:szCs w:val="24"/>
        </w:rPr>
        <w:t xml:space="preserve">The middleman result cuts against the popular account and deserves emphasis. Middlemen took the smallest of the three shares in every chain, between 15.5% and 20.0%, yet they are the actor fishers most often identify with the low beach price. Crona et al. (2016) reach a similar conclusion for Kenya and Zanzibar, finding middlemen widely blamed for outcomes largely determined further along the chain while themselves operating on modest turnovers and carrying the mortality risk. The present data support that reading rather than the popular one, and Table 35 documents the risk directly.</w:t>
      </w:r>
    </w:p>
    <w:p>
      <w:pPr>
        <w:spacing w:after="120" w:before="0" w:line="360"/>
        <w:jc w:val="both"/>
      </w:pPr>
      <w:r>
        <w:rPr>
          <w:rFonts w:ascii="Times New Roman" w:cs="Times New Roman" w:eastAsia="Times New Roman" w:hAnsi="Times New Roman"/>
          <w:color w:val="000000"/>
          <w:sz w:val="24"/>
          <w:szCs w:val="24"/>
        </w:rPr>
        <w:t xml:space="preserve">Finally, the site contrast in the first-sale gap extends the literature on market integration. Green and Clark (2021) treat dispersion at the first point of sale as one of the more reliable indicators of weak market integration; on that criterion Shimoni and Vanga look the weaker markets of the three. Because fisher prices varied significantly across sites while middleman prices did not, the mechanism sits on the fisher side of the transaction. Two readings remain open — a less concentrated set of first buyers at Majoreni, or Majoreni traders being first-tier buyers reselling locally rather than consolidators shipping to Mombasa — and this study cannot separate them, because buyer concentration and onward destination were not measured at transaction level.</w:t>
      </w:r>
    </w:p>
    <w:p>
      <w:pPr>
        <w:pStyle w:val="Heading2"/>
        <w:spacing w:after="140" w:before="280" w:line="360"/>
        <w:outlineLvl w:val="1"/>
      </w:pPr>
      <w:bookmarkStart w:id="52074" w:name="_Toc_74"/>
      <w:r>
        <w:rPr>
          <w:rFonts w:ascii="Times New Roman" w:cs="Times New Roman" w:eastAsia="Times New Roman" w:hAnsi="Times New Roman"/>
          <w:b/>
          <w:bCs/>
          <w:color w:val="000000"/>
          <w:sz w:val="26"/>
          <w:szCs w:val="26"/>
        </w:rPr>
        <w:t xml:space="preserve">4.5 Objective Three: Constraints and Opportunities Facing Each Actor Category</w:t>
      </w:r>
      <w:bookmarkEnd w:id="52074"/>
    </w:p>
    <w:p>
      <w:pPr>
        <w:spacing w:after="120" w:before="0" w:line="360"/>
        <w:jc w:val="both"/>
      </w:pPr>
      <w:r>
        <w:rPr>
          <w:rFonts w:ascii="Times New Roman" w:cs="Times New Roman" w:eastAsia="Times New Roman" w:hAnsi="Times New Roman"/>
          <w:color w:val="000000"/>
          <w:sz w:val="24"/>
          <w:szCs w:val="24"/>
        </w:rPr>
        <w:t xml:space="preserve">Objective Three assessed the constraints each actor category reported and the opportunities they identified. The results are grouped into operational and infrastructure constraints, market access and risk, regulation and information, perceptions of market organisation, and opportunities.</w:t>
      </w:r>
    </w:p>
    <w:p>
      <w:pPr>
        <w:pStyle w:val="Heading3"/>
        <w:spacing w:after="120" w:before="240" w:line="360"/>
        <w:outlineLvl w:val="2"/>
      </w:pPr>
      <w:bookmarkStart w:id="52075" w:name="_Toc_75"/>
      <w:r>
        <w:rPr>
          <w:rFonts w:ascii="Times New Roman" w:cs="Times New Roman" w:eastAsia="Times New Roman" w:hAnsi="Times New Roman"/>
          <w:b/>
          <w:bCs/>
          <w:color w:val="000000"/>
          <w:sz w:val="24"/>
          <w:szCs w:val="24"/>
        </w:rPr>
        <w:t xml:space="preserve">4.5.1 Operational and Infrastructure Constraints</w:t>
      </w:r>
      <w:bookmarkEnd w:id="52075"/>
    </w:p>
    <w:p>
      <w:pPr>
        <w:spacing w:after="0" w:before="240" w:line="240"/>
      </w:pPr>
      <w:bookmarkStart w:id="41078" w:name="_Tbl50"/>
      <w:r>
        <w:rPr>
          <w:rFonts w:ascii="Times New Roman" w:cs="Times New Roman" w:eastAsia="Times New Roman" w:hAnsi="Times New Roman"/>
          <w:b/>
          <w:bCs/>
          <w:color w:val="000000"/>
          <w:sz w:val="24"/>
          <w:szCs w:val="24"/>
        </w:rPr>
        <w:t xml:space="preserve">Table 50</w:t>
      </w:r>
      <w:bookmarkEnd w:id="41078"/>
    </w:p>
    <w:p>
      <w:pPr>
        <w:spacing w:after="120" w:before="0" w:line="240"/>
      </w:pPr>
      <w:r>
        <w:rPr>
          <w:rFonts w:ascii="Times New Roman" w:cs="Times New Roman" w:eastAsia="Times New Roman" w:hAnsi="Times New Roman"/>
          <w:b w:val="false"/>
          <w:bCs w:val="false"/>
          <w:i/>
          <w:iCs/>
          <w:color w:val="000000"/>
          <w:sz w:val="24"/>
          <w:szCs w:val="24"/>
        </w:rPr>
        <w:t xml:space="preserve">Main Operational or Marketing Constraint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Main operational or marketing constraint</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Price fluctuations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59 (90.8%)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24 (96.0%)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(78.6%)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 (90.5%)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.334</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Mortality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(9.2%)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(9.5%)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 seasonality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High freight, flight delays and supply risk</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Price fluctuations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(50.0%)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.036</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Mortality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(50.0%)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 seasonality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High freight, flight delays and supply risk</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Price fluctuations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Mortality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 seasonality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High freight, flight delays and supply risk</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Price fluctuations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Mortality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 seasonality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High freight, flight delays and supply risk</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50, no constraint was shared across the chain. Price fluctuation was named by 59 fishers (90.8%) and by half the middlemen (11, 50.0%); mortality by the other half of middlemen and by 6 fishers (9.2%); market seasonality by all five hoteliers; and high freight, flight delays and supply risk by all four exporters. The middleman split varied significantly by site (p = .036): all four Vanga middlemen and 4 of 7 at Majoreni (57.1%) named mortality, while only 3 of 11 at Shimoni (27.3%) did. Fisher responses did not vary by site (p = .334).</w:t>
      </w:r>
    </w:p>
    <w:p>
      <w:pPr>
        <w:spacing w:after="0" w:before="240" w:line="240"/>
      </w:pPr>
      <w:bookmarkStart w:id="41079" w:name="_Fig29"/>
      <w:r>
        <w:rPr>
          <w:rFonts w:ascii="Times New Roman" w:cs="Times New Roman" w:eastAsia="Times New Roman" w:hAnsi="Times New Roman"/>
          <w:b/>
          <w:bCs/>
          <w:color w:val="000000"/>
          <w:sz w:val="24"/>
          <w:szCs w:val="24"/>
        </w:rPr>
        <w:t xml:space="preserve">Figure 29</w:t>
      </w:r>
      <w:bookmarkEnd w:id="41079"/>
    </w:p>
    <w:p>
      <w:pPr>
        <w:spacing w:after="120" w:before="0" w:line="240"/>
      </w:pPr>
      <w:r>
        <w:rPr>
          <w:rFonts w:ascii="Times New Roman" w:cs="Times New Roman" w:eastAsia="Times New Roman" w:hAnsi="Times New Roman"/>
          <w:i/>
          <w:iCs/>
          <w:color w:val="000000"/>
          <w:sz w:val="24"/>
          <w:szCs w:val="24"/>
        </w:rPr>
        <w:t xml:space="preserve">Main Operational or Marketing Constraint by Actor Category</w:t>
      </w:r>
    </w:p>
    <w:p>
      <w:pPr>
        <w:spacing w:after="100"/>
        <w:jc w:val="center"/>
      </w:pPr>
      <w:r>
        <w:drawing>
          <wp:inline distT="0" distB="0" distL="0" distR="0">
            <wp:extent cx="5715000" cy="2266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715000" cy="2266950"/>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percentage within each actor category. Each actor category named a different dominant constraint.</w:t>
      </w:r>
    </w:p>
    <w:p>
      <w:pPr>
        <w:spacing w:after="0" w:before="240" w:line="240"/>
      </w:pPr>
      <w:bookmarkStart w:id="41080" w:name="_Fig30"/>
      <w:r>
        <w:rPr>
          <w:rFonts w:ascii="Times New Roman" w:cs="Times New Roman" w:eastAsia="Times New Roman" w:hAnsi="Times New Roman"/>
          <w:b/>
          <w:bCs/>
          <w:color w:val="000000"/>
          <w:sz w:val="24"/>
          <w:szCs w:val="24"/>
        </w:rPr>
        <w:t xml:space="preserve">Figure 30</w:t>
      </w:r>
      <w:bookmarkEnd w:id="41080"/>
    </w:p>
    <w:p>
      <w:pPr>
        <w:spacing w:after="120" w:before="0" w:line="240"/>
      </w:pPr>
      <w:r>
        <w:rPr>
          <w:rFonts w:ascii="Times New Roman" w:cs="Times New Roman" w:eastAsia="Times New Roman" w:hAnsi="Times New Roman"/>
          <w:i/>
          <w:iCs/>
          <w:color w:val="000000"/>
          <w:sz w:val="24"/>
          <w:szCs w:val="24"/>
        </w:rPr>
        <w:t xml:space="preserve">Main Constraint Reported by Middlemen Within Each BMU</w:t>
      </w:r>
    </w:p>
    <w:p>
      <w:pPr>
        <w:spacing w:after="100"/>
        <w:jc w:val="center"/>
      </w:pPr>
      <w:r>
        <w:drawing>
          <wp:inline distT="0" distB="0" distL="0" distR="0">
            <wp:extent cx="571500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715000" cy="2886075"/>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percentage of middlemen within each BMU. No middleman was sampled at Msambweni.</w:t>
      </w:r>
    </w:p>
    <w:p>
      <w:pPr>
        <w:spacing w:after="0" w:before="240" w:line="240"/>
      </w:pPr>
      <w:bookmarkStart w:id="41081" w:name="_Tbl51"/>
      <w:r>
        <w:rPr>
          <w:rFonts w:ascii="Times New Roman" w:cs="Times New Roman" w:eastAsia="Times New Roman" w:hAnsi="Times New Roman"/>
          <w:b/>
          <w:bCs/>
          <w:color w:val="000000"/>
          <w:sz w:val="24"/>
          <w:szCs w:val="24"/>
        </w:rPr>
        <w:t xml:space="preserve">Table 51</w:t>
      </w:r>
      <w:bookmarkEnd w:id="41081"/>
    </w:p>
    <w:p>
      <w:pPr>
        <w:spacing w:after="120" w:before="0" w:line="240"/>
      </w:pPr>
      <w:r>
        <w:rPr>
          <w:rFonts w:ascii="Times New Roman" w:cs="Times New Roman" w:eastAsia="Times New Roman" w:hAnsi="Times New Roman"/>
          <w:b w:val="false"/>
          <w:bCs w:val="false"/>
          <w:i/>
          <w:iCs/>
          <w:color w:val="000000"/>
          <w:sz w:val="24"/>
          <w:szCs w:val="24"/>
        </w:rPr>
        <w:t xml:space="preserve">Main Infrastructure or Logistics Constraint and Need for Improvement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Main infrastructure or logistics constraint</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Poor road infrastructure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64 (98.5%)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 (92.9%)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.264</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Lack of aggregation facilities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Limited transport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 seasonality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High freight, flight delays and mortality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Poor road infrastructure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.339</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Lack of aggregation facilities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 (90.9%)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(90.9%)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Limited transport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 seasonality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High freight, flight delays and mortality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Poor road infrastructure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Lack of aggregation facilities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Limited transport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 seasonality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High freight, flight delays and mortality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Poor road infrastructure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Lack of aggregation facilities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Limited transport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 seasonality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High freight, flight delays and mortality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Infrastructure improvements are needed</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51 shows the same divergence in infrastructure. Poor road infrastructure dominated the fisher responses (64, 98.5%), reaching 100.0% at Shimoni, Vanga and Msambweni, while 20 of 22 middlemen (90.9%) named the lack of aggregation facilities, rising to all seven (100.0%) at Majoreni. All five hoteliers named market seasonality and all four exporters named high freight, flight delays and mortality. Every respondent in all four categories, without exception, said infrastructure improvements were needed. Neither fisher (p = .264) nor middleman (p = .339) responses varied significantly by site.</w:t>
      </w:r>
    </w:p>
    <w:p>
      <w:pPr>
        <w:spacing w:after="0" w:before="240" w:line="240"/>
      </w:pPr>
      <w:bookmarkStart w:id="41082" w:name="_Fig31"/>
      <w:r>
        <w:rPr>
          <w:rFonts w:ascii="Times New Roman" w:cs="Times New Roman" w:eastAsia="Times New Roman" w:hAnsi="Times New Roman"/>
          <w:b/>
          <w:bCs/>
          <w:color w:val="000000"/>
          <w:sz w:val="24"/>
          <w:szCs w:val="24"/>
        </w:rPr>
        <w:t xml:space="preserve">Figure 31</w:t>
      </w:r>
      <w:bookmarkEnd w:id="41082"/>
    </w:p>
    <w:p>
      <w:pPr>
        <w:spacing w:after="120" w:before="0" w:line="240"/>
      </w:pPr>
      <w:r>
        <w:rPr>
          <w:rFonts w:ascii="Times New Roman" w:cs="Times New Roman" w:eastAsia="Times New Roman" w:hAnsi="Times New Roman"/>
          <w:i/>
          <w:iCs/>
          <w:color w:val="000000"/>
          <w:sz w:val="24"/>
          <w:szCs w:val="24"/>
        </w:rPr>
        <w:t xml:space="preserve">Main Infrastructure or Logistics Constraint by Actor Category</w:t>
      </w:r>
    </w:p>
    <w:p>
      <w:pPr>
        <w:spacing w:after="100"/>
        <w:jc w:val="center"/>
      </w:pPr>
      <w:r>
        <w:drawing>
          <wp:inline distT="0" distB="0" distL="0" distR="0">
            <wp:extent cx="57150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715000" cy="2333625"/>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percentage within each actor category.</w:t>
      </w:r>
    </w:p>
    <w:p>
      <w:pPr>
        <w:spacing w:after="120" w:before="0" w:line="360"/>
        <w:jc w:val="both"/>
      </w:pPr>
      <w:r>
        <w:rPr>
          <w:rFonts w:ascii="Times New Roman" w:cs="Times New Roman" w:eastAsia="Times New Roman" w:hAnsi="Times New Roman"/>
          <w:color w:val="000000"/>
          <w:sz w:val="24"/>
          <w:szCs w:val="24"/>
        </w:rPr>
        <w:t xml:space="preserve">Tables 44 and 45 show that each constraint follows from the work the actor does. The fisher sells the same day at a price he does not set, so volatility reaches him first and the road is what stands between him and a buyer. The middleman holds stock, so he loses crabs and needs somewhere to hold them. The hotelier lives on tourist arrivals and feels the season. The exporter lives on cargo space and feels the freight. The practical consequence for Objective Three is that a single chain-wide intervention would not reach all four, which is why the recommendations in Chapter Six are written by actor category.</w:t>
      </w:r>
    </w:p>
    <w:p>
      <w:pPr>
        <w:pStyle w:val="Heading3"/>
        <w:spacing w:after="120" w:before="240" w:line="360"/>
        <w:outlineLvl w:val="2"/>
      </w:pPr>
      <w:bookmarkStart w:id="52076" w:name="_Toc_76"/>
      <w:r>
        <w:rPr>
          <w:rFonts w:ascii="Times New Roman" w:cs="Times New Roman" w:eastAsia="Times New Roman" w:hAnsi="Times New Roman"/>
          <w:b/>
          <w:bCs/>
          <w:color w:val="000000"/>
          <w:sz w:val="24"/>
          <w:szCs w:val="24"/>
        </w:rPr>
        <w:t xml:space="preserve">4.5.2 Market Access, Operational Challenges and Risk</w:t>
      </w:r>
      <w:bookmarkEnd w:id="52076"/>
    </w:p>
    <w:p>
      <w:pPr>
        <w:spacing w:after="0" w:before="240" w:line="240"/>
      </w:pPr>
      <w:bookmarkStart w:id="41083" w:name="_Tbl52"/>
      <w:r>
        <w:rPr>
          <w:rFonts w:ascii="Times New Roman" w:cs="Times New Roman" w:eastAsia="Times New Roman" w:hAnsi="Times New Roman"/>
          <w:b/>
          <w:bCs/>
          <w:color w:val="000000"/>
          <w:sz w:val="24"/>
          <w:szCs w:val="24"/>
        </w:rPr>
        <w:t xml:space="preserve">Table 52</w:t>
      </w:r>
      <w:bookmarkEnd w:id="41083"/>
    </w:p>
    <w:p>
      <w:pPr>
        <w:spacing w:after="120" w:before="0" w:line="240"/>
      </w:pPr>
      <w:r>
        <w:rPr>
          <w:rFonts w:ascii="Times New Roman" w:cs="Times New Roman" w:eastAsia="Times New Roman" w:hAnsi="Times New Roman"/>
          <w:b w:val="false"/>
          <w:bCs w:val="false"/>
          <w:i/>
          <w:iCs/>
          <w:color w:val="000000"/>
          <w:sz w:val="24"/>
          <w:szCs w:val="24"/>
        </w:rPr>
        <w:t xml:space="preserve">Barriers to Market Access and Operational Challenges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Experienced barriers to market access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61 (93.8%)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23 (92.0%)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 (90.5%)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.730</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(6.2%)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(9.5%)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Experienced significant operational challenges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53 (81.5%)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 (76.0%)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(76.2%)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.253</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(18.5%)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(23.8%)</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52, barriers to market access were close to universal: 61 fishers (93.8%), all 22 middlemen, all five hoteliers and all four exporters reported them, with the fisher share reaching 100.0% at Majoreni and Msambweni. Significant operational challenges were reported by 53 fishers (81.5%) and by every respondent in the other three categories. Neither item was associated with BMU among fishers (p = .730 and p = .253).</w:t>
      </w:r>
    </w:p>
    <w:p>
      <w:pPr>
        <w:spacing w:after="0" w:before="240" w:line="240"/>
      </w:pPr>
      <w:bookmarkStart w:id="41084" w:name="_Tbl53"/>
      <w:r>
        <w:rPr>
          <w:rFonts w:ascii="Times New Roman" w:cs="Times New Roman" w:eastAsia="Times New Roman" w:hAnsi="Times New Roman"/>
          <w:b/>
          <w:bCs/>
          <w:color w:val="000000"/>
          <w:sz w:val="24"/>
          <w:szCs w:val="24"/>
        </w:rPr>
        <w:t xml:space="preserve">Table 53</w:t>
      </w:r>
      <w:bookmarkEnd w:id="41084"/>
    </w:p>
    <w:p>
      <w:pPr>
        <w:spacing w:after="120" w:before="0" w:line="240"/>
      </w:pPr>
      <w:r>
        <w:rPr>
          <w:rFonts w:ascii="Times New Roman" w:cs="Times New Roman" w:eastAsia="Times New Roman" w:hAnsi="Times New Roman"/>
          <w:b w:val="false"/>
          <w:bCs w:val="false"/>
          <w:i/>
          <w:iCs/>
          <w:color w:val="000000"/>
          <w:sz w:val="24"/>
          <w:szCs w:val="24"/>
        </w:rPr>
        <w:t xml:space="preserve">Risk Management Method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Method used to manage risk</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Diversification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Insurance and diversification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Diversification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Insurance and diversification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Diversification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Insurance and diversification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Diversification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Insurance and diversification</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53 records how actors managed that risk, and the answer is uniform and thin. Diversification was the only method named by fishers, middlemen and hoteliers, at 100.0% in each category and at every site; the four exporters added insurance to diversification. No other method was reported anywhere in the sample.</w:t>
      </w:r>
    </w:p>
    <w:p>
      <w:pPr>
        <w:spacing w:after="0" w:before="240" w:line="240"/>
      </w:pPr>
      <w:bookmarkStart w:id="41085" w:name="_Tbl54"/>
      <w:r>
        <w:rPr>
          <w:rFonts w:ascii="Times New Roman" w:cs="Times New Roman" w:eastAsia="Times New Roman" w:hAnsi="Times New Roman"/>
          <w:b/>
          <w:bCs/>
          <w:color w:val="000000"/>
          <w:sz w:val="24"/>
          <w:szCs w:val="24"/>
        </w:rPr>
        <w:t xml:space="preserve">Table 54</w:t>
      </w:r>
      <w:bookmarkEnd w:id="41085"/>
    </w:p>
    <w:p>
      <w:pPr>
        <w:spacing w:after="120" w:before="0" w:line="240"/>
      </w:pPr>
      <w:r>
        <w:rPr>
          <w:rFonts w:ascii="Times New Roman" w:cs="Times New Roman" w:eastAsia="Times New Roman" w:hAnsi="Times New Roman"/>
          <w:b w:val="false"/>
          <w:bCs w:val="false"/>
          <w:i/>
          <w:iCs/>
          <w:color w:val="000000"/>
          <w:sz w:val="24"/>
          <w:szCs w:val="24"/>
        </w:rPr>
        <w:t xml:space="preserve">Innovation, Changes in Marketing Strategy and Adaptation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Adopted an innovative response</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Changed marketing strategies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How functions are adapted within the chain</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Flexibility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Flexibility and collaboration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Flexibility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Flexibility and collaboration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Flexibility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Flexibility and collaboration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Flexibility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Flexibility and collaboration</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54 completes that picture. Not one respondent in any actor category had adopted an innovative response. Only the nine downstream actors had changed their marketing strategies; no fisher and no middleman had. Flexibility was the universal adaptation, with exporters alone adding collaboration.</w:t>
      </w:r>
    </w:p>
    <w:p>
      <w:pPr>
        <w:spacing w:after="120" w:before="0" w:line="360"/>
        <w:jc w:val="both"/>
      </w:pPr>
      <w:r>
        <w:rPr>
          <w:rFonts w:ascii="Times New Roman" w:cs="Times New Roman" w:eastAsia="Times New Roman" w:hAnsi="Times New Roman"/>
          <w:color w:val="000000"/>
          <w:sz w:val="24"/>
          <w:szCs w:val="24"/>
        </w:rPr>
        <w:t xml:space="preserve">Read against Objective Three, Tables 46 to 48 say that upstream actors are absorbing risk rather than managing it. Diversification named as a risk strategy by a fisher who, in Table 13, reports no other income activity is an intention rather than a practice. The absence of any reported innovation across all 96 respondents also means that the constraints described above have not yet produced an adaptive response the actors themselves recognise as one.</w:t>
      </w:r>
    </w:p>
    <w:p>
      <w:pPr>
        <w:pStyle w:val="Heading3"/>
        <w:spacing w:after="120" w:before="240" w:line="360"/>
        <w:outlineLvl w:val="2"/>
      </w:pPr>
      <w:bookmarkStart w:id="52077" w:name="_Toc_77"/>
      <w:r>
        <w:rPr>
          <w:rFonts w:ascii="Times New Roman" w:cs="Times New Roman" w:eastAsia="Times New Roman" w:hAnsi="Times New Roman"/>
          <w:b/>
          <w:bCs/>
          <w:color w:val="000000"/>
          <w:sz w:val="24"/>
          <w:szCs w:val="24"/>
        </w:rPr>
        <w:t xml:space="preserve">4.5.3 Regulation and Access to Information</w:t>
      </w:r>
      <w:bookmarkEnd w:id="52077"/>
    </w:p>
    <w:p>
      <w:pPr>
        <w:spacing w:after="0" w:before="240" w:line="240"/>
      </w:pPr>
      <w:bookmarkStart w:id="41086" w:name="_Tbl55"/>
      <w:r>
        <w:rPr>
          <w:rFonts w:ascii="Times New Roman" w:cs="Times New Roman" w:eastAsia="Times New Roman" w:hAnsi="Times New Roman"/>
          <w:b/>
          <w:bCs/>
          <w:color w:val="000000"/>
          <w:sz w:val="24"/>
          <w:szCs w:val="24"/>
        </w:rPr>
        <w:t xml:space="preserve">Table 55</w:t>
      </w:r>
      <w:bookmarkEnd w:id="41086"/>
    </w:p>
    <w:p>
      <w:pPr>
        <w:spacing w:after="120" w:before="0" w:line="240"/>
      </w:pPr>
      <w:r>
        <w:rPr>
          <w:rFonts w:ascii="Times New Roman" w:cs="Times New Roman" w:eastAsia="Times New Roman" w:hAnsi="Times New Roman"/>
          <w:b w:val="false"/>
          <w:bCs w:val="false"/>
          <w:i/>
          <w:iCs/>
          <w:color w:val="000000"/>
          <w:sz w:val="24"/>
          <w:szCs w:val="24"/>
        </w:rPr>
        <w:t xml:space="preserve">Regulation, Management-Plan Awareness and Sources of Industry Information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Regulations affect marketing activities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(71.4%)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Aware of a crab fishery management plan</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(15.4%)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(28.6%)</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.118</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55 (84.6%)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(88.0%)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 (71.4%)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(95.5%)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(90.9%)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Knows persons or organizations interested in the fishery</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How the actor remains updated on industry trends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Networking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Networking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Networking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Networking</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55, regulation was felt across the chain: all 65 fishers, 16 of 22 middlemen (72.7%), all five hoteliers and all four exporters said regulations affected their marketing activities. Awareness of the instrument governing the fishery was far less evenly spread. Twenty-one middlemen (95.5%) and all four exporters knew of a crab fishery management plan, against only 10 fishers (15.4%) and not one hotelier. Among fishers the aware share ranged from none at Majoreni to 6 of 21 (28.6%) at Vanga, although the site difference was not significant (p = .118). Every respondent in every category said they knew of persons or organisations interested in the fishery, and every one said they stayed current by networking.</w:t>
      </w:r>
    </w:p>
    <w:p>
      <w:pPr>
        <w:spacing w:after="0" w:before="240" w:line="240"/>
      </w:pPr>
      <w:bookmarkStart w:id="41087" w:name="_Fig32"/>
      <w:r>
        <w:rPr>
          <w:rFonts w:ascii="Times New Roman" w:cs="Times New Roman" w:eastAsia="Times New Roman" w:hAnsi="Times New Roman"/>
          <w:b/>
          <w:bCs/>
          <w:color w:val="000000"/>
          <w:sz w:val="24"/>
          <w:szCs w:val="24"/>
        </w:rPr>
        <w:t xml:space="preserve">Figure 32</w:t>
      </w:r>
      <w:bookmarkEnd w:id="41087"/>
    </w:p>
    <w:p>
      <w:pPr>
        <w:spacing w:after="120" w:before="0" w:line="240"/>
      </w:pPr>
      <w:r>
        <w:rPr>
          <w:rFonts w:ascii="Times New Roman" w:cs="Times New Roman" w:eastAsia="Times New Roman" w:hAnsi="Times New Roman"/>
          <w:i/>
          <w:iCs/>
          <w:color w:val="000000"/>
          <w:sz w:val="24"/>
          <w:szCs w:val="24"/>
        </w:rPr>
        <w:t xml:space="preserve">Awareness of the Crab Fishery Management Plan Among Fishers, by BMU</w:t>
      </w:r>
    </w:p>
    <w:p>
      <w:pPr>
        <w:spacing w:after="100"/>
        <w:jc w:val="center"/>
      </w:pPr>
      <w:r>
        <w:drawing>
          <wp:inline distT="0" distB="0" distL="0" distR="0">
            <wp:extent cx="57150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715000" cy="2600325"/>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percentage of fishers within each BMU. No fisher at Majoreni reported awareness of the plan.</w:t>
      </w:r>
    </w:p>
    <w:p>
      <w:pPr>
        <w:spacing w:after="120" w:before="0" w:line="360"/>
        <w:jc w:val="both"/>
      </w:pPr>
      <w:r>
        <w:rPr>
          <w:rFonts w:ascii="Times New Roman" w:cs="Times New Roman" w:eastAsia="Times New Roman" w:hAnsi="Times New Roman"/>
          <w:color w:val="000000"/>
          <w:sz w:val="24"/>
          <w:szCs w:val="24"/>
        </w:rPr>
        <w:t xml:space="preserve">That contrast is the substantive finding of this subsection. Information about how the fishery is managed reaches the commercially connected nodes and misses the harvesting node, even though the co-management structures built to carry it are anchored at the landing site. Since every actor reported relying on networking, the route by which information travels is the same commercial relationship that sets the price.</w:t>
      </w:r>
    </w:p>
    <w:p>
      <w:pPr>
        <w:pStyle w:val="Heading3"/>
        <w:spacing w:after="120" w:before="240" w:line="360"/>
        <w:outlineLvl w:val="2"/>
      </w:pPr>
      <w:bookmarkStart w:id="52078" w:name="_Toc_78"/>
      <w:r>
        <w:rPr>
          <w:rFonts w:ascii="Times New Roman" w:cs="Times New Roman" w:eastAsia="Times New Roman" w:hAnsi="Times New Roman"/>
          <w:b/>
          <w:bCs/>
          <w:color w:val="000000"/>
          <w:sz w:val="24"/>
          <w:szCs w:val="24"/>
        </w:rPr>
        <w:t xml:space="preserve">4.5.4 Perceptions of Market Organisation and Policy</w:t>
      </w:r>
      <w:bookmarkEnd w:id="52078"/>
    </w:p>
    <w:p>
      <w:pPr>
        <w:spacing w:after="0" w:before="240" w:line="240"/>
      </w:pPr>
      <w:bookmarkStart w:id="41088" w:name="_Tbl56"/>
      <w:r>
        <w:rPr>
          <w:rFonts w:ascii="Times New Roman" w:cs="Times New Roman" w:eastAsia="Times New Roman" w:hAnsi="Times New Roman"/>
          <w:b/>
          <w:bCs/>
          <w:color w:val="000000"/>
          <w:sz w:val="24"/>
          <w:szCs w:val="24"/>
        </w:rPr>
        <w:t xml:space="preserve">Table 56</w:t>
      </w:r>
      <w:bookmarkEnd w:id="41088"/>
    </w:p>
    <w:p>
      <w:pPr>
        <w:spacing w:after="120" w:before="0" w:line="240"/>
      </w:pPr>
      <w:r>
        <w:rPr>
          <w:rFonts w:ascii="Times New Roman" w:cs="Times New Roman" w:eastAsia="Times New Roman" w:hAnsi="Times New Roman"/>
          <w:b w:val="false"/>
          <w:bCs w:val="false"/>
          <w:i/>
          <w:iCs/>
          <w:color w:val="000000"/>
          <w:sz w:val="24"/>
          <w:szCs w:val="24"/>
        </w:rPr>
        <w:t xml:space="preserve">Perception That the Mud Crab Market Is Well Structured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Perception that the market is well structured</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Strongly 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.570</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45 (69.2%)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 (76.0%)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(71.4%)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(57.1%)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(9.2%)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(14.3%)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(21.5%)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(28.6%)</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Strongly 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.826</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 (59.1%)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(71.4%)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(18.2%)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Strongly 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Strongly 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Agree</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56 shows steady negativity about how the market is organised. Forty-five fishers (69.2%) disagreed that the market is well structured and 14 (21.5%) agreed; 13 middlemen (59.1%) disagreed and a further 6 (27.3%) strongly disagreed; all five hoteliers and all four exporters disagreed. No hotelier or exporter agreed. Neither fisher (p = .570) nor middleman (p = .826) responses varied by site.</w:t>
      </w:r>
    </w:p>
    <w:p>
      <w:pPr>
        <w:spacing w:after="0" w:before="240" w:line="240"/>
      </w:pPr>
      <w:bookmarkStart w:id="41089" w:name="_Fig33"/>
      <w:r>
        <w:rPr>
          <w:rFonts w:ascii="Times New Roman" w:cs="Times New Roman" w:eastAsia="Times New Roman" w:hAnsi="Times New Roman"/>
          <w:b/>
          <w:bCs/>
          <w:color w:val="000000"/>
          <w:sz w:val="24"/>
          <w:szCs w:val="24"/>
        </w:rPr>
        <w:t xml:space="preserve">Figure 33</w:t>
      </w:r>
      <w:bookmarkEnd w:id="41089"/>
    </w:p>
    <w:p>
      <w:pPr>
        <w:spacing w:after="120" w:before="0" w:line="240"/>
      </w:pPr>
      <w:r>
        <w:rPr>
          <w:rFonts w:ascii="Times New Roman" w:cs="Times New Roman" w:eastAsia="Times New Roman" w:hAnsi="Times New Roman"/>
          <w:i/>
          <w:iCs/>
          <w:color w:val="000000"/>
          <w:sz w:val="24"/>
          <w:szCs w:val="24"/>
        </w:rPr>
        <w:t xml:space="preserve">Perception That the Mud Crab Market Is Well Structured, by Actor Category</w:t>
      </w:r>
    </w:p>
    <w:p>
      <w:pPr>
        <w:spacing w:after="100"/>
        <w:jc w:val="center"/>
      </w:pPr>
      <w:r>
        <w:drawing>
          <wp:inline distT="0" distB="0" distL="0" distR="0">
            <wp:extent cx="57150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715000" cy="2276475"/>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Segments sum to 100% within each actor category. No hotelier or exporter agreed that the market is well structured.</w:t>
      </w:r>
    </w:p>
    <w:p>
      <w:pPr>
        <w:spacing w:after="0" w:before="240" w:line="240"/>
      </w:pPr>
      <w:bookmarkStart w:id="41090" w:name="_Tbl57"/>
      <w:r>
        <w:rPr>
          <w:rFonts w:ascii="Times New Roman" w:cs="Times New Roman" w:eastAsia="Times New Roman" w:hAnsi="Times New Roman"/>
          <w:b/>
          <w:bCs/>
          <w:color w:val="000000"/>
          <w:sz w:val="24"/>
          <w:szCs w:val="24"/>
        </w:rPr>
        <w:t xml:space="preserve">Table 57</w:t>
      </w:r>
      <w:bookmarkEnd w:id="41090"/>
    </w:p>
    <w:p>
      <w:pPr>
        <w:spacing w:after="120" w:before="0" w:line="240"/>
      </w:pPr>
      <w:r>
        <w:rPr>
          <w:rFonts w:ascii="Times New Roman" w:cs="Times New Roman" w:eastAsia="Times New Roman" w:hAnsi="Times New Roman"/>
          <w:b w:val="false"/>
          <w:bCs w:val="false"/>
          <w:i/>
          <w:iCs/>
          <w:color w:val="000000"/>
          <w:sz w:val="24"/>
          <w:szCs w:val="24"/>
        </w:rPr>
        <w:t xml:space="preserve">Perception That Mud Crab Marketing Is Integrated With Other Fisheries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Perception that mud crab marketing is integrated with other species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Strongly 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.541</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52 (80.0%)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(88.0%)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(71.4%)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(76.2%)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(16.9%)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(3.1%)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(4.8%)</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Strongly 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(63.6%)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(54.5%)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.366</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(36.4%)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Strongly 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Strongly 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Agree</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Judgements on integration were harsher still, as Table 57 shows. Fifty-two fishers (80.0%) disagreed and only 2 (3.1%) agreed; among middlemen, 14 (63.6%) strongly disagreed and the remaining 8 (36.4%) disagreed, so not one middleman was neutral or positive. All hoteliers and exporters disagreed. Neither group varied significantly by site.</w:t>
      </w:r>
    </w:p>
    <w:p>
      <w:pPr>
        <w:spacing w:after="0" w:before="240" w:line="240"/>
      </w:pPr>
      <w:bookmarkStart w:id="41091" w:name="_Tbl58"/>
      <w:r>
        <w:rPr>
          <w:rFonts w:ascii="Times New Roman" w:cs="Times New Roman" w:eastAsia="Times New Roman" w:hAnsi="Times New Roman"/>
          <w:b/>
          <w:bCs/>
          <w:color w:val="000000"/>
          <w:sz w:val="24"/>
          <w:szCs w:val="24"/>
        </w:rPr>
        <w:t xml:space="preserve">Table 58</w:t>
      </w:r>
      <w:bookmarkEnd w:id="41091"/>
    </w:p>
    <w:p>
      <w:pPr>
        <w:spacing w:after="120" w:before="0" w:line="240"/>
      </w:pPr>
      <w:r>
        <w:rPr>
          <w:rFonts w:ascii="Times New Roman" w:cs="Times New Roman" w:eastAsia="Times New Roman" w:hAnsi="Times New Roman"/>
          <w:b w:val="false"/>
          <w:bCs w:val="false"/>
          <w:i/>
          <w:iCs/>
          <w:color w:val="000000"/>
          <w:sz w:val="24"/>
          <w:szCs w:val="24"/>
        </w:rPr>
        <w:t xml:space="preserve">Awareness of a Policy Framework for Crab Markets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Awareness of a policy framework for crab markets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Strongly 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(9.2%)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(9.5%)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.933</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(16.9%)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(23.8%)</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48 (73.8%)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 (72.0%)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(78.6%)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(66.7%)</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Strongly 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(63.6%)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(71.4%)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.427</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(31.8%)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Strongly 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Strongly 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58 shows a sharp difference in how the policy environment was read. Forty-eight fishers (73.8%) were neutral on whether a policy framework exists, with 11 (16.9%) disagreeing and 6 (9.2%) strongly disagreeing. Middlemen were far more emphatic: 14 (63.6%) strongly disagreed and 7 (31.8%) disagreed. All hoteliers and exporters were neutral. Neither fisher (p = .933) nor middleman (p = .427) responses varied by site.</w:t>
      </w:r>
    </w:p>
    <w:p>
      <w:pPr>
        <w:spacing w:after="120" w:before="0" w:line="360"/>
        <w:jc w:val="both"/>
      </w:pPr>
      <w:r>
        <w:rPr>
          <w:rFonts w:ascii="Times New Roman" w:cs="Times New Roman" w:eastAsia="Times New Roman" w:hAnsi="Times New Roman"/>
          <w:color w:val="000000"/>
          <w:sz w:val="24"/>
          <w:szCs w:val="24"/>
        </w:rPr>
        <w:t xml:space="preserve">The large neutral response among fishers should not be read as approval. Set beside the 15.4% management-plan awareness recorded in Table 55, it more plausibly reflects unfamiliarity with the policy environment than a settled judgement about it. The middlemen, who were aware of the management plan almost to a person, were also the group most willing to say the framework does not work — which suggests the negative judgements in this chain come from knowledge rather than from ignorance.</w:t>
      </w:r>
    </w:p>
    <w:p>
      <w:pPr>
        <w:pStyle w:val="Heading3"/>
        <w:spacing w:after="120" w:before="240" w:line="360"/>
        <w:outlineLvl w:val="2"/>
      </w:pPr>
      <w:bookmarkStart w:id="52079" w:name="_Toc_79"/>
      <w:r>
        <w:rPr>
          <w:rFonts w:ascii="Times New Roman" w:cs="Times New Roman" w:eastAsia="Times New Roman" w:hAnsi="Times New Roman"/>
          <w:b/>
          <w:bCs/>
          <w:color w:val="000000"/>
          <w:sz w:val="24"/>
          <w:szCs w:val="24"/>
        </w:rPr>
        <w:t xml:space="preserve">4.5.5 Opportunities, Youth Participation and Diversification</w:t>
      </w:r>
      <w:bookmarkEnd w:id="52079"/>
    </w:p>
    <w:p>
      <w:pPr>
        <w:spacing w:after="0" w:before="240" w:line="240"/>
      </w:pPr>
      <w:bookmarkStart w:id="41092" w:name="_Tbl59"/>
      <w:r>
        <w:rPr>
          <w:rFonts w:ascii="Times New Roman" w:cs="Times New Roman" w:eastAsia="Times New Roman" w:hAnsi="Times New Roman"/>
          <w:b/>
          <w:bCs/>
          <w:color w:val="000000"/>
          <w:sz w:val="24"/>
          <w:szCs w:val="24"/>
        </w:rPr>
        <w:t xml:space="preserve">Table 59</w:t>
      </w:r>
      <w:bookmarkEnd w:id="41092"/>
    </w:p>
    <w:p>
      <w:pPr>
        <w:spacing w:after="120" w:before="0" w:line="240"/>
      </w:pPr>
      <w:r>
        <w:rPr>
          <w:rFonts w:ascii="Times New Roman" w:cs="Times New Roman" w:eastAsia="Times New Roman" w:hAnsi="Times New Roman"/>
          <w:b w:val="false"/>
          <w:bCs w:val="false"/>
          <w:i/>
          <w:iCs/>
          <w:color w:val="000000"/>
          <w:sz w:val="24"/>
          <w:szCs w:val="24"/>
        </w:rPr>
        <w:t xml:space="preserve">Priority Opportunity and Recommended Market-System Enhancement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Priority opportunity for improving mud crab marketing</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 access improvement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56 (86.2%)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 (80.0%)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17 (81.0%)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.263</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Price stability measures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(13.8%)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 access improvement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Price stability measures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(95.5%)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(90.9%)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 access improvement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Price stability measures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 access improvement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Price stability measures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Recommended market-system enhancement</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Access to 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Government support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Government support and industry collaboration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Industry collaboration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Access to 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.277</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Government support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(54.5%)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Government support and industry collaboration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(36.4%)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(18.2%)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Industry collaboration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Access to 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Government support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Government support and industry collaboration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Industry collaboration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Access to 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Government support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Government support and industry collaboration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Industry collaboration</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Nothing in this chapter expresses the structure of the chain more clearly than Table 59. Market-access improvement was the priority for 56 fishers (86.2%) and for every hotelier and exporter, while price stability was the priority for 21 of 22 middlemen (95.5%). On what would improve the system, every fisher named government support alone, while middlemen split between government support (12, 54.5%) and government support with industry collaboration (8, 36.4%); hoteliers and exporters named the combined option. Neither item varied significantly by site.</w:t>
      </w:r>
    </w:p>
    <w:p>
      <w:pPr>
        <w:spacing w:after="0" w:before="240" w:line="240"/>
      </w:pPr>
      <w:bookmarkStart w:id="41093" w:name="_Fig34"/>
      <w:r>
        <w:rPr>
          <w:rFonts w:ascii="Times New Roman" w:cs="Times New Roman" w:eastAsia="Times New Roman" w:hAnsi="Times New Roman"/>
          <w:b/>
          <w:bCs/>
          <w:color w:val="000000"/>
          <w:sz w:val="24"/>
          <w:szCs w:val="24"/>
        </w:rPr>
        <w:t xml:space="preserve">Figure 34</w:t>
      </w:r>
      <w:bookmarkEnd w:id="41093"/>
    </w:p>
    <w:p>
      <w:pPr>
        <w:spacing w:after="120" w:before="0" w:line="240"/>
      </w:pPr>
      <w:r>
        <w:rPr>
          <w:rFonts w:ascii="Times New Roman" w:cs="Times New Roman" w:eastAsia="Times New Roman" w:hAnsi="Times New Roman"/>
          <w:i/>
          <w:iCs/>
          <w:color w:val="000000"/>
          <w:sz w:val="24"/>
          <w:szCs w:val="24"/>
        </w:rPr>
        <w:t xml:space="preserve">Priority Opportunity for Improving Mud Crab Marketing by Actor Category</w:t>
      </w:r>
    </w:p>
    <w:p>
      <w:pPr>
        <w:spacing w:after="100"/>
        <w:jc w:val="center"/>
      </w:pPr>
      <w:r>
        <w:drawing>
          <wp:inline distT="0" distB="0" distL="0" distR="0">
            <wp:extent cx="571500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715000" cy="1724025"/>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percentage within each actor category. Fishers and middlemen named opposite priorities.</w:t>
      </w:r>
    </w:p>
    <w:p>
      <w:pPr>
        <w:spacing w:after="0" w:before="240" w:line="240"/>
      </w:pPr>
      <w:bookmarkStart w:id="41094" w:name="_Fig35"/>
      <w:r>
        <w:rPr>
          <w:rFonts w:ascii="Times New Roman" w:cs="Times New Roman" w:eastAsia="Times New Roman" w:hAnsi="Times New Roman"/>
          <w:b/>
          <w:bCs/>
          <w:color w:val="000000"/>
          <w:sz w:val="24"/>
          <w:szCs w:val="24"/>
        </w:rPr>
        <w:t xml:space="preserve">Figure 35</w:t>
      </w:r>
      <w:bookmarkEnd w:id="41094"/>
    </w:p>
    <w:p>
      <w:pPr>
        <w:spacing w:after="120" w:before="0" w:line="240"/>
      </w:pPr>
      <w:r>
        <w:rPr>
          <w:rFonts w:ascii="Times New Roman" w:cs="Times New Roman" w:eastAsia="Times New Roman" w:hAnsi="Times New Roman"/>
          <w:i/>
          <w:iCs/>
          <w:color w:val="000000"/>
          <w:sz w:val="24"/>
          <w:szCs w:val="24"/>
        </w:rPr>
        <w:t xml:space="preserve">Recommended Market-System Enhancement by Actor Category</w:t>
      </w:r>
    </w:p>
    <w:p>
      <w:pPr>
        <w:spacing w:after="100"/>
        <w:jc w:val="center"/>
      </w:pPr>
      <w:r>
        <w:drawing>
          <wp:inline distT="0" distB="0" distL="0" distR="0">
            <wp:extent cx="5715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5715000" cy="1981200"/>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percentage within each actor category.</w:t>
      </w:r>
    </w:p>
    <w:p>
      <w:pPr>
        <w:spacing w:after="120" w:before="0" w:line="360"/>
        <w:jc w:val="both"/>
      </w:pPr>
      <w:r>
        <w:rPr>
          <w:rFonts w:ascii="Times New Roman" w:cs="Times New Roman" w:eastAsia="Times New Roman" w:hAnsi="Times New Roman"/>
          <w:color w:val="000000"/>
          <w:sz w:val="24"/>
          <w:szCs w:val="24"/>
        </w:rPr>
        <w:t xml:space="preserve">These are two views of one transaction. The fisher wants an alternative to the buyer standing in front of him; the middleman wants the price he pays and receives to hold still while he carries stock and credit risk. Splitting the difference will not reconcile them, because better market access for fishers means more competition for middlemen. Better price information and clearer grades reduce uncertainty for both without fixing an administered price.</w:t>
      </w:r>
    </w:p>
    <w:p>
      <w:pPr>
        <w:spacing w:after="0" w:before="240" w:line="240"/>
      </w:pPr>
      <w:bookmarkStart w:id="41095" w:name="_Tbl60"/>
      <w:r>
        <w:rPr>
          <w:rFonts w:ascii="Times New Roman" w:cs="Times New Roman" w:eastAsia="Times New Roman" w:hAnsi="Times New Roman"/>
          <w:b/>
          <w:bCs/>
          <w:color w:val="000000"/>
          <w:sz w:val="24"/>
          <w:szCs w:val="24"/>
        </w:rPr>
        <w:t xml:space="preserve">Table 60</w:t>
      </w:r>
      <w:bookmarkEnd w:id="41095"/>
    </w:p>
    <w:p>
      <w:pPr>
        <w:spacing w:after="120" w:before="0" w:line="240"/>
      </w:pPr>
      <w:r>
        <w:rPr>
          <w:rFonts w:ascii="Times New Roman" w:cs="Times New Roman" w:eastAsia="Times New Roman" w:hAnsi="Times New Roman"/>
          <w:b w:val="false"/>
          <w:bCs w:val="false"/>
          <w:i/>
          <w:iCs/>
          <w:color w:val="000000"/>
          <w:sz w:val="24"/>
          <w:szCs w:val="24"/>
        </w:rPr>
        <w:t xml:space="preserve">Reported Youth Involvement and Perceived Diversification Potential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Reported involvement of youth</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Very low</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.421</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Low</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58 (89.2%)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(84.0%)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 (85.7%)</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(14.3%)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Very low</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.497</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Low</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(85.7%)</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Very low</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(60.0%)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Low</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(40.0%)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Very low</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Low</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Perceived potential for product or market diversification</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Negative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(12.3%)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.860</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Not explored yet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26 (40.0%)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(48.0%)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(35.7%)</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(28.6%)</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 (29.2%)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(33.3%)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Positive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(18.5%)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Negative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.277</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Not explored yet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(31.8%)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Positive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(63.6%)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Negative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Not explored yet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Positive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Negative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Not explored yet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Positive</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60, youth involvement was rated low or very low by every respondent who expressed a view: 58 fishers (89.2%) and 16 middlemen (72.7%) said low, while 6 middlemen (27.3%), 3 hoteliers (60.0%) and 3 exporters (75.0%) said very low. Not one respondent in any category rated it high. Diversification potential divided the chain: 26 fishers (40.0%) said it had not been explored and 8 (12.3%) were negative, while 14 middlemen (63.6%) were positive. All hoteliers and exporters said it had not been explored. Neither item varied significantly by site.</w:t>
      </w:r>
    </w:p>
    <w:p>
      <w:pPr>
        <w:spacing w:after="0" w:before="240" w:line="240"/>
      </w:pPr>
      <w:bookmarkStart w:id="41096" w:name="_Fig36"/>
      <w:r>
        <w:rPr>
          <w:rFonts w:ascii="Times New Roman" w:cs="Times New Roman" w:eastAsia="Times New Roman" w:hAnsi="Times New Roman"/>
          <w:b/>
          <w:bCs/>
          <w:color w:val="000000"/>
          <w:sz w:val="24"/>
          <w:szCs w:val="24"/>
        </w:rPr>
        <w:t xml:space="preserve">Figure 36</w:t>
      </w:r>
      <w:bookmarkEnd w:id="41096"/>
    </w:p>
    <w:p>
      <w:pPr>
        <w:spacing w:after="120" w:before="0" w:line="240"/>
      </w:pPr>
      <w:r>
        <w:rPr>
          <w:rFonts w:ascii="Times New Roman" w:cs="Times New Roman" w:eastAsia="Times New Roman" w:hAnsi="Times New Roman"/>
          <w:i/>
          <w:iCs/>
          <w:color w:val="000000"/>
          <w:sz w:val="24"/>
          <w:szCs w:val="24"/>
        </w:rPr>
        <w:t xml:space="preserve">Reported Involvement of Youth by Actor Category</w:t>
      </w:r>
    </w:p>
    <w:p>
      <w:pPr>
        <w:spacing w:after="100"/>
        <w:jc w:val="center"/>
      </w:pPr>
      <w:r>
        <w:drawing>
          <wp:inline distT="0" distB="0" distL="0" distR="0">
            <wp:extent cx="57150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715000" cy="2447925"/>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Segments sum to 100% within each actor category. No respondent in any category rated youth involvement as high.</w:t>
      </w:r>
    </w:p>
    <w:p>
      <w:pPr>
        <w:spacing w:after="0" w:before="240" w:line="240"/>
      </w:pPr>
      <w:bookmarkStart w:id="41097" w:name="_Fig37"/>
      <w:r>
        <w:rPr>
          <w:rFonts w:ascii="Times New Roman" w:cs="Times New Roman" w:eastAsia="Times New Roman" w:hAnsi="Times New Roman"/>
          <w:b/>
          <w:bCs/>
          <w:color w:val="000000"/>
          <w:sz w:val="24"/>
          <w:szCs w:val="24"/>
        </w:rPr>
        <w:t xml:space="preserve">Figure 37</w:t>
      </w:r>
      <w:bookmarkEnd w:id="41097"/>
    </w:p>
    <w:p>
      <w:pPr>
        <w:spacing w:after="120" w:before="0" w:line="240"/>
      </w:pPr>
      <w:r>
        <w:rPr>
          <w:rFonts w:ascii="Times New Roman" w:cs="Times New Roman" w:eastAsia="Times New Roman" w:hAnsi="Times New Roman"/>
          <w:i/>
          <w:iCs/>
          <w:color w:val="000000"/>
          <w:sz w:val="24"/>
          <w:szCs w:val="24"/>
        </w:rPr>
        <w:t xml:space="preserve">Perceived Potential for Product or Market Diversification by Actor Category</w:t>
      </w:r>
    </w:p>
    <w:p>
      <w:pPr>
        <w:spacing w:after="100"/>
        <w:jc w:val="center"/>
      </w:pPr>
      <w:r>
        <w:drawing>
          <wp:inline distT="0" distB="0" distL="0" distR="0">
            <wp:extent cx="5715000"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715000" cy="2409825"/>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Segments sum to 100% within each actor category.</w:t>
      </w:r>
    </w:p>
    <w:p>
      <w:pPr>
        <w:spacing w:after="120" w:before="0" w:line="360"/>
        <w:jc w:val="both"/>
      </w:pPr>
      <w:r>
        <w:rPr>
          <w:rFonts w:ascii="Times New Roman" w:cs="Times New Roman" w:eastAsia="Times New Roman" w:hAnsi="Times New Roman"/>
          <w:color w:val="000000"/>
          <w:sz w:val="24"/>
          <w:szCs w:val="24"/>
        </w:rPr>
        <w:t xml:space="preserve">The youth result sits oddly against Table 3, where more than half the fishers were aged 18 to 35 and four were under 18. Respondents may have understood youth involvement as formal participation, commitment or ownership rather than mere presence in the fishery. The question should be defined directly in future work, and the presence of minors in harvesting raises safeguarding and schooling questions this study was not designed to answer but should not pass over.</w:t>
      </w:r>
    </w:p>
    <w:p>
      <w:pPr>
        <w:pStyle w:val="Heading3"/>
        <w:spacing w:after="120" w:before="240" w:line="360"/>
        <w:outlineLvl w:val="2"/>
      </w:pPr>
      <w:bookmarkStart w:id="52080" w:name="_Toc_80"/>
      <w:r>
        <w:rPr>
          <w:rFonts w:ascii="Times New Roman" w:cs="Times New Roman" w:eastAsia="Times New Roman" w:hAnsi="Times New Roman"/>
          <w:b/>
          <w:bCs/>
          <w:color w:val="000000"/>
          <w:sz w:val="24"/>
          <w:szCs w:val="24"/>
        </w:rPr>
        <w:t xml:space="preserve">4.5.6 Summary of Objective Three</w:t>
      </w:r>
      <w:bookmarkEnd w:id="52080"/>
    </w:p>
    <w:p>
      <w:pPr>
        <w:spacing w:after="120" w:before="0" w:line="360"/>
        <w:jc w:val="both"/>
      </w:pPr>
      <w:r>
        <w:rPr>
          <w:rFonts w:ascii="Times New Roman" w:cs="Times New Roman" w:eastAsia="Times New Roman" w:hAnsi="Times New Roman"/>
          <w:color w:val="000000"/>
          <w:sz w:val="24"/>
          <w:szCs w:val="24"/>
        </w:rPr>
        <w:t xml:space="preserve">Objective Three asked what constrains each actor category and what opportunities they see. Constraints followed function exactly: price volatility and poor roads for fishers, mortality and missing aggregation facilities for middlemen, seasonality for hoteliers, freight cost and flight risk for exporters. Barriers to market access were close to universal, risk management was limited to diversification, and no actor had adopted new equipment, conducted market research or reported an innovation. Most respondents judged the market poorly structured and poorly integrated, and awareness of the crab fishery management plan reached traders and exporters while missing fishers and hoteliers almost entirely. Fishers put market access first and middlemen put price stability first, which is what their opposing positions in the same transaction would predict. Of all the Objective Three variables, only the middleman main constraint showed a significant association with BMU.</w:t>
      </w:r>
    </w:p>
    <w:p>
      <w:pPr>
        <w:pStyle w:val="Heading3"/>
        <w:spacing w:after="120" w:before="240" w:line="360"/>
        <w:outlineLvl w:val="2"/>
      </w:pPr>
      <w:bookmarkStart w:id="52081" w:name="_Toc_81"/>
      <w:r>
        <w:rPr>
          <w:rFonts w:ascii="Times New Roman" w:cs="Times New Roman" w:eastAsia="Times New Roman" w:hAnsi="Times New Roman"/>
          <w:b/>
          <w:bCs/>
          <w:color w:val="000000"/>
          <w:sz w:val="24"/>
          <w:szCs w:val="24"/>
        </w:rPr>
        <w:t xml:space="preserve">4.5.7 Discussion of Findings in Relation to Previous Studies</w:t>
      </w:r>
      <w:bookmarkEnd w:id="52081"/>
    </w:p>
    <w:p>
      <w:pPr>
        <w:spacing w:after="120" w:before="0" w:line="360"/>
        <w:jc w:val="both"/>
      </w:pPr>
      <w:r>
        <w:rPr>
          <w:rFonts w:ascii="Times New Roman" w:cs="Times New Roman" w:eastAsia="Times New Roman" w:hAnsi="Times New Roman"/>
          <w:color w:val="000000"/>
          <w:sz w:val="24"/>
          <w:szCs w:val="24"/>
        </w:rPr>
        <w:t xml:space="preserve">The finding that constraints differ systematically by actor category rather than by location agrees with the broader literature on small-scale fisheries, which treats the value chain as a sequence of distinct risk positions rather than a single system with one binding constraint (Jacinto, 2004; Crona et al., 2016). The present study extends that by testing each constraint against site: only the middleman main constraint varied significantly, with mortality dominating at Vanga and Majoreni and price at Shimoni. That the mortality-versus-price split follows the sites where middlemen hold stock longest is consistent with FAO (2025) on holding time as a determinant of loss.</w:t>
      </w:r>
    </w:p>
    <w:p>
      <w:pPr>
        <w:spacing w:after="120" w:before="0" w:line="360"/>
        <w:jc w:val="both"/>
      </w:pPr>
      <w:r>
        <w:rPr>
          <w:rFonts w:ascii="Times New Roman" w:cs="Times New Roman" w:eastAsia="Times New Roman" w:hAnsi="Times New Roman"/>
          <w:color w:val="000000"/>
          <w:sz w:val="24"/>
          <w:szCs w:val="24"/>
        </w:rPr>
        <w:t xml:space="preserve">The near-universal report of market-access barriers, and the complete absence of reported innovation or market research, align with national assessments that small-scale fisheries face constraints in finance, organisation and formal market participation (Fondo &amp; Ogutu, 2021). This study locates those constraints unevenly across actor categories rather than treating them as a general condition, which is the more useful form for designing an intervention.</w:t>
      </w:r>
    </w:p>
    <w:p>
      <w:pPr>
        <w:spacing w:after="120" w:before="0" w:line="360"/>
        <w:jc w:val="both"/>
      </w:pPr>
      <w:r>
        <w:rPr>
          <w:rFonts w:ascii="Times New Roman" w:cs="Times New Roman" w:eastAsia="Times New Roman" w:hAnsi="Times New Roman"/>
          <w:color w:val="000000"/>
          <w:sz w:val="24"/>
          <w:szCs w:val="24"/>
        </w:rPr>
        <w:t xml:space="preserve">On governance, the contrast between 95.5% management-plan awareness among middlemen and 15.4% among fishers is the clearest institutional finding. Njiru et al. (2021) found that socioeconomic factors influence trader participation in Beach Management Units in Kwale County, which supports communication designed for specific actor groups rather than a single general announcement. The present result extends that work by showing that the information gap runs along the chain rather than across the map: it was not significantly associated with site.</w:t>
      </w:r>
    </w:p>
    <w:p>
      <w:pPr>
        <w:spacing w:after="120" w:before="0" w:line="360"/>
        <w:jc w:val="both"/>
      </w:pPr>
      <w:r>
        <w:rPr>
          <w:rFonts w:ascii="Times New Roman" w:cs="Times New Roman" w:eastAsia="Times New Roman" w:hAnsi="Times New Roman"/>
          <w:color w:val="000000"/>
          <w:sz w:val="24"/>
          <w:szCs w:val="24"/>
        </w:rPr>
        <w:t xml:space="preserve">The divergence between what fishers and middlemen want — market access against price stability — has not, to the knowledge of this study, been reported as an explicit opposition in the Kenyan mud crab literature. It follows directly from the structure documented under Objective Two, and it matters practically because it means the two upstream groups cannot both be satisfied by the same measure. Better price information and a shared grading standard reduce uncertainty for both without fixing a price, which is why those are the measures carried into Chapter Six.</w:t>
      </w:r>
    </w:p>
    <w:p>
      <w:pPr>
        <w:spacing w:after="120" w:before="0" w:line="360"/>
        <w:jc w:val="both"/>
      </w:pPr>
      <w:r>
        <w:rPr>
          <w:rFonts w:ascii="Times New Roman" w:cs="Times New Roman" w:eastAsia="Times New Roman" w:hAnsi="Times New Roman"/>
          <w:color w:val="000000"/>
          <w:sz w:val="24"/>
          <w:szCs w:val="24"/>
        </w:rPr>
        <w:t xml:space="preserve">Finally, the uniformly low rating of youth involvement diverges from the demographic evidence in this same chapter, where over half the fishers were aged 18 to 35. The likeliest explanation is that respondents interpreted the question as formal participation or ownership rather than presence. Ndanga et al. (2013) make a comparable point about women in Kenyan aquaculture value chains, whose participation is understated when the measure captures only formally recognised roles. Both cases argue for defining participation explicitly in future instruments.</w:t>
      </w:r>
    </w:p>
    <w:p>
      <w:pPr>
        <w:pStyle w:val="Heading2"/>
        <w:spacing w:after="140" w:before="280" w:line="360"/>
        <w:outlineLvl w:val="1"/>
      </w:pPr>
      <w:bookmarkStart w:id="52082" w:name="_Toc_82"/>
      <w:r>
        <w:rPr>
          <w:rFonts w:ascii="Times New Roman" w:cs="Times New Roman" w:eastAsia="Times New Roman" w:hAnsi="Times New Roman"/>
          <w:b/>
          <w:bCs/>
          <w:color w:val="000000"/>
          <w:sz w:val="26"/>
          <w:szCs w:val="26"/>
        </w:rPr>
        <w:t xml:space="preserve">4.6 Actor-Specific Associations With BMU</w:t>
      </w:r>
      <w:bookmarkEnd w:id="52082"/>
    </w:p>
    <w:p>
      <w:pPr>
        <w:spacing w:after="120" w:before="0" w:line="360"/>
        <w:jc w:val="both"/>
      </w:pPr>
      <w:r>
        <w:rPr>
          <w:rFonts w:ascii="Times New Roman" w:cs="Times New Roman" w:eastAsia="Times New Roman" w:hAnsi="Times New Roman"/>
          <w:color w:val="000000"/>
          <w:sz w:val="24"/>
          <w:szCs w:val="24"/>
        </w:rPr>
        <w:t xml:space="preserve">Sixty-eight categorical variables were tested against Beach Management Unit, separately for fishers and for middlemen. Nine associations reached the .05 level.</w:t>
      </w:r>
    </w:p>
    <w:p>
      <w:pPr>
        <w:spacing w:after="0" w:before="240" w:line="240"/>
      </w:pPr>
      <w:bookmarkStart w:id="41098" w:name="_Tbl61"/>
      <w:r>
        <w:rPr>
          <w:rFonts w:ascii="Times New Roman" w:cs="Times New Roman" w:eastAsia="Times New Roman" w:hAnsi="Times New Roman"/>
          <w:b/>
          <w:bCs/>
          <w:color w:val="000000"/>
          <w:sz w:val="24"/>
          <w:szCs w:val="24"/>
        </w:rPr>
        <w:t xml:space="preserve">Table 61</w:t>
      </w:r>
      <w:bookmarkEnd w:id="41098"/>
    </w:p>
    <w:p>
      <w:pPr>
        <w:spacing w:after="120" w:before="0" w:line="240"/>
      </w:pPr>
      <w:r>
        <w:rPr>
          <w:rFonts w:ascii="Times New Roman" w:cs="Times New Roman" w:eastAsia="Times New Roman" w:hAnsi="Times New Roman"/>
          <w:b w:val="false"/>
          <w:bCs w:val="false"/>
          <w:i/>
          <w:iCs/>
          <w:color w:val="000000"/>
          <w:sz w:val="24"/>
          <w:szCs w:val="24"/>
        </w:rPr>
        <w:t xml:space="preserve">Statistically Significant Actor-Specific Associations With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100"/>
        <w:gridCol w:w="1150"/>
        <w:gridCol w:w="2350"/>
        <w:gridCol w:w="850"/>
        <w:gridCol w:w="600"/>
        <w:gridCol w:w="600"/>
        <w:gridCol w:w="800"/>
        <w:gridCol w:w="1576"/>
      </w:tblGrid>
      <w:tr>
        <w:trPr>
          <w:tblHeader/>
        </w:trPr>
        <w:tc>
          <w:tcPr>
            <w:tcW w:type="dxa" w:w="11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Objective</w:t>
            </w:r>
          </w:p>
        </w:tc>
        <w:tc>
          <w:tcPr>
            <w:tcW w:type="dxa" w:w="11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2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Variable</w:t>
            </w:r>
          </w:p>
        </w:tc>
        <w:tc>
          <w:tcPr>
            <w:tcW w:type="dxa" w:w="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χ²</w:t>
            </w:r>
          </w:p>
        </w:tc>
        <w:tc>
          <w:tcPr>
            <w:tcW w:type="dxa" w:w="6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df</w:t>
            </w:r>
          </w:p>
        </w:tc>
        <w:tc>
          <w:tcPr>
            <w:tcW w:type="dxa" w:w="6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N</w:t>
            </w:r>
          </w:p>
        </w:tc>
        <w:tc>
          <w:tcPr>
            <w:tcW w:type="dxa" w:w="8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p</w:t>
            </w:r>
          </w:p>
        </w:tc>
        <w:tc>
          <w:tcPr>
            <w:tcW w:type="dxa" w:w="157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99% CI</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Objective 1</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2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Age group</w:t>
            </w:r>
          </w:p>
        </w:tc>
        <w:tc>
          <w:tcPr>
            <w:tcW w:type="dxa" w:w="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30.91</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.004</w:t>
            </w:r>
          </w:p>
        </w:tc>
        <w:tc>
          <w:tcPr>
            <w:tcW w:type="dxa" w:w="15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[.002, .005]</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Objective 1</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2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Received formal mud crab training</w:t>
            </w:r>
          </w:p>
        </w:tc>
        <w:tc>
          <w:tcPr>
            <w:tcW w:type="dxa" w:w="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8.48</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.035</w:t>
            </w:r>
          </w:p>
        </w:tc>
        <w:tc>
          <w:tcPr>
            <w:tcW w:type="dxa" w:w="15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[.030, .040]</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Objective 1</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2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Marital status</w:t>
            </w:r>
          </w:p>
        </w:tc>
        <w:tc>
          <w:tcPr>
            <w:tcW w:type="dxa" w:w="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20.06</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.049</w:t>
            </w:r>
          </w:p>
        </w:tc>
        <w:tc>
          <w:tcPr>
            <w:tcW w:type="dxa" w:w="15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[.044, .055]</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Objective 1</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2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Scale of operation</w:t>
            </w:r>
          </w:p>
        </w:tc>
        <w:tc>
          <w:tcPr>
            <w:tcW w:type="dxa" w:w="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9.41</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.050</w:t>
            </w:r>
          </w:p>
        </w:tc>
        <w:tc>
          <w:tcPr>
            <w:tcW w:type="dxa" w:w="15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[.044, .055]</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Objective 2</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2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First buyer location</w:t>
            </w:r>
          </w:p>
        </w:tc>
        <w:tc>
          <w:tcPr>
            <w:tcW w:type="dxa" w:w="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125.19</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61</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&lt; .001</w:t>
            </w:r>
          </w:p>
        </w:tc>
        <w:tc>
          <w:tcPr>
            <w:tcW w:type="dxa" w:w="15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[.000, .000]</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Objective 2</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2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Reported large-crab size category</w:t>
            </w:r>
          </w:p>
        </w:tc>
        <w:tc>
          <w:tcPr>
            <w:tcW w:type="dxa" w:w="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16.87</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.001</w:t>
            </w:r>
          </w:p>
        </w:tc>
        <w:tc>
          <w:tcPr>
            <w:tcW w:type="dxa" w:w="15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[.000, .002]</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Objective 2</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2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Reported small-crab size category</w:t>
            </w:r>
          </w:p>
        </w:tc>
        <w:tc>
          <w:tcPr>
            <w:tcW w:type="dxa" w:w="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15.96</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.002</w:t>
            </w:r>
          </w:p>
        </w:tc>
        <w:tc>
          <w:tcPr>
            <w:tcW w:type="dxa" w:w="15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[.001, .004]</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Objective 2</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2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Travel time from fishing grounds to market</w:t>
            </w:r>
          </w:p>
        </w:tc>
        <w:tc>
          <w:tcPr>
            <w:tcW w:type="dxa" w:w="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11.13</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.010</w:t>
            </w:r>
          </w:p>
        </w:tc>
        <w:tc>
          <w:tcPr>
            <w:tcW w:type="dxa" w:w="15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[.007, .012]</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Objective 3</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2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Main operational or marketing constraint</w:t>
            </w:r>
          </w:p>
        </w:tc>
        <w:tc>
          <w:tcPr>
            <w:tcW w:type="dxa" w:w="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6.42</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.036</w:t>
            </w:r>
          </w:p>
        </w:tc>
        <w:tc>
          <w:tcPr>
            <w:tcW w:type="dxa" w:w="15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[.032, .041]</w:t>
            </w:r>
          </w:p>
        </w:tc>
      </w:tr>
      <w:tr>
        <w:tc>
          <w:tcPr>
            <w:tcW w:type="dxa" w:w="9026"/>
            <w:gridSpan w:val="8"/>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No association with BMU reached the .05 level for hoteliers or exporters; neither group was sampled across enough BMUs for the test to be run</w:t>
            </w:r>
          </w:p>
        </w:tc>
      </w:tr>
    </w:tbl>
    <w:p>
      <w:pPr>
        <w:spacing w:after="120" w:before="0" w:line="360"/>
        <w:jc w:val="both"/>
      </w:pPr>
      <w:r>
        <w:rPr>
          <w:rFonts w:ascii="Times New Roman" w:cs="Times New Roman" w:eastAsia="Times New Roman" w:hAnsi="Times New Roman"/>
          <w:color w:val="000000"/>
          <w:sz w:val="24"/>
          <w:szCs w:val="24"/>
        </w:rPr>
        <w:t xml:space="preserve">Three points should be kept in mind when reading Table 61. The tests were run without a correction for multiple comparisons, so associations with probabilities close to .05 should be treated as exploratory rather than established; the Monte Carlo confidence interval is reported alongside each p-value so that borderline cases can be judged. The nine significant results cluster in three areas: who fishes where (age, marital status, training), how far and how they describe their catch (travel time, large- and small-crab size labels, first buyer location), and what middlemen worry about (main constraint). And the absence of hoteliers and exporters from the table is a limit of the sampling frame, not a finding: neither group was sampled across enough sites for a test to be run.</w:t>
      </w:r>
    </w:p>
    <w:p>
      <w:pPr>
        <w:pStyle w:val="Heading2"/>
        <w:spacing w:after="140" w:before="280" w:line="360"/>
        <w:outlineLvl w:val="1"/>
      </w:pPr>
      <w:bookmarkStart w:id="52083" w:name="_Toc_83"/>
      <w:r>
        <w:rPr>
          <w:rFonts w:ascii="Times New Roman" w:cs="Times New Roman" w:eastAsia="Times New Roman" w:hAnsi="Times New Roman"/>
          <w:b/>
          <w:bCs/>
          <w:color w:val="000000"/>
          <w:sz w:val="26"/>
          <w:szCs w:val="26"/>
        </w:rPr>
        <w:t xml:space="preserve">4.7 Chapter Summary</w:t>
      </w:r>
      <w:bookmarkEnd w:id="52083"/>
    </w:p>
    <w:p>
      <w:pPr>
        <w:spacing w:after="120" w:before="0" w:line="360"/>
        <w:jc w:val="both"/>
      </w:pPr>
      <w:r>
        <w:rPr>
          <w:rFonts w:ascii="Times New Roman" w:cs="Times New Roman" w:eastAsia="Times New Roman" w:hAnsi="Times New Roman"/>
          <w:color w:val="000000"/>
          <w:sz w:val="24"/>
          <w:szCs w:val="24"/>
        </w:rPr>
        <w:t xml:space="preserve">Across the three objectives the same pattern recurs. Differences between actor categories were large, consistent and present on nearly every measure, from education and licensing through grading criteria and quality control to price and the constraint each group names. Differences between Beach Management Units were far fewer: nine significant associations from sixty-eight tests, concentrated among fishers and confined to age, marital status, training, travel time, size labelling and first buyer location, plus the single middleman constraint result.</w:t>
      </w:r>
    </w:p>
    <w:p>
      <w:pPr>
        <w:spacing w:after="120" w:before="0" w:line="360"/>
        <w:jc w:val="both"/>
      </w:pPr>
      <w:r>
        <w:rPr>
          <w:rFonts w:ascii="Times New Roman" w:cs="Times New Roman" w:eastAsia="Times New Roman" w:hAnsi="Times New Roman"/>
          <w:color w:val="000000"/>
          <w:sz w:val="24"/>
          <w:szCs w:val="24"/>
        </w:rPr>
        <w:t xml:space="preserve">The one site difference with a direct economic consequence was in price. Fisher prices differed significantly across sites while middleman prices did not, so the gap a fisher faces at first sale is set locally: Majoreni fishers held 91.7% of the local middleman price for large crabs against close to 54% at Shimoni and Vanga. Read alongside the chain-share result, in which the fisher retained between 27.5% and 39.6% of the end price and the largest single share accrued at the node furthest from the water, the chapter describes a market whose value is realised where the grading rule, the logistics and the connection to the final buyer all sit together, and whose harvesters reach none of those things.</w:t>
      </w:r>
    </w:p>
    <w:p>
      <w:pPr>
        <w:pStyle w:val="Heading1"/>
        <w:pageBreakBefore/>
        <w:spacing w:after="240" w:before="240" w:line="360"/>
        <w:jc w:val="center"/>
        <w:outlineLvl w:val="0"/>
      </w:pPr>
      <w:bookmarkStart w:id="52084" w:name="_Toc_84"/>
      <w:r>
        <w:rPr>
          <w:rFonts w:ascii="Times New Roman" w:cs="Times New Roman" w:eastAsia="Times New Roman" w:hAnsi="Times New Roman"/>
          <w:b/>
          <w:bCs/>
          <w:color w:val="000000"/>
          <w:sz w:val="28"/>
          <w:szCs w:val="28"/>
        </w:rPr>
        <w:t xml:space="preserve">CHAPTER FIVE: DISCUSSION</w:t>
      </w:r>
      <w:bookmarkEnd w:id="52084"/>
    </w:p>
    <w:p>
      <w:pPr>
        <w:pStyle w:val="Heading2"/>
        <w:spacing w:after="140" w:before="280" w:line="360"/>
        <w:outlineLvl w:val="1"/>
      </w:pPr>
      <w:bookmarkStart w:id="52085" w:name="_Toc_85"/>
      <w:r>
        <w:rPr>
          <w:rFonts w:ascii="Times New Roman" w:cs="Times New Roman" w:eastAsia="Times New Roman" w:hAnsi="Times New Roman"/>
          <w:b/>
          <w:bCs/>
          <w:color w:val="000000"/>
          <w:sz w:val="26"/>
          <w:szCs w:val="26"/>
        </w:rPr>
        <w:t xml:space="preserve">5.1 Introduction</w:t>
      </w:r>
      <w:bookmarkEnd w:id="52085"/>
    </w:p>
    <w:p>
      <w:pPr>
        <w:spacing w:after="120" w:before="0" w:line="360"/>
        <w:jc w:val="both"/>
      </w:pPr>
      <w:r>
        <w:rPr>
          <w:rFonts w:ascii="Times New Roman" w:cs="Times New Roman" w:eastAsia="Times New Roman" w:hAnsi="Times New Roman"/>
          <w:color w:val="000000"/>
          <w:sz w:val="24"/>
          <w:szCs w:val="24"/>
        </w:rPr>
        <w:t xml:space="preserve">This chapter interprets the findings of Chapter Four against the literature reviewed in Chapter Two. It takes the three objectives in turn, and each section sets out the key findings, compares them with previous research, explains where they agree and where they differ, and draws out the theoretical and practical implications. Section 5.5 brings the three objectives together under the structure-conduct-performance framework, and Section 5.6 states the limitations that bound every claim made here.</w:t>
      </w:r>
    </w:p>
    <w:p>
      <w:pPr>
        <w:pStyle w:val="Heading2"/>
        <w:spacing w:after="140" w:before="280" w:line="360"/>
        <w:outlineLvl w:val="1"/>
      </w:pPr>
      <w:bookmarkStart w:id="52086" w:name="_Toc_86"/>
      <w:r>
        <w:rPr>
          <w:rFonts w:ascii="Times New Roman" w:cs="Times New Roman" w:eastAsia="Times New Roman" w:hAnsi="Times New Roman"/>
          <w:b/>
          <w:bCs/>
          <w:color w:val="000000"/>
          <w:sz w:val="26"/>
          <w:szCs w:val="26"/>
        </w:rPr>
        <w:t xml:space="preserve">5.2 Objective One: Profile of Mud Crab Actors</w:t>
      </w:r>
      <w:bookmarkEnd w:id="52086"/>
    </w:p>
    <w:p>
      <w:pPr>
        <w:pStyle w:val="Heading3"/>
        <w:spacing w:after="120" w:before="240" w:line="360"/>
        <w:outlineLvl w:val="2"/>
      </w:pPr>
      <w:bookmarkStart w:id="52087" w:name="_Toc_87"/>
      <w:r>
        <w:rPr>
          <w:rFonts w:ascii="Times New Roman" w:cs="Times New Roman" w:eastAsia="Times New Roman" w:hAnsi="Times New Roman"/>
          <w:b/>
          <w:bCs/>
          <w:color w:val="000000"/>
          <w:sz w:val="24"/>
          <w:szCs w:val="24"/>
        </w:rPr>
        <w:t xml:space="preserve">5.2.1 Key Findings</w:t>
      </w:r>
      <w:bookmarkEnd w:id="52087"/>
    </w:p>
    <w:p>
      <w:pPr>
        <w:spacing w:after="120" w:before="0" w:line="360"/>
        <w:jc w:val="both"/>
      </w:pPr>
      <w:r>
        <w:rPr>
          <w:rFonts w:ascii="Times New Roman" w:cs="Times New Roman" w:eastAsia="Times New Roman" w:hAnsi="Times New Roman"/>
          <w:color w:val="000000"/>
          <w:sz w:val="24"/>
          <w:szCs w:val="24"/>
        </w:rPr>
        <w:t xml:space="preserve">Four actor categories differed systematically and in the same direction on almost every measure. Fishers were younger, schooled to primary level or below, largely unlicensed, untrained, small-scale and un-diversified. Middlemen were older and far more experienced, with 72.7% carrying more than twenty years in the trade. Hoteliers and exporters held certificates, diplomas or degrees, were fully licensed, and operated at medium or large scale. Reported monthly income rose from KSh 8,969 among fishers to KSh 90,000 among exporters. No respondent in any category belonged to a cooperative, an association or a self-help group.</w:t>
      </w:r>
    </w:p>
    <w:p>
      <w:pPr>
        <w:pStyle w:val="Heading3"/>
        <w:spacing w:after="120" w:before="240" w:line="360"/>
        <w:outlineLvl w:val="2"/>
      </w:pPr>
      <w:bookmarkStart w:id="52088" w:name="_Toc_88"/>
      <w:r>
        <w:rPr>
          <w:rFonts w:ascii="Times New Roman" w:cs="Times New Roman" w:eastAsia="Times New Roman" w:hAnsi="Times New Roman"/>
          <w:b/>
          <w:bCs/>
          <w:color w:val="000000"/>
          <w:sz w:val="24"/>
          <w:szCs w:val="24"/>
        </w:rPr>
        <w:t xml:space="preserve">5.2.2 Gender and the Limits of the Sampling Frame</w:t>
      </w:r>
      <w:bookmarkEnd w:id="52088"/>
    </w:p>
    <w:p>
      <w:pPr>
        <w:spacing w:after="120" w:before="0" w:line="360"/>
        <w:jc w:val="both"/>
      </w:pPr>
      <w:r>
        <w:rPr>
          <w:rFonts w:ascii="Times New Roman" w:cs="Times New Roman" w:eastAsia="Times New Roman" w:hAnsi="Times New Roman"/>
          <w:color w:val="000000"/>
          <w:sz w:val="24"/>
          <w:szCs w:val="24"/>
        </w:rPr>
        <w:t xml:space="preserve">Ninety-five of the 96 respondents were men, and the single woman was a hotelier rather than a harvester. The pattern is consistent with what has been reported along the Kenyan coast, where harvesting and much of the first-tier trade are male-dominated while women appear more often in processing, retail and culture activities (Mirera, 2014a; Ochiewo et al., 2010).</w:t>
      </w:r>
    </w:p>
    <w:p>
      <w:pPr>
        <w:spacing w:after="120" w:before="0" w:line="360"/>
        <w:jc w:val="both"/>
      </w:pPr>
      <w:r>
        <w:rPr>
          <w:rFonts w:ascii="Times New Roman" w:cs="Times New Roman" w:eastAsia="Times New Roman" w:hAnsi="Times New Roman"/>
          <w:color w:val="000000"/>
          <w:sz w:val="24"/>
          <w:szCs w:val="24"/>
        </w:rPr>
        <w:t xml:space="preserve">Why men dominate harvesting in this fishery is not something these data can settle, but the literature suggests three mechanisms that fit the setting. Mud crab harvesting in Kenya is done on foot in mangrove creeks at low spring tides, often at night and at a distance from the village, which carries mobility and safety costs that fall unequally on women (Mirera et al., 2013; Moser et al., 2005). Landing-site registers and BMU membership, the routes through which a harvester becomes visible to officials and buyers, have historically enrolled men. And the credit relationship documented in Chapter Four, in which a buyer advances cash against future supply, tends to run through established trading ties that new entrants do not have.</w:t>
      </w:r>
    </w:p>
    <w:p>
      <w:pPr>
        <w:spacing w:after="120" w:before="0" w:line="360"/>
        <w:jc w:val="both"/>
      </w:pPr>
      <w:r>
        <w:rPr>
          <w:rFonts w:ascii="Times New Roman" w:cs="Times New Roman" w:eastAsia="Times New Roman" w:hAnsi="Times New Roman"/>
          <w:color w:val="000000"/>
          <w:sz w:val="24"/>
          <w:szCs w:val="24"/>
        </w:rPr>
        <w:t xml:space="preserve">The consequence for this study is methodological before it is substantive. Because the fisher sampling frame drew on landing-site registers, women working in processing, hospitality procurement, retail or crab fattening were unlikely to be reached. Ndanga et al. (2013) show that women in Kenyan aquaculture value chains concentrate precisely in the nodes that landing-site sampling does not cover, which is a plausible explanation for the pattern recorded here and a clear brief for future work. The finding should therefore be read as a description of the respondents reached, not as evidence that women are absent from the chain. Two practical openings follow: hospitality procurement and crab fattening are the nodes where women already appear in the regional literature, and both were named as opportunities by respondents in this study.</w:t>
      </w:r>
    </w:p>
    <w:p>
      <w:pPr>
        <w:pStyle w:val="Heading3"/>
        <w:spacing w:after="120" w:before="240" w:line="360"/>
        <w:outlineLvl w:val="2"/>
      </w:pPr>
      <w:bookmarkStart w:id="52089" w:name="_Toc_89"/>
      <w:r>
        <w:rPr>
          <w:rFonts w:ascii="Times New Roman" w:cs="Times New Roman" w:eastAsia="Times New Roman" w:hAnsi="Times New Roman"/>
          <w:b/>
          <w:bCs/>
          <w:color w:val="000000"/>
          <w:sz w:val="24"/>
          <w:szCs w:val="24"/>
        </w:rPr>
        <w:t xml:space="preserve">5.2.3 Experience, Licensing and the Absence of Collective Organisation</w:t>
      </w:r>
      <w:bookmarkEnd w:id="52089"/>
    </w:p>
    <w:p>
      <w:pPr>
        <w:spacing w:after="120" w:before="0" w:line="360"/>
        <w:jc w:val="both"/>
      </w:pPr>
      <w:r>
        <w:rPr>
          <w:rFonts w:ascii="Times New Roman" w:cs="Times New Roman" w:eastAsia="Times New Roman" w:hAnsi="Times New Roman"/>
          <w:color w:val="000000"/>
          <w:sz w:val="24"/>
          <w:szCs w:val="24"/>
        </w:rPr>
        <w:t xml:space="preserve">Experience accumulated at the trading node rather than the harvesting node. This fits the account in Mirera et al. (2013), where local knowledge and repeated relationships shape how crabs are found, handled and moved, and it helps explain why middlemen reported regular buyers, competitive price setting and standing trading agreements while fishers did not. Crona et al. (2016) describe middlemen in Kenya and Zanzibar as a critical social-ecological link precisely because that accumulated relational knowledge is not easily replaced, and the present findings are consistent with that reading. Cinner et al. (2012) found that age and accumulated experience shaped how artisanal fishers responded to livelihood pressure, which is consistent with the age gap recorded between the harvesting and trading nodes here. Licensing showed the same upstream weakness: only a small share of fishers and middlemen held a licence, against every hotelier and exporter. Pomeroy and Andrew (2011) argue that co-management works best where local rules are tied to a service users can see, which points to registration and licensing support delivered through the BMUs rather than to enforcement alone.</w:t>
      </w:r>
    </w:p>
    <w:p>
      <w:pPr>
        <w:spacing w:after="120" w:before="0" w:line="360"/>
        <w:jc w:val="both"/>
      </w:pPr>
      <w:r>
        <w:rPr>
          <w:rFonts w:ascii="Times New Roman" w:cs="Times New Roman" w:eastAsia="Times New Roman" w:hAnsi="Times New Roman"/>
          <w:color w:val="000000"/>
          <w:sz w:val="24"/>
          <w:szCs w:val="24"/>
        </w:rPr>
        <w:t xml:space="preserve">The complete absence of collective membership is a more serious finding than a single percentage suggests. Groups are the normal vehicle for price information, savings, training, traceability and dealings with government, and the literature ties organised groups and local leadership to better fishery outcomes (Gutiérrez et al., 2011; Mirera, 2014a). Without them, a fisher negotiates alone against a buyer with twenty years in the trade and knowledge of what crabs fetch further up the chain.</w:t>
      </w:r>
    </w:p>
    <w:p>
      <w:pPr>
        <w:spacing w:after="120" w:before="0" w:line="360"/>
        <w:jc w:val="both"/>
      </w:pPr>
      <w:r>
        <w:rPr>
          <w:rFonts w:ascii="Times New Roman" w:cs="Times New Roman" w:eastAsia="Times New Roman" w:hAnsi="Times New Roman"/>
          <w:color w:val="000000"/>
          <w:sz w:val="24"/>
          <w:szCs w:val="24"/>
        </w:rPr>
        <w:t xml:space="preserve">Forming groups is not itself the remedy. Gutiérrez et al. (2011) found that leadership and clear incentives, rather than the existence of a group, separate the successful cases from the rest. That nothing at all exists here, at any node, suggests earlier attempts offered members nothing they could see. Any group formed in response to this study would need a commercial purpose, transparent leadership and a service members can point to.</w:t>
      </w:r>
    </w:p>
    <w:p>
      <w:pPr>
        <w:pStyle w:val="Heading3"/>
        <w:spacing w:after="120" w:before="240" w:line="360"/>
        <w:outlineLvl w:val="2"/>
      </w:pPr>
      <w:bookmarkStart w:id="52090" w:name="_Toc_90"/>
      <w:r>
        <w:rPr>
          <w:rFonts w:ascii="Times New Roman" w:cs="Times New Roman" w:eastAsia="Times New Roman" w:hAnsi="Times New Roman"/>
          <w:b/>
          <w:bCs/>
          <w:color w:val="000000"/>
          <w:sz w:val="24"/>
          <w:szCs w:val="24"/>
        </w:rPr>
        <w:t xml:space="preserve">5.2.4 Credit and Dependence Within the Chain</w:t>
      </w:r>
      <w:bookmarkEnd w:id="52090"/>
    </w:p>
    <w:p>
      <w:pPr>
        <w:spacing w:after="120" w:before="0" w:line="360"/>
        <w:jc w:val="both"/>
      </w:pPr>
      <w:r>
        <w:rPr>
          <w:rFonts w:ascii="Times New Roman" w:cs="Times New Roman" w:eastAsia="Times New Roman" w:hAnsi="Times New Roman"/>
          <w:color w:val="000000"/>
          <w:sz w:val="24"/>
          <w:szCs w:val="24"/>
        </w:rPr>
        <w:t xml:space="preserve">No fisher used a formal loan, yet 93.8% named a middleman as their main source of credit, and close to two fishers in five were paid at least partly on credit by the buyer purchasing from them. Crona et al. (2016) describe such arrangements as enabling and constraining at once: the advance solves this week’s cash problem while narrowing where the fisher can sell. Béné et al. (2007) make a similar point about small-scale fisheries generally, treating informal credit as both safety net and mechanism of persistent low returns.</w:t>
      </w:r>
    </w:p>
    <w:p>
      <w:pPr>
        <w:spacing w:after="120" w:before="0" w:line="360"/>
        <w:jc w:val="both"/>
      </w:pPr>
      <w:r>
        <w:rPr>
          <w:rFonts w:ascii="Times New Roman" w:cs="Times New Roman" w:eastAsia="Times New Roman" w:hAnsi="Times New Roman"/>
          <w:color w:val="000000"/>
          <w:sz w:val="24"/>
          <w:szCs w:val="24"/>
        </w:rPr>
        <w:t xml:space="preserve">Which of the two dominates here cannot be judged from this study, because amounts, terms and duration went unrecorded. What can be said is that the person extending the credit is the same person setting the price the fisher calls fixed, and that no alternative source of working capital was reported at the harvesting node. That combination is what gives the relationship its force.</w:t>
      </w:r>
    </w:p>
    <w:p>
      <w:pPr>
        <w:pStyle w:val="Heading3"/>
        <w:spacing w:after="120" w:before="240" w:line="360"/>
        <w:outlineLvl w:val="2"/>
      </w:pPr>
      <w:bookmarkStart w:id="52091" w:name="_Toc_91"/>
      <w:r>
        <w:rPr>
          <w:rFonts w:ascii="Times New Roman" w:cs="Times New Roman" w:eastAsia="Times New Roman" w:hAnsi="Times New Roman"/>
          <w:b/>
          <w:bCs/>
          <w:color w:val="000000"/>
          <w:sz w:val="24"/>
          <w:szCs w:val="24"/>
        </w:rPr>
        <w:t xml:space="preserve">5.2.5 Implications</w:t>
      </w:r>
      <w:bookmarkEnd w:id="52091"/>
    </w:p>
    <w:p>
      <w:pPr>
        <w:spacing w:after="120" w:before="0" w:line="360"/>
        <w:jc w:val="both"/>
      </w:pPr>
      <w:r>
        <w:rPr>
          <w:rFonts w:ascii="Times New Roman" w:cs="Times New Roman" w:eastAsia="Times New Roman" w:hAnsi="Times New Roman"/>
          <w:color w:val="000000"/>
          <w:sz w:val="24"/>
          <w:szCs w:val="24"/>
        </w:rPr>
        <w:t xml:space="preserve">Theoretically, the profile results support treating actor category rather than location as the primary structural variable in this market. Differences between fishers, middlemen, hoteliers and exporters were large and consistent, while differences between landing sites were fewer and confined mostly to fishers. A market-structure account of this fishery is therefore an account of nodes, not of places.</w:t>
      </w:r>
    </w:p>
    <w:p>
      <w:pPr>
        <w:spacing w:after="120" w:before="0" w:line="360"/>
        <w:jc w:val="both"/>
      </w:pPr>
      <w:r>
        <w:rPr>
          <w:rFonts w:ascii="Times New Roman" w:cs="Times New Roman" w:eastAsia="Times New Roman" w:hAnsi="Times New Roman"/>
          <w:color w:val="000000"/>
          <w:sz w:val="24"/>
          <w:szCs w:val="24"/>
        </w:rPr>
        <w:t xml:space="preserve">Practically, the results identify three entry points that do not require new infrastructure: a licensing route that upstream actors can actually complete, a source of working capital that is not the buyer, and a collective body with a service attached. Each addresses a condition documented in Chapter Four rather than a general aspiration.</w:t>
      </w:r>
    </w:p>
    <w:p>
      <w:pPr>
        <w:pStyle w:val="Heading2"/>
        <w:spacing w:after="140" w:before="280" w:line="360"/>
        <w:outlineLvl w:val="1"/>
      </w:pPr>
      <w:bookmarkStart w:id="52092" w:name="_Toc_92"/>
      <w:r>
        <w:rPr>
          <w:rFonts w:ascii="Times New Roman" w:cs="Times New Roman" w:eastAsia="Times New Roman" w:hAnsi="Times New Roman"/>
          <w:b/>
          <w:bCs/>
          <w:color w:val="000000"/>
          <w:sz w:val="26"/>
          <w:szCs w:val="26"/>
        </w:rPr>
        <w:t xml:space="preserve">5.3 Objective Two: Functions at Each Market Node and the Distribution of Value</w:t>
      </w:r>
      <w:bookmarkEnd w:id="52092"/>
    </w:p>
    <w:p>
      <w:pPr>
        <w:pStyle w:val="Heading3"/>
        <w:spacing w:after="120" w:before="240" w:line="360"/>
        <w:outlineLvl w:val="2"/>
      </w:pPr>
      <w:bookmarkStart w:id="52093" w:name="_Toc_93"/>
      <w:r>
        <w:rPr>
          <w:rFonts w:ascii="Times New Roman" w:cs="Times New Roman" w:eastAsia="Times New Roman" w:hAnsi="Times New Roman"/>
          <w:b/>
          <w:bCs/>
          <w:color w:val="000000"/>
          <w:sz w:val="24"/>
          <w:szCs w:val="24"/>
        </w:rPr>
        <w:t xml:space="preserve">5.3.1 Key Findings</w:t>
      </w:r>
      <w:bookmarkEnd w:id="52093"/>
    </w:p>
    <w:p>
      <w:pPr>
        <w:spacing w:after="120" w:before="0" w:line="360"/>
        <w:jc w:val="both"/>
      </w:pPr>
      <w:r>
        <w:rPr>
          <w:rFonts w:ascii="Times New Roman" w:cs="Times New Roman" w:eastAsia="Times New Roman" w:hAnsi="Times New Roman"/>
          <w:color w:val="000000"/>
          <w:sz w:val="24"/>
          <w:szCs w:val="24"/>
        </w:rPr>
        <w:t xml:space="preserve">Functions divided cleanly by node and so did the information attached to them. Fishers harvested, tied claws, packed in sacks and walked to the landing site. Middlemen aggregated, cleaned, sorted and graded on a four-criterion rule and moved crabs by vehicle or boat. Hoteliers processed and froze. Exporters packed Styrofoam under inspection and certification. Prices rose at every node, differed significantly between actor categories, and among fishers differed by site as well. Multi-stage chains of this kind, in which harvesters are separated from export buyers by one or more aggregation and trading nodes, have been described for Bangladesh, the Philippines and coastal Tanzania (ACDI/VOCA, 2005; Mahmud &amp; Mamun, 2013; Sultana et al., 2018).</w:t>
      </w:r>
    </w:p>
    <w:p>
      <w:pPr>
        <w:pStyle w:val="Heading3"/>
        <w:spacing w:after="120" w:before="240" w:line="360"/>
        <w:outlineLvl w:val="2"/>
      </w:pPr>
      <w:bookmarkStart w:id="52094" w:name="_Toc_94"/>
      <w:r>
        <w:rPr>
          <w:rFonts w:ascii="Times New Roman" w:cs="Times New Roman" w:eastAsia="Times New Roman" w:hAnsi="Times New Roman"/>
          <w:b/>
          <w:bCs/>
          <w:color w:val="000000"/>
          <w:sz w:val="24"/>
          <w:szCs w:val="24"/>
        </w:rPr>
        <w:t xml:space="preserve">5.3.2 Grading as a Mechanism of Value Capture</w:t>
      </w:r>
      <w:bookmarkEnd w:id="52094"/>
    </w:p>
    <w:p>
      <w:pPr>
        <w:spacing w:after="120" w:before="0" w:line="360"/>
        <w:jc w:val="both"/>
      </w:pPr>
      <w:r>
        <w:rPr>
          <w:rFonts w:ascii="Times New Roman" w:cs="Times New Roman" w:eastAsia="Times New Roman" w:hAnsi="Times New Roman"/>
          <w:color w:val="000000"/>
          <w:sz w:val="24"/>
          <w:szCs w:val="24"/>
        </w:rPr>
        <w:t xml:space="preserve">Every actor said they graded. They did not grade by the same rule. All 65 fishers used weight alone, while 95.5% of middlemen and every hotelier and exporter combined size, weight, shell condition and claw size. Jacinto (2004) identifies exactly this kind of informational asymmetry as a determinant of how value is distributed in small-scale fisheries value chains, and the present data supply a clean instance of it.</w:t>
      </w:r>
    </w:p>
    <w:p>
      <w:pPr>
        <w:spacing w:after="120" w:before="0" w:line="360"/>
        <w:jc w:val="both"/>
      </w:pPr>
      <w:r>
        <w:rPr>
          <w:rFonts w:ascii="Times New Roman" w:cs="Times New Roman" w:eastAsia="Times New Roman" w:hAnsi="Times New Roman"/>
          <w:color w:val="000000"/>
          <w:sz w:val="24"/>
          <w:szCs w:val="24"/>
        </w:rPr>
        <w:t xml:space="preserve">The site variation in grading language reinforces the point. At Shimoni, 44.0% of fishers described their large category as mixed and 36.0% did the same for the small category, while fishers at the other three sites used the plain labels, χ²(3, N = 63) = 16.87, p = .001 and χ²(3, N = 63) = 15.96, p = .002. The survey recorded the label, not a measured carapace width, so this is vocabulary rather than biology. It carries a practical cost all the same: a Shimoni fisher and his buyer may not mean the same thing by the word large, and that is the condition under which a grading dispute goes the better-informed party’s way.</w:t>
      </w:r>
    </w:p>
    <w:p>
      <w:pPr>
        <w:pStyle w:val="Heading3"/>
        <w:spacing w:after="120" w:before="240" w:line="360"/>
        <w:outlineLvl w:val="2"/>
      </w:pPr>
      <w:bookmarkStart w:id="52095" w:name="_Toc_95"/>
      <w:r>
        <w:rPr>
          <w:rFonts w:ascii="Times New Roman" w:cs="Times New Roman" w:eastAsia="Times New Roman" w:hAnsi="Times New Roman"/>
          <w:b/>
          <w:bCs/>
          <w:color w:val="000000"/>
          <w:sz w:val="24"/>
          <w:szCs w:val="24"/>
        </w:rPr>
        <w:t xml:space="preserve">5.3.3 Handling, Packaging and Loss</w:t>
      </w:r>
      <w:bookmarkEnd w:id="52095"/>
    </w:p>
    <w:p>
      <w:pPr>
        <w:spacing w:after="120" w:before="0" w:line="360"/>
        <w:jc w:val="both"/>
      </w:pPr>
      <w:r>
        <w:rPr>
          <w:rFonts w:ascii="Times New Roman" w:cs="Times New Roman" w:eastAsia="Times New Roman" w:hAnsi="Times New Roman"/>
          <w:color w:val="000000"/>
          <w:sz w:val="24"/>
          <w:szCs w:val="24"/>
        </w:rPr>
        <w:t xml:space="preserve">Packaging became more protective downstream, from sacks to crates to Styrofoam, and reported mortality rose with the volume each actor held. Survival and product quality in the live mud crab trade turn on handling, containment and transport conditions (FAO, 2025). The absence of formal quality control among fishers and middlemen does not mean no care was taken; fishers tied claws and middlemen cleaned and sorted. The weakness is that neither procedures nor losses were documented against a shared standard, so the cost of mortality cannot be priced into a grade or recovered through it.</w:t>
      </w:r>
    </w:p>
    <w:p>
      <w:pPr>
        <w:pStyle w:val="Heading3"/>
        <w:spacing w:after="120" w:before="240" w:line="360"/>
        <w:outlineLvl w:val="2"/>
      </w:pPr>
      <w:bookmarkStart w:id="52096" w:name="_Toc_96"/>
      <w:r>
        <w:rPr>
          <w:rFonts w:ascii="Times New Roman" w:cs="Times New Roman" w:eastAsia="Times New Roman" w:hAnsi="Times New Roman"/>
          <w:b/>
          <w:bCs/>
          <w:color w:val="000000"/>
          <w:sz w:val="24"/>
          <w:szCs w:val="24"/>
        </w:rPr>
        <w:t xml:space="preserve">5.3.4 Price Formation and the Distribution of Value</w:t>
      </w:r>
      <w:bookmarkEnd w:id="52096"/>
    </w:p>
    <w:p>
      <w:pPr>
        <w:spacing w:after="120" w:before="0" w:line="360"/>
        <w:jc w:val="both"/>
      </w:pPr>
      <w:r>
        <w:rPr>
          <w:rFonts w:ascii="Times New Roman" w:cs="Times New Roman" w:eastAsia="Times New Roman" w:hAnsi="Times New Roman"/>
          <w:color w:val="000000"/>
          <w:sz w:val="24"/>
          <w:szCs w:val="24"/>
        </w:rPr>
        <w:t xml:space="preserve">Reported prices rose at every node and the actor comparisons were unambiguous, H(3) = 55.84, p &lt; .001 for large crabs and H(3) = 38.00, p &lt; .001 for medium crabs. Rising prices are expected where later actors carry aggregation, mortality, transport, packaging and buyer-access costs. The caveat matters and is stated plainly: these are gross prices. Munga and Muthumbi (2018) draw the same distinction for the Tana Delta mud crab fishery, where gross price differentials narrowed considerably once handling and transport were netted out, so nothing in this section should be read as a statement about profit.</w:t>
      </w:r>
    </w:p>
    <w:p>
      <w:pPr>
        <w:spacing w:after="120" w:before="0" w:line="360"/>
        <w:jc w:val="both"/>
      </w:pPr>
      <w:r>
        <w:rPr>
          <w:rFonts w:ascii="Times New Roman" w:cs="Times New Roman" w:eastAsia="Times New Roman" w:hAnsi="Times New Roman"/>
          <w:color w:val="000000"/>
          <w:sz w:val="24"/>
          <w:szCs w:val="24"/>
        </w:rPr>
        <w:t xml:space="preserve">Within that limit, expressing each node’s price as a share of the end-of-chain price answers the question of how value is distributed. A large crab reaching an exporter left 35.6% of its final price with the fisher, 20.0% at the middleman step and 44.4% at the exporter step. The same crab reaching a hotel kitchen left the fisher 27.5% and the hotel 57.0%. Medium crabs bound for export were the fisher’s best case at 39.6%. The producer’s share of the final price is a standard measure of marketing performance, and values in this range sit at the low end of what has been reported for perishable, high-value seafood. Jacinto (2004) argues that in small-scale fisheries the share captured at each node tracks control of information and market access more closely than it tracks physical effort, and the ordering here matches that: the actor doing the fishing takes the smallest share, and the largest single share accrues at the step furthest from the water.</w:t>
      </w:r>
    </w:p>
    <w:p>
      <w:pPr>
        <w:spacing w:after="120" w:before="0" w:line="360"/>
        <w:jc w:val="both"/>
      </w:pPr>
      <w:r>
        <w:rPr>
          <w:rFonts w:ascii="Times New Roman" w:cs="Times New Roman" w:eastAsia="Times New Roman" w:hAnsi="Times New Roman"/>
          <w:color w:val="000000"/>
          <w:sz w:val="24"/>
          <w:szCs w:val="24"/>
        </w:rPr>
        <w:t xml:space="preserve">The middleman result deserves emphasis because it cuts against the usual account. Middlemen took the smallest of the three shares in every chain, between 15.5% and 20.0%, yet they are the actor fishers most often identify with the low beach price. Crona et al. (2016) reach a similar conclusion for Kenya and Zanzibar, finding that middlemen are widely blamed for outcomes largely determined further along the chain while themselves operating on modest turnovers and carrying the mortality risk. The present data support that reading rather than the popular one, and Chapter Four documents the risk directly: 95.5% of middlemen reported daily mortality of 4 to 5 kg against 0.5 to 1 kg among fishers.</w:t>
      </w:r>
    </w:p>
    <w:p>
      <w:pPr>
        <w:pStyle w:val="Heading3"/>
        <w:spacing w:after="120" w:before="240" w:line="360"/>
        <w:outlineLvl w:val="2"/>
      </w:pPr>
      <w:bookmarkStart w:id="52097" w:name="_Toc_97"/>
      <w:r>
        <w:rPr>
          <w:rFonts w:ascii="Times New Roman" w:cs="Times New Roman" w:eastAsia="Times New Roman" w:hAnsi="Times New Roman"/>
          <w:b/>
          <w:bCs/>
          <w:color w:val="000000"/>
          <w:sz w:val="24"/>
          <w:szCs w:val="24"/>
        </w:rPr>
        <w:t xml:space="preserve">5.3.5 Site Differences and What Drives Them</w:t>
      </w:r>
      <w:bookmarkEnd w:id="52097"/>
    </w:p>
    <w:p>
      <w:pPr>
        <w:spacing w:after="120" w:before="0" w:line="360"/>
        <w:jc w:val="both"/>
      </w:pPr>
      <w:r>
        <w:rPr>
          <w:rFonts w:ascii="Times New Roman" w:cs="Times New Roman" w:eastAsia="Times New Roman" w:hAnsi="Times New Roman"/>
          <w:color w:val="000000"/>
          <w:sz w:val="24"/>
          <w:szCs w:val="24"/>
        </w:rPr>
        <w:t xml:space="preserve">The actor comparison and the site comparison answer different questions, and keeping them apart was necessary. Compare sites without holding the actor constant and a site with more middlemen looks like a high-price site purely because of its respondent mix. With the role held constant, fisher prices differed significantly across sites for large crabs, H(3) = 20.32, p &lt; .001, and medium crabs, H(3) = 20.07, p &lt; .001, while middleman prices did not, H(2) = 5.33, p = .070 and H(2) = 3.78, p = .151.</w:t>
      </w:r>
    </w:p>
    <w:p>
      <w:pPr>
        <w:spacing w:after="120" w:before="0" w:line="360"/>
        <w:jc w:val="both"/>
      </w:pPr>
      <w:r>
        <w:rPr>
          <w:rFonts w:ascii="Times New Roman" w:cs="Times New Roman" w:eastAsia="Times New Roman" w:hAnsi="Times New Roman"/>
          <w:color w:val="000000"/>
          <w:sz w:val="24"/>
          <w:szCs w:val="24"/>
        </w:rPr>
        <w:t xml:space="preserve">That asymmetry produced the study’s sharpest single contrast. At Majoreni the fisher price stood at 91.7% of the local middleman price for large crabs and 91.3% for medium crabs, spreads of KSh 71.4 and KSh 57.1 per kilogram. At Shimoni and Vanga the same figures were 55.0% and 53.6% for large crabs, spreads of KSh 441.8 and KSh 464.3. Because fisher prices varied across sites and middleman prices did not, the narrow Majoreni gap is built on the fisher side: Majoreni traders sold at KSh 857.1, within KSh 143 of the other two sites, while Majoreni fishers were paid KSh 785.7 against roughly KSh 537 elsewhere.</w:t>
      </w:r>
    </w:p>
    <w:p>
      <w:pPr>
        <w:spacing w:after="120" w:before="0" w:line="360"/>
        <w:jc w:val="both"/>
      </w:pPr>
      <w:r>
        <w:rPr>
          <w:rFonts w:ascii="Times New Roman" w:cs="Times New Roman" w:eastAsia="Times New Roman" w:hAnsi="Times New Roman"/>
          <w:color w:val="000000"/>
          <w:sz w:val="24"/>
          <w:szCs w:val="24"/>
        </w:rPr>
        <w:t xml:space="preserve">Two readings fit. Majoreni fishers may face a less concentrated set of first buyers, so competition at the beach lifts the first-hand price; or the seven middlemen sampled there may be first-tier buyers reselling locally rather than consolidators shipping to Mombasa, in which case their price is a shorter step from the water and the comparison is not quite like for like. This study cannot separate the two, since buyer concentration and onward destination were not measured at transaction level. Green and Clark (2021) treat dispersion at the first point of sale as one of the more reliable indicators of weak market integration, and on that criterion Shimoni and Vanga look the weaker markets of the three. The practical implication is unchanged by which reading is correct: the terms a fisher gets are settled at their own landing site.</w:t>
      </w:r>
    </w:p>
    <w:p>
      <w:pPr>
        <w:pStyle w:val="Heading3"/>
        <w:spacing w:after="120" w:before="240" w:line="360"/>
        <w:outlineLvl w:val="2"/>
      </w:pPr>
      <w:bookmarkStart w:id="52098" w:name="_Toc_98"/>
      <w:r>
        <w:rPr>
          <w:rFonts w:ascii="Times New Roman" w:cs="Times New Roman" w:eastAsia="Times New Roman" w:hAnsi="Times New Roman"/>
          <w:b/>
          <w:bCs/>
          <w:color w:val="000000"/>
          <w:sz w:val="24"/>
          <w:szCs w:val="24"/>
        </w:rPr>
        <w:t xml:space="preserve">5.3.6 The Hotelier Medium-Grade Anomaly</w:t>
      </w:r>
      <w:bookmarkEnd w:id="52098"/>
    </w:p>
    <w:p>
      <w:pPr>
        <w:spacing w:after="120" w:before="0" w:line="360"/>
        <w:jc w:val="both"/>
      </w:pPr>
      <w:r>
        <w:rPr>
          <w:rFonts w:ascii="Times New Roman" w:cs="Times New Roman" w:eastAsia="Times New Roman" w:hAnsi="Times New Roman"/>
          <w:color w:val="000000"/>
          <w:sz w:val="24"/>
          <w:szCs w:val="24"/>
        </w:rPr>
        <w:t xml:space="preserve">The hotelier medium-grade mean of KSh 380.0 per kilogram does not fit the pattern. It is below the fisher price for the same grade and far below the same respondents’ large-crab mean of KSh 2,200.0. Two explanations are plausible. The entries may refer to a different product form, unit or transaction, such as a processed portion rather than live weight, in which case the value is correct but not comparable with the others. Alternatively it may be a field-entry error. The values were retained to preserve fidelity to the source data and excluded from the chain calculation, but they should be confirmed against the questionnaires before being used to support any argument about value addition at the hospitality node.</w:t>
      </w:r>
    </w:p>
    <w:p>
      <w:pPr>
        <w:pStyle w:val="Heading3"/>
        <w:spacing w:after="120" w:before="240" w:line="360"/>
        <w:outlineLvl w:val="2"/>
      </w:pPr>
      <w:bookmarkStart w:id="52099" w:name="_Toc_99"/>
      <w:r>
        <w:rPr>
          <w:rFonts w:ascii="Times New Roman" w:cs="Times New Roman" w:eastAsia="Times New Roman" w:hAnsi="Times New Roman"/>
          <w:b/>
          <w:bCs/>
          <w:color w:val="000000"/>
          <w:sz w:val="24"/>
          <w:szCs w:val="24"/>
        </w:rPr>
        <w:t xml:space="preserve">5.3.7 Implications</w:t>
      </w:r>
      <w:bookmarkEnd w:id="52099"/>
    </w:p>
    <w:p>
      <w:pPr>
        <w:spacing w:after="120" w:before="0" w:line="360"/>
        <w:jc w:val="both"/>
      </w:pPr>
      <w:r>
        <w:rPr>
          <w:rFonts w:ascii="Times New Roman" w:cs="Times New Roman" w:eastAsia="Times New Roman" w:hAnsi="Times New Roman"/>
          <w:color w:val="000000"/>
          <w:sz w:val="24"/>
          <w:szCs w:val="24"/>
        </w:rPr>
        <w:t xml:space="preserve">Theoretically, these results locate the mechanism of value capture in control of the grading rule and of the connection to the final buyer, rather than in harvesting effort or in the middleman’s margin. That is the specific contribution this study makes to the value-chain literature on Kenyan mud crabs, which has so far documented actors and functions more thoroughly than the distribution of returns among them.</w:t>
      </w:r>
    </w:p>
    <w:p>
      <w:pPr>
        <w:spacing w:after="120" w:before="0" w:line="360"/>
        <w:jc w:val="both"/>
      </w:pPr>
      <w:r>
        <w:rPr>
          <w:rFonts w:ascii="Times New Roman" w:cs="Times New Roman" w:eastAsia="Times New Roman" w:hAnsi="Times New Roman"/>
          <w:color w:val="000000"/>
          <w:sz w:val="24"/>
          <w:szCs w:val="24"/>
        </w:rPr>
        <w:t xml:space="preserve">Practically, two interventions follow directly from the numbers and neither requires capital investment: a written grading standard that both parties to a first sale can read, and an independent record of what grades are fetching. Both attack the informational asymmetry the data identify rather than the price level, which no intervention in this study’s reach can set.</w:t>
      </w:r>
    </w:p>
    <w:p>
      <w:pPr>
        <w:pStyle w:val="Heading2"/>
        <w:spacing w:after="140" w:before="280" w:line="360"/>
        <w:outlineLvl w:val="1"/>
      </w:pPr>
      <w:bookmarkStart w:id="52100" w:name="_Toc_100"/>
      <w:r>
        <w:rPr>
          <w:rFonts w:ascii="Times New Roman" w:cs="Times New Roman" w:eastAsia="Times New Roman" w:hAnsi="Times New Roman"/>
          <w:b/>
          <w:bCs/>
          <w:color w:val="000000"/>
          <w:sz w:val="26"/>
          <w:szCs w:val="26"/>
        </w:rPr>
        <w:t xml:space="preserve">5.4 Objective Three: Constraints and Opportunities</w:t>
      </w:r>
      <w:bookmarkEnd w:id="52100"/>
    </w:p>
    <w:p>
      <w:pPr>
        <w:pStyle w:val="Heading3"/>
        <w:spacing w:after="120" w:before="240" w:line="360"/>
        <w:outlineLvl w:val="2"/>
      </w:pPr>
      <w:bookmarkStart w:id="52101" w:name="_Toc_101"/>
      <w:r>
        <w:rPr>
          <w:rFonts w:ascii="Times New Roman" w:cs="Times New Roman" w:eastAsia="Times New Roman" w:hAnsi="Times New Roman"/>
          <w:b/>
          <w:bCs/>
          <w:color w:val="000000"/>
          <w:sz w:val="24"/>
          <w:szCs w:val="24"/>
        </w:rPr>
        <w:t xml:space="preserve">5.4.1 Key Findings</w:t>
      </w:r>
      <w:bookmarkEnd w:id="52101"/>
    </w:p>
    <w:p>
      <w:pPr>
        <w:spacing w:after="120" w:before="0" w:line="360"/>
        <w:jc w:val="both"/>
      </w:pPr>
      <w:r>
        <w:rPr>
          <w:rFonts w:ascii="Times New Roman" w:cs="Times New Roman" w:eastAsia="Times New Roman" w:hAnsi="Times New Roman"/>
          <w:color w:val="000000"/>
          <w:sz w:val="24"/>
          <w:szCs w:val="24"/>
        </w:rPr>
        <w:t xml:space="preserve">No constraint was shared across the chain. Fishers named price fluctuation and poor roads, middlemen mortality and the lack of aggregation facilities, hoteliers seasonality, exporters freight cost and flight delays. Barriers to market access were reported by 95.8% of respondents. No actor had adopted new equipment or conducted market research. Most respondents judged the market poorly structured, and management-plan awareness reached 95.5% of middlemen and every exporter but only 15.4% of fishers and no hotelier.</w:t>
      </w:r>
    </w:p>
    <w:p>
      <w:pPr>
        <w:pStyle w:val="Heading3"/>
        <w:spacing w:after="120" w:before="240" w:line="360"/>
        <w:outlineLvl w:val="2"/>
      </w:pPr>
      <w:bookmarkStart w:id="52102" w:name="_Toc_102"/>
      <w:r>
        <w:rPr>
          <w:rFonts w:ascii="Times New Roman" w:cs="Times New Roman" w:eastAsia="Times New Roman" w:hAnsi="Times New Roman"/>
          <w:b/>
          <w:bCs/>
          <w:color w:val="000000"/>
          <w:sz w:val="24"/>
          <w:szCs w:val="24"/>
        </w:rPr>
        <w:t xml:space="preserve">5.4.2 Constraints Follow Function</w:t>
      </w:r>
      <w:bookmarkEnd w:id="52102"/>
    </w:p>
    <w:p>
      <w:pPr>
        <w:spacing w:after="120" w:before="0" w:line="360"/>
        <w:jc w:val="both"/>
      </w:pPr>
      <w:r>
        <w:rPr>
          <w:rFonts w:ascii="Times New Roman" w:cs="Times New Roman" w:eastAsia="Times New Roman" w:hAnsi="Times New Roman"/>
          <w:color w:val="000000"/>
          <w:sz w:val="24"/>
          <w:szCs w:val="24"/>
        </w:rPr>
        <w:t xml:space="preserve">Each constraint follows from the work the actor does. The fisher sells the same day at a price he does not set, so volatility reaches him first. The middleman holds stock, so he loses crabs; mortality was named by half of them and all four Vanga middlemen. The hotelier lives on tourist arrivals and feels the season. The exporter lives on cargo space and feels the freight. One chain-wide intervention will not reach all four, which is why the recommendations in Chapter Six are written by actor category.</w:t>
      </w:r>
    </w:p>
    <w:p>
      <w:pPr>
        <w:spacing w:after="120" w:before="0" w:line="360"/>
        <w:jc w:val="both"/>
      </w:pPr>
      <w:r>
        <w:rPr>
          <w:rFonts w:ascii="Times New Roman" w:cs="Times New Roman" w:eastAsia="Times New Roman" w:hAnsi="Times New Roman"/>
          <w:color w:val="000000"/>
          <w:sz w:val="24"/>
          <w:szCs w:val="24"/>
        </w:rPr>
        <w:t xml:space="preserve">The infrastructure answers point the same way. Poor roads dominated the fisher responses at 98.5% while 90.9% of middlemen named the lack of aggregation facilities. Better access routes would improve movement from landing areas but would not reduce holding losses; aggregation facilities would improve shade, loading and live-crab management but would not widen fisher buyer choice unless linked to transport and price information. Infrastructure planning therefore has to connect landing-site access with holding and distribution needs, not choose between them.</w:t>
      </w:r>
    </w:p>
    <w:p>
      <w:pPr>
        <w:pStyle w:val="Heading3"/>
        <w:spacing w:after="120" w:before="240" w:line="360"/>
        <w:outlineLvl w:val="2"/>
      </w:pPr>
      <w:bookmarkStart w:id="52103" w:name="_Toc_103"/>
      <w:r>
        <w:rPr>
          <w:rFonts w:ascii="Times New Roman" w:cs="Times New Roman" w:eastAsia="Times New Roman" w:hAnsi="Times New Roman"/>
          <w:b/>
          <w:bCs/>
          <w:color w:val="000000"/>
          <w:sz w:val="24"/>
          <w:szCs w:val="24"/>
        </w:rPr>
        <w:t xml:space="preserve">5.4.3 Governance and the Direction Information Travels</w:t>
      </w:r>
      <w:bookmarkEnd w:id="52103"/>
    </w:p>
    <w:p>
      <w:pPr>
        <w:spacing w:after="120" w:before="0" w:line="360"/>
        <w:jc w:val="both"/>
      </w:pPr>
      <w:r>
        <w:rPr>
          <w:rFonts w:ascii="Times New Roman" w:cs="Times New Roman" w:eastAsia="Times New Roman" w:hAnsi="Times New Roman"/>
          <w:color w:val="000000"/>
          <w:sz w:val="24"/>
          <w:szCs w:val="24"/>
        </w:rPr>
        <w:t xml:space="preserve">Negative views of market organisation sit comfortably with everything else recorded here: no collective membership, low upstream licensing, informal grading, no market research and fixed prices reported by every fisher. Awareness of the crab fishery management plan followed commercial position rather than geography. Information moves along commercial relationships instead of through the co-management structures built to carry it.</w:t>
      </w:r>
    </w:p>
    <w:p>
      <w:pPr>
        <w:spacing w:after="120" w:before="0" w:line="360"/>
        <w:jc w:val="both"/>
      </w:pPr>
      <w:r>
        <w:rPr>
          <w:rFonts w:ascii="Times New Roman" w:cs="Times New Roman" w:eastAsia="Times New Roman" w:hAnsi="Times New Roman"/>
          <w:color w:val="000000"/>
          <w:sz w:val="24"/>
          <w:szCs w:val="24"/>
        </w:rPr>
        <w:t xml:space="preserve">Beach Management Units remain the most practical institutions for narrowing that gap. Njiru et al. (2021) found that socioeconomic factors influence trader participation in BMUs in Kwale County, which supports communication designed for specific actor groups rather than a single general announcement. The large neutral response among fishers on the existence of a policy framework should not be read as approval; set beside 15.4% management-plan awareness, it more likely reflects unfamiliarity.</w:t>
      </w:r>
    </w:p>
    <w:p>
      <w:pPr>
        <w:pStyle w:val="Heading3"/>
        <w:spacing w:after="120" w:before="240" w:line="360"/>
        <w:outlineLvl w:val="2"/>
      </w:pPr>
      <w:bookmarkStart w:id="52104" w:name="_Toc_104"/>
      <w:r>
        <w:rPr>
          <w:rFonts w:ascii="Times New Roman" w:cs="Times New Roman" w:eastAsia="Times New Roman" w:hAnsi="Times New Roman"/>
          <w:b/>
          <w:bCs/>
          <w:color w:val="000000"/>
          <w:sz w:val="24"/>
          <w:szCs w:val="24"/>
        </w:rPr>
        <w:t xml:space="preserve">5.4.4 Opposing Priorities Within One Transaction</w:t>
      </w:r>
      <w:bookmarkEnd w:id="52104"/>
    </w:p>
    <w:p>
      <w:pPr>
        <w:spacing w:after="120" w:before="0" w:line="360"/>
        <w:jc w:val="both"/>
      </w:pPr>
      <w:r>
        <w:rPr>
          <w:rFonts w:ascii="Times New Roman" w:cs="Times New Roman" w:eastAsia="Times New Roman" w:hAnsi="Times New Roman"/>
          <w:color w:val="000000"/>
          <w:sz w:val="24"/>
          <w:szCs w:val="24"/>
        </w:rPr>
        <w:t xml:space="preserve">Fishers chose market-access improvement, 86.2% of them, while middlemen chose price stability, 95.5%. These are two views of one exchange. The fisher wants an alternative to the buyer standing in front of him; the middleman wants the price he pays and receives to hold still while he carries stock and credit risk. Splitting the difference will not reconcile them, because better market access for fishers means more competition for middlemen. Better price information and clearer grades reduce uncertainty for both without fixing an administered price.</w:t>
      </w:r>
    </w:p>
    <w:p>
      <w:pPr>
        <w:spacing w:after="120" w:before="0" w:line="360"/>
        <w:jc w:val="both"/>
      </w:pPr>
      <w:r>
        <w:rPr>
          <w:rFonts w:ascii="Times New Roman" w:cs="Times New Roman" w:eastAsia="Times New Roman" w:hAnsi="Times New Roman"/>
          <w:color w:val="000000"/>
          <w:sz w:val="24"/>
          <w:szCs w:val="24"/>
        </w:rPr>
        <w:t xml:space="preserve">Reported youth involvement was low or very low throughout, even though more than half the fishers were aged 18 to 35 and four were under 18. Respondents may have understood youth involvement as formal participation, commitment or ownership rather than presence in the fishery. Future questionnaires should define the concept directly, and the presence of minors in harvesting raises safeguarding and schooling questions this study was not designed to answer but should not pass over.</w:t>
      </w:r>
    </w:p>
    <w:p>
      <w:pPr>
        <w:pStyle w:val="Heading3"/>
        <w:spacing w:after="120" w:before="240" w:line="360"/>
        <w:outlineLvl w:val="2"/>
      </w:pPr>
      <w:bookmarkStart w:id="52105" w:name="_Toc_105"/>
      <w:r>
        <w:rPr>
          <w:rFonts w:ascii="Times New Roman" w:cs="Times New Roman" w:eastAsia="Times New Roman" w:hAnsi="Times New Roman"/>
          <w:b/>
          <w:bCs/>
          <w:color w:val="000000"/>
          <w:sz w:val="24"/>
          <w:szCs w:val="24"/>
        </w:rPr>
        <w:t xml:space="preserve">5.4.5 Implications</w:t>
      </w:r>
      <w:bookmarkEnd w:id="52105"/>
    </w:p>
    <w:p>
      <w:pPr>
        <w:spacing w:after="120" w:before="0" w:line="360"/>
        <w:jc w:val="both"/>
      </w:pPr>
      <w:r>
        <w:rPr>
          <w:rFonts w:ascii="Times New Roman" w:cs="Times New Roman" w:eastAsia="Times New Roman" w:hAnsi="Times New Roman"/>
          <w:color w:val="000000"/>
          <w:sz w:val="24"/>
          <w:szCs w:val="24"/>
        </w:rPr>
        <w:t xml:space="preserve">Theoretically, the constraint results show that performance in this chain is bounded at different points for different actors, which is an argument against treating the value chain as a single system with one binding constraint. Practically, they mean that an intervention budget spent uniformly across nodes will be largely wasted, and that the sequence in which interventions are attempted matters as much as their content.</w:t>
      </w:r>
    </w:p>
    <w:p>
      <w:pPr>
        <w:pStyle w:val="Heading2"/>
        <w:spacing w:after="140" w:before="280" w:line="360"/>
        <w:outlineLvl w:val="1"/>
      </w:pPr>
      <w:bookmarkStart w:id="52106" w:name="_Toc_106"/>
      <w:r>
        <w:rPr>
          <w:rFonts w:ascii="Times New Roman" w:cs="Times New Roman" w:eastAsia="Times New Roman" w:hAnsi="Times New Roman"/>
          <w:b/>
          <w:bCs/>
          <w:color w:val="000000"/>
          <w:sz w:val="26"/>
          <w:szCs w:val="26"/>
        </w:rPr>
        <w:t xml:space="preserve">5.5 Synthesis Using the Structure-Conduct-Performance Framework</w:t>
      </w:r>
      <w:bookmarkEnd w:id="52106"/>
    </w:p>
    <w:p>
      <w:pPr>
        <w:spacing w:after="120" w:before="0" w:line="360"/>
        <w:jc w:val="both"/>
      </w:pPr>
      <w:r>
        <w:rPr>
          <w:rFonts w:ascii="Times New Roman" w:cs="Times New Roman" w:eastAsia="Times New Roman" w:hAnsi="Times New Roman"/>
          <w:color w:val="000000"/>
          <w:sz w:val="24"/>
          <w:szCs w:val="24"/>
        </w:rPr>
        <w:t xml:space="preserve">Set against the structure-conduct-performance framework that guided this study, the three objectives describe a single system. The structure is concentrated at the point of first sale. Many small, unorganised sellers face a smaller number of better-capitalised buyers; entry downstream requires licences, capital and buyer contacts that upstream actors do not have; and no collective body exists at any node to pool bargaining power.</w:t>
      </w:r>
    </w:p>
    <w:p>
      <w:pPr>
        <w:spacing w:after="120" w:before="0" w:line="360"/>
        <w:jc w:val="both"/>
      </w:pPr>
      <w:r>
        <w:rPr>
          <w:rFonts w:ascii="Times New Roman" w:cs="Times New Roman" w:eastAsia="Times New Roman" w:hAnsi="Times New Roman"/>
          <w:color w:val="000000"/>
          <w:sz w:val="24"/>
          <w:szCs w:val="24"/>
        </w:rPr>
        <w:t xml:space="preserve">Conduct follows from that structure. Buyers set prices and every fisher in the sample accepted them as fixed. Grading runs on a rule only the buyer fully controls. Credit advances tie sellers to particular buyers. Nobody conducts market research, so information travels through the same commercial relationships that set the prices in the first place.</w:t>
      </w:r>
    </w:p>
    <w:p>
      <w:pPr>
        <w:spacing w:after="120" w:before="0" w:line="360"/>
        <w:jc w:val="both"/>
      </w:pPr>
      <w:r>
        <w:rPr>
          <w:rFonts w:ascii="Times New Roman" w:cs="Times New Roman" w:eastAsia="Times New Roman" w:hAnsi="Times New Roman"/>
          <w:color w:val="000000"/>
          <w:sz w:val="24"/>
          <w:szCs w:val="24"/>
        </w:rPr>
        <w:t xml:space="preserve">Performance is what that structure and conduct would predict. Reported monthly income ran from KSh 8,969 among fishers to KSh 90,000 among exporters. The fisher’s share of the end-of-chain price ran between 27.5% and 39.6%, and the largest single share in every chain accrued at the node furthest from the water. Price dispersion was wide at the harvesting node and narrow after aggregation, which Green and Clark (2021) treat as a signature of weak integration at the first point of sale. Losses were reported everywhere and measured nowhere against a common standard. Value addition happened almost entirely downstream, and the actors doing it were the same ones defining the grades and setting the prices.</w:t>
      </w:r>
    </w:p>
    <w:p>
      <w:pPr>
        <w:spacing w:after="120" w:before="0" w:line="360"/>
        <w:jc w:val="both"/>
      </w:pPr>
      <w:r>
        <w:rPr>
          <w:rFonts w:ascii="Times New Roman" w:cs="Times New Roman" w:eastAsia="Times New Roman" w:hAnsi="Times New Roman"/>
          <w:color w:val="000000"/>
          <w:sz w:val="24"/>
          <w:szCs w:val="24"/>
        </w:rPr>
        <w:t xml:space="preserve">This has a practical edge. Interventions aimed only at production, better gear or bigger catches, are unlikely to shift how value is distributed here, because the binding constraint is not how many crabs come ashore but the terms on which they change hands. Three things decide those terms: the grading rule, whether a fisher has any independent price information, and the credit relationship. All three operate in the moment a fisher hands his catch to a first-level middleman.</w:t>
      </w:r>
    </w:p>
    <w:p>
      <w:pPr>
        <w:pStyle w:val="Heading2"/>
        <w:spacing w:after="140" w:before="280" w:line="360"/>
        <w:outlineLvl w:val="1"/>
      </w:pPr>
      <w:bookmarkStart w:id="52107" w:name="_Toc_107"/>
      <w:r>
        <w:rPr>
          <w:rFonts w:ascii="Times New Roman" w:cs="Times New Roman" w:eastAsia="Times New Roman" w:hAnsi="Times New Roman"/>
          <w:b/>
          <w:bCs/>
          <w:color w:val="000000"/>
          <w:sz w:val="26"/>
          <w:szCs w:val="26"/>
        </w:rPr>
        <w:t xml:space="preserve">5.6 What This Study Could Not Measure</w:t>
      </w:r>
      <w:bookmarkEnd w:id="52107"/>
    </w:p>
    <w:p>
      <w:pPr>
        <w:spacing w:after="120" w:before="0" w:line="360"/>
        <w:jc w:val="both"/>
      </w:pPr>
      <w:r>
        <w:rPr>
          <w:rFonts w:ascii="Times New Roman" w:cs="Times New Roman" w:eastAsia="Times New Roman" w:hAnsi="Times New Roman"/>
          <w:color w:val="000000"/>
          <w:sz w:val="24"/>
          <w:szCs w:val="24"/>
        </w:rPr>
        <w:t xml:space="preserve">Three dimensions of market structure that the literature treats as standard could not be quantified from these data, and saying so precisely is more useful than leaving the omission unexplained.</w:t>
      </w:r>
    </w:p>
    <w:p>
      <w:pPr>
        <w:spacing w:after="120" w:before="0" w:line="360"/>
        <w:jc w:val="both"/>
      </w:pPr>
      <w:r>
        <w:rPr>
          <w:rFonts w:ascii="Times New Roman" w:cs="Times New Roman" w:eastAsia="Times New Roman" w:hAnsi="Times New Roman"/>
          <w:color w:val="000000"/>
          <w:sz w:val="24"/>
          <w:szCs w:val="24"/>
        </w:rPr>
        <w:t xml:space="preserve">Market concentration could not be computed. A concentration measure requires an enumeration of buyers operating at each landing site and the volume each handles. This survey interviewed actors rather than censusing buyers, and it did not record transaction volumes, so neither a buyer count nor a concentration ratio can be derived. What the data do show is the consequence that concentration would be invoked to explain: every one of the 65 fishers sold to a first-level middleman and described the price as fixed by that buyer, and the first-sale gap varied significantly across sites on the fisher side while middleman prices did not. Buyer concentration remains one of two plausible readings of the Majoreni result, and separating it from the alternative would require transaction-level data on buyer identity and onward destination.</w:t>
      </w:r>
    </w:p>
    <w:p>
      <w:pPr>
        <w:spacing w:after="120" w:before="0" w:line="360"/>
        <w:jc w:val="both"/>
      </w:pPr>
      <w:r>
        <w:rPr>
          <w:rFonts w:ascii="Times New Roman" w:cs="Times New Roman" w:eastAsia="Times New Roman" w:hAnsi="Times New Roman"/>
          <w:color w:val="000000"/>
          <w:sz w:val="24"/>
          <w:szCs w:val="24"/>
        </w:rPr>
        <w:t xml:space="preserve">Net marketing margins could not be estimated. The survey recorded gross prices at the point of sale but not transport cost, holding cost, ice, packaging, mortality valued in money, or the cost of capital tied up between purchase and resale. The margins reported in Table 41 are therefore gross price spreads. They establish where in the chain the final price accumulates, which is what Objective Two requires, but they cannot establish which actor earns the most, and no claim to that effect is made anywhere in this thesis.</w:t>
      </w:r>
    </w:p>
    <w:p>
      <w:pPr>
        <w:spacing w:after="120" w:before="0" w:line="360"/>
        <w:jc w:val="both"/>
      </w:pPr>
      <w:r>
        <w:rPr>
          <w:rFonts w:ascii="Times New Roman" w:cs="Times New Roman" w:eastAsia="Times New Roman" w:hAnsi="Times New Roman"/>
          <w:color w:val="000000"/>
          <w:sz w:val="24"/>
          <w:szCs w:val="24"/>
        </w:rPr>
        <w:t xml:space="preserve">Marketing efficiency could not be assessed. Efficiency measures compare the value added at a node against the cost of the services performed there, and they therefore depend on exactly the cost data the survey did not collect. Two partial indicators are available and are reported: the producer’s share of the end-of-chain price, which ran between 27.5% and 39.6%, and price dispersion at the first point of sale, which Green and Clark (2021) treat as an indicator of weak market integration and which was significantly wider among fishers than among middlemen. Both are consistent with an inefficient first-sale market. Neither is a measure of efficiency in the technical sense, and they are not presented as one.</w:t>
      </w:r>
    </w:p>
    <w:p>
      <w:pPr>
        <w:spacing w:after="120" w:before="0" w:line="360"/>
        <w:jc w:val="both"/>
      </w:pPr>
      <w:r>
        <w:rPr>
          <w:rFonts w:ascii="Times New Roman" w:cs="Times New Roman" w:eastAsia="Times New Roman" w:hAnsi="Times New Roman"/>
          <w:color w:val="000000"/>
          <w:sz w:val="24"/>
          <w:szCs w:val="24"/>
        </w:rPr>
        <w:t xml:space="preserve">These three gaps share one cause. The instrument was designed as an actor inventory rather than a transaction survey, which is the right design for Objectives One and Three and a limiting one for the market-structure dimensions of Objective Two. Section 6.5 sets out the data collection that would close them.</w:t>
      </w:r>
    </w:p>
    <w:p>
      <w:pPr>
        <w:pStyle w:val="Heading2"/>
        <w:spacing w:after="140" w:before="280" w:line="360"/>
        <w:outlineLvl w:val="1"/>
      </w:pPr>
      <w:bookmarkStart w:id="52108" w:name="_Toc_108"/>
      <w:r>
        <w:rPr>
          <w:rFonts w:ascii="Times New Roman" w:cs="Times New Roman" w:eastAsia="Times New Roman" w:hAnsi="Times New Roman"/>
          <w:b/>
          <w:bCs/>
          <w:color w:val="000000"/>
          <w:sz w:val="26"/>
          <w:szCs w:val="26"/>
        </w:rPr>
        <w:t xml:space="preserve">5.7 Study Limitations</w:t>
      </w:r>
      <w:bookmarkEnd w:id="52108"/>
    </w:p>
    <w:p>
      <w:pPr>
        <w:spacing w:after="120" w:before="0" w:line="360"/>
        <w:jc w:val="both"/>
      </w:pPr>
      <w:r>
        <w:rPr>
          <w:rFonts w:ascii="Times New Roman" w:cs="Times New Roman" w:eastAsia="Times New Roman" w:hAnsi="Times New Roman"/>
          <w:color w:val="000000"/>
          <w:sz w:val="24"/>
          <w:szCs w:val="24"/>
        </w:rPr>
        <w:t xml:space="preserve">The sample was not fully probabilistic. Reliable lists were unavailable for middlemen, hoteliers and exporters, so referral and convenience procedures were used downstream, and the findings describe the respondents reached rather than population estimates for all Kwale County mud crab actors. The achieved fisher sample of 65 fell short of the calculated target of 83, a coverage rate of 78.3%, and the 18 fishers not reached may differ from those interviewed.</w:t>
      </w:r>
    </w:p>
    <w:p>
      <w:pPr>
        <w:spacing w:after="120" w:before="0" w:line="360"/>
        <w:jc w:val="both"/>
      </w:pPr>
      <w:r>
        <w:rPr>
          <w:rFonts w:ascii="Times New Roman" w:cs="Times New Roman" w:eastAsia="Times New Roman" w:hAnsi="Times New Roman"/>
          <w:color w:val="000000"/>
          <w:sz w:val="24"/>
          <w:szCs w:val="24"/>
        </w:rPr>
        <w:t xml:space="preserve">Snowball sampling may over-represent actors with stronger trading connections and under-represent isolated or informal operators, so the middleman and exporter findings in particular should be read with that in mind. Only five hoteliers and four exporters were sampled, no middleman was sampled at Msambweni, and only three fishers were interviewed there, which limits site-level precision.</w:t>
      </w:r>
    </w:p>
    <w:p>
      <w:pPr>
        <w:spacing w:after="120" w:before="0" w:line="360"/>
        <w:jc w:val="both"/>
      </w:pPr>
      <w:r>
        <w:rPr>
          <w:rFonts w:ascii="Times New Roman" w:cs="Times New Roman" w:eastAsia="Times New Roman" w:hAnsi="Times New Roman"/>
          <w:color w:val="000000"/>
          <w:sz w:val="24"/>
          <w:szCs w:val="24"/>
        </w:rPr>
        <w:t xml:space="preserve">The design was cross-sectional and covered a single survey period, so seasonal variation in price, catch and mortality is not captured and no causal direction can be established. Prices, income and losses were self-reported and were not verified against transaction records. Sixty-eight categorical tests were run without a correction for multiple comparisons, so associations with probabilities close to .05 should be treated as exploratory. Finally, the survey did not collect the transaction-level cost, volume and mortality data needed to convert gross price differences into net margins, which is why this study describes how value is distributed but not how profit is distributed.</w:t>
      </w:r>
    </w:p>
    <w:p>
      <w:pPr>
        <w:pStyle w:val="Heading1"/>
        <w:pageBreakBefore/>
        <w:spacing w:after="240" w:before="240" w:line="360"/>
        <w:jc w:val="center"/>
        <w:outlineLvl w:val="0"/>
      </w:pPr>
      <w:bookmarkStart w:id="52109" w:name="_Toc_109"/>
      <w:r>
        <w:rPr>
          <w:rFonts w:ascii="Times New Roman" w:cs="Times New Roman" w:eastAsia="Times New Roman" w:hAnsi="Times New Roman"/>
          <w:b/>
          <w:bCs/>
          <w:color w:val="000000"/>
          <w:sz w:val="28"/>
          <w:szCs w:val="28"/>
        </w:rPr>
        <w:t xml:space="preserve">CHAPTER SIX: CONCLUSIONS AND RECOMMENDATIONS</w:t>
      </w:r>
      <w:bookmarkEnd w:id="52109"/>
    </w:p>
    <w:p>
      <w:pPr>
        <w:pStyle w:val="Heading2"/>
        <w:spacing w:after="140" w:before="280" w:line="360"/>
        <w:outlineLvl w:val="1"/>
      </w:pPr>
      <w:bookmarkStart w:id="52110" w:name="_Toc_110"/>
      <w:r>
        <w:rPr>
          <w:rFonts w:ascii="Times New Roman" w:cs="Times New Roman" w:eastAsia="Times New Roman" w:hAnsi="Times New Roman"/>
          <w:b/>
          <w:bCs/>
          <w:color w:val="000000"/>
          <w:sz w:val="26"/>
          <w:szCs w:val="26"/>
        </w:rPr>
        <w:t xml:space="preserve">6.1 Introduction</w:t>
      </w:r>
      <w:bookmarkEnd w:id="52110"/>
    </w:p>
    <w:p>
      <w:pPr>
        <w:spacing w:after="120" w:before="0" w:line="360"/>
        <w:jc w:val="both"/>
      </w:pPr>
      <w:r>
        <w:rPr>
          <w:rFonts w:ascii="Times New Roman" w:cs="Times New Roman" w:eastAsia="Times New Roman" w:hAnsi="Times New Roman"/>
          <w:color w:val="000000"/>
          <w:sz w:val="24"/>
          <w:szCs w:val="24"/>
        </w:rPr>
        <w:t xml:space="preserve">This chapter draws conclusions from the three objectives and sets out recommendations. Each recommendation names the problem identified in Chapter Four, the evidence behind it, the body best placed to act and the outcome that would show it had worked. Recommendations that the data cannot support are not made.</w:t>
      </w:r>
    </w:p>
    <w:p>
      <w:pPr>
        <w:pStyle w:val="Heading2"/>
        <w:spacing w:after="140" w:before="280" w:line="360"/>
        <w:outlineLvl w:val="1"/>
      </w:pPr>
      <w:bookmarkStart w:id="52111" w:name="_Toc_111"/>
      <w:r>
        <w:rPr>
          <w:rFonts w:ascii="Times New Roman" w:cs="Times New Roman" w:eastAsia="Times New Roman" w:hAnsi="Times New Roman"/>
          <w:b/>
          <w:bCs/>
          <w:color w:val="000000"/>
          <w:sz w:val="26"/>
          <w:szCs w:val="26"/>
        </w:rPr>
        <w:t xml:space="preserve">6.2 Conclusions</w:t>
      </w:r>
      <w:bookmarkEnd w:id="52111"/>
    </w:p>
    <w:p>
      <w:pPr>
        <w:pStyle w:val="Heading3"/>
        <w:spacing w:after="120" w:before="240" w:line="360"/>
        <w:outlineLvl w:val="2"/>
      </w:pPr>
      <w:bookmarkStart w:id="52112" w:name="_Toc_112"/>
      <w:r>
        <w:rPr>
          <w:rFonts w:ascii="Times New Roman" w:cs="Times New Roman" w:eastAsia="Times New Roman" w:hAnsi="Times New Roman"/>
          <w:b/>
          <w:bCs/>
          <w:color w:val="000000"/>
          <w:sz w:val="24"/>
          <w:szCs w:val="24"/>
        </w:rPr>
        <w:t xml:space="preserve">6.2.1 Conclusion for Objective One</w:t>
      </w:r>
      <w:bookmarkEnd w:id="52112"/>
    </w:p>
    <w:p>
      <w:pPr>
        <w:spacing w:after="120" w:before="0" w:line="360"/>
        <w:jc w:val="both"/>
      </w:pPr>
      <w:r>
        <w:rPr>
          <w:rFonts w:ascii="Times New Roman" w:cs="Times New Roman" w:eastAsia="Times New Roman" w:hAnsi="Times New Roman"/>
          <w:color w:val="000000"/>
          <w:sz w:val="24"/>
          <w:szCs w:val="24"/>
        </w:rPr>
        <w:t xml:space="preserve">The four actor categories differ systematically and in the same direction on almost every characteristic measured. Fishers are younger, schooled to primary level or below, small-scale, minimally licensed, untrained and un-diversified, and they borrow from the same middlemen who buy from them. Middlemen are older, far more experienced and better capitalised. Hoteliers and exporters are formally qualified, fully licensed and operating at a scale upstream actors do not reach. No respondent in any category belonged to a cooperative, an association or a self-help group. Study site mattered for the age of the fishing population, for marital status and for training, but the larger and more consistent differences were between actor categories.</w:t>
      </w:r>
    </w:p>
    <w:p>
      <w:pPr>
        <w:pStyle w:val="Heading3"/>
        <w:spacing w:after="120" w:before="240" w:line="360"/>
        <w:outlineLvl w:val="2"/>
      </w:pPr>
      <w:bookmarkStart w:id="52113" w:name="_Toc_113"/>
      <w:r>
        <w:rPr>
          <w:rFonts w:ascii="Times New Roman" w:cs="Times New Roman" w:eastAsia="Times New Roman" w:hAnsi="Times New Roman"/>
          <w:b/>
          <w:bCs/>
          <w:color w:val="000000"/>
          <w:sz w:val="24"/>
          <w:szCs w:val="24"/>
        </w:rPr>
        <w:t xml:space="preserve">6.2.2 Conclusion for Objective Two</w:t>
      </w:r>
      <w:bookmarkEnd w:id="52113"/>
    </w:p>
    <w:p>
      <w:pPr>
        <w:spacing w:after="120" w:before="0" w:line="360"/>
        <w:jc w:val="both"/>
      </w:pPr>
      <w:r>
        <w:rPr>
          <w:rFonts w:ascii="Times New Roman" w:cs="Times New Roman" w:eastAsia="Times New Roman" w:hAnsi="Times New Roman"/>
          <w:color w:val="000000"/>
          <w:sz w:val="24"/>
          <w:szCs w:val="24"/>
        </w:rPr>
        <w:t xml:space="preserve">The chain runs as a clear functional sequence from harvesting through aggregation to processing and export, and the information used to assign value is concentrated downstream. Fishers graded on weight alone while every other category used a four-criterion rule; formal quality control and contact with the final buyer sat entirely downstream. Reported prices rose significantly at each node. Expressed as shares of the price the crab eventually fetched, the fisher retained between 27.5% and 39.6%, the middleman added between 15.5% and 20.0%, and between 44.4% and 57.0% was added at the final buyer. The size of the first-sale gap was set locally: Majoreni fishers held 91.7% of the middleman price for large crabs where Shimoni and Vanga fishers held close to 54%, and that difference came from variation in what fishers were paid rather than from what traders charged. What determines the price of a crab in this fishery is position in the chain, control of the grading rule and access to alternative buyers, not harvesting effort.</w:t>
      </w:r>
    </w:p>
    <w:p>
      <w:pPr>
        <w:pStyle w:val="Heading3"/>
        <w:spacing w:after="120" w:before="240" w:line="360"/>
        <w:outlineLvl w:val="2"/>
      </w:pPr>
      <w:bookmarkStart w:id="52114" w:name="_Toc_114"/>
      <w:r>
        <w:rPr>
          <w:rFonts w:ascii="Times New Roman" w:cs="Times New Roman" w:eastAsia="Times New Roman" w:hAnsi="Times New Roman"/>
          <w:b/>
          <w:bCs/>
          <w:color w:val="000000"/>
          <w:sz w:val="24"/>
          <w:szCs w:val="24"/>
        </w:rPr>
        <w:t xml:space="preserve">6.2.3 Conclusion for Objective Three</w:t>
      </w:r>
      <w:bookmarkEnd w:id="52114"/>
    </w:p>
    <w:p>
      <w:pPr>
        <w:spacing w:after="120" w:before="0" w:line="360"/>
        <w:jc w:val="both"/>
      </w:pPr>
      <w:r>
        <w:rPr>
          <w:rFonts w:ascii="Times New Roman" w:cs="Times New Roman" w:eastAsia="Times New Roman" w:hAnsi="Times New Roman"/>
          <w:color w:val="000000"/>
          <w:sz w:val="24"/>
          <w:szCs w:val="24"/>
        </w:rPr>
        <w:t xml:space="preserve">Constraints arise at different points in the chain and follow the work each actor does: unstable prices and poor roads for fishers, mortality and inadequate aggregation facilities for middlemen, seasonality for hoteliers, freight cost and flight risk for exporters. Barriers to market access were close to universal, no actor had adopted new equipment or conducted market research, and most respondents regarded the market as poorly structured. Management-plan awareness reached traders and exporters while missing fishers and hoteliers. Improvement therefore requires coordinated but actor-specific measures rather than one intervention applied uniformly across all nodes.</w:t>
      </w:r>
    </w:p>
    <w:p>
      <w:pPr>
        <w:pStyle w:val="Heading2"/>
        <w:spacing w:after="140" w:before="280" w:line="360"/>
        <w:outlineLvl w:val="1"/>
      </w:pPr>
      <w:bookmarkStart w:id="52115" w:name="_Toc_115"/>
      <w:r>
        <w:rPr>
          <w:rFonts w:ascii="Times New Roman" w:cs="Times New Roman" w:eastAsia="Times New Roman" w:hAnsi="Times New Roman"/>
          <w:b/>
          <w:bCs/>
          <w:color w:val="000000"/>
          <w:sz w:val="26"/>
          <w:szCs w:val="26"/>
        </w:rPr>
        <w:t xml:space="preserve">6.3 Overall Conclusion</w:t>
      </w:r>
      <w:bookmarkEnd w:id="52115"/>
    </w:p>
    <w:p>
      <w:pPr>
        <w:spacing w:after="120" w:before="0" w:line="360"/>
        <w:jc w:val="both"/>
      </w:pPr>
      <w:r>
        <w:rPr>
          <w:rFonts w:ascii="Times New Roman" w:cs="Times New Roman" w:eastAsia="Times New Roman" w:hAnsi="Times New Roman"/>
          <w:color w:val="000000"/>
          <w:sz w:val="24"/>
          <w:szCs w:val="24"/>
        </w:rPr>
        <w:t xml:space="preserve">The South Coast mud crab market is commercially active and institutionally uneven. Fishers supply the product with almost no institutional support behind them, while middlemen and downstream actors hold the grading, the logistics and the connection to high-value buyers. Study site matters for the age of the fishing population, for the words used to describe grades, for the price fishers receive and for the constraint middlemen name, but the larger and steadier divide runs between market nodes rather than between places. Improvement should start where the terms of exchange are set: a shared grading standard, a price record that is reliable and public, better live-crab handling, infrastructure aimed at both ends of the chain, licensing people can actually obtain, and communication that reaches harvesters as dependably as it now reaches traders.</w:t>
      </w:r>
    </w:p>
    <w:p>
      <w:pPr>
        <w:pStyle w:val="Heading2"/>
        <w:spacing w:after="140" w:before="280" w:line="360"/>
        <w:outlineLvl w:val="1"/>
      </w:pPr>
      <w:bookmarkStart w:id="52116" w:name="_Toc_116"/>
      <w:r>
        <w:rPr>
          <w:rFonts w:ascii="Times New Roman" w:cs="Times New Roman" w:eastAsia="Times New Roman" w:hAnsi="Times New Roman"/>
          <w:b/>
          <w:bCs/>
          <w:color w:val="000000"/>
          <w:sz w:val="26"/>
          <w:szCs w:val="26"/>
        </w:rPr>
        <w:t xml:space="preserve">6.4 Recommendations</w:t>
      </w:r>
      <w:bookmarkEnd w:id="52116"/>
    </w:p>
    <w:p>
      <w:pPr>
        <w:spacing w:after="120" w:before="0" w:line="360"/>
        <w:jc w:val="both"/>
      </w:pPr>
      <w:r>
        <w:rPr>
          <w:rFonts w:ascii="Times New Roman" w:cs="Times New Roman" w:eastAsia="Times New Roman" w:hAnsi="Times New Roman"/>
          <w:color w:val="000000"/>
          <w:sz w:val="24"/>
          <w:szCs w:val="24"/>
        </w:rPr>
        <w:t xml:space="preserve">Each recommendation below states the problem, the evidence from Chapter Four, the actor responsible and the outcome that would demonstrate success.</w:t>
      </w:r>
    </w:p>
    <w:p>
      <w:pPr>
        <w:pStyle w:val="Heading3"/>
        <w:spacing w:after="120" w:before="240" w:line="360"/>
        <w:outlineLvl w:val="2"/>
      </w:pPr>
      <w:bookmarkStart w:id="52117" w:name="_Toc_117"/>
      <w:r>
        <w:rPr>
          <w:rFonts w:ascii="Times New Roman" w:cs="Times New Roman" w:eastAsia="Times New Roman" w:hAnsi="Times New Roman"/>
          <w:b/>
          <w:bCs/>
          <w:color w:val="000000"/>
          <w:sz w:val="24"/>
          <w:szCs w:val="24"/>
        </w:rPr>
        <w:t xml:space="preserve">6.4.1 Recommendations From Objective One</w:t>
      </w:r>
      <w:bookmarkEnd w:id="52117"/>
    </w:p>
    <w:p>
      <w:pPr>
        <w:pStyle w:val="ListParagraph"/>
        <w:numPr>
          <w:ilvl w:val="0"/>
          <w:numId w:val="21"/>
        </w:numPr>
        <w:spacing w:after="100" w:line="360"/>
        <w:jc w:val="both"/>
      </w:pPr>
      <w:r>
        <w:rPr>
          <w:rFonts w:ascii="Times New Roman" w:cs="Times New Roman" w:eastAsia="Times New Roman" w:hAnsi="Times New Roman"/>
          <w:color w:val="000000"/>
          <w:sz w:val="24"/>
          <w:szCs w:val="24"/>
        </w:rPr>
        <w:t xml:space="preserve">Problem: upstream actors are largely outside the formal system. Evidence: 12.5% of fishers and 27.3% of middlemen held an operating licence, against every hotelier and exporter. Action: the county fisheries department and BMU committees should run registration and licensing clinics at Shimoni, Majoreni, Vanga and Msambweni, explaining fees, documents, benefits and renewal in plain language and helping applicants complete the forms on the day. Expected outcome: licensed fisher and middleman numbers rise measurably at the four sites within two licensing cycles.</w:t>
      </w:r>
    </w:p>
    <w:p>
      <w:pPr>
        <w:pStyle w:val="ListParagraph"/>
        <w:numPr>
          <w:ilvl w:val="0"/>
          <w:numId w:val="21"/>
        </w:numPr>
        <w:spacing w:after="100" w:line="360"/>
        <w:jc w:val="both"/>
      </w:pPr>
      <w:r>
        <w:rPr>
          <w:rFonts w:ascii="Times New Roman" w:cs="Times New Roman" w:eastAsia="Times New Roman" w:hAnsi="Times New Roman"/>
          <w:color w:val="000000"/>
          <w:sz w:val="24"/>
          <w:szCs w:val="24"/>
        </w:rPr>
        <w:t xml:space="preserve">Problem: fishers depend on their buyers for working capital. Evidence: no fisher used a formal loan, yet 93.8% named a middleman as their main source of credit, and 38.5% were paid at least partly on credit by the buyer purchasing from them. Action: financial institutions, development partners and buyers should separate formal working-capital lending from buyer advances, and any advance should carry written terms stating amount, repayment method, duration, any deduction and whether exclusive supply is a condition. Expected outcome: fishers can state the terms of their own credit, and the share reporting a middleman as their only source of capital falls.</w:t>
      </w:r>
    </w:p>
    <w:p>
      <w:pPr>
        <w:pStyle w:val="ListParagraph"/>
        <w:numPr>
          <w:ilvl w:val="0"/>
          <w:numId w:val="21"/>
        </w:numPr>
        <w:spacing w:after="100" w:line="360"/>
        <w:jc w:val="both"/>
      </w:pPr>
      <w:r>
        <w:rPr>
          <w:rFonts w:ascii="Times New Roman" w:cs="Times New Roman" w:eastAsia="Times New Roman" w:hAnsi="Times New Roman"/>
          <w:color w:val="000000"/>
          <w:sz w:val="24"/>
          <w:szCs w:val="24"/>
        </w:rPr>
        <w:t xml:space="preserve">Problem: no collective body exists at any node. Evidence: 0 of 96 respondents belonged to a cooperative, an association or a self-help group. Action: BMUs and the county should support voluntary groups that start from one concrete service, such as a shared price register, a savings facility or bulk purchase of containers, with accountable leadership and records open to members. Expected outcome: at least one functioning group per BMU that members can name a benefit from after twelve months.</w:t>
      </w:r>
    </w:p>
    <w:p>
      <w:pPr>
        <w:pStyle w:val="ListParagraph"/>
        <w:numPr>
          <w:ilvl w:val="0"/>
          <w:numId w:val="21"/>
        </w:numPr>
        <w:spacing w:after="100" w:line="360"/>
        <w:jc w:val="both"/>
      </w:pPr>
      <w:r>
        <w:rPr>
          <w:rFonts w:ascii="Times New Roman" w:cs="Times New Roman" w:eastAsia="Times New Roman" w:hAnsi="Times New Roman"/>
          <w:color w:val="000000"/>
          <w:sz w:val="24"/>
          <w:szCs w:val="24"/>
        </w:rPr>
        <w:t xml:space="preserve">Problem: training does not reach harvesters. Evidence: 7.7% of fishers had received formal mud crab training, and training differed significantly across sites, χ²(3, N = 63) = 8.48, p = .035. Action: extension officers should deliver practical BMU-level training in grading, live-crab handling, record keeping, simple cost calculation and buyer negotiation, pitched to the younger fisher profile at Shimoni and the older profile at Majoreni. Expected outcome: measurable improvement in grading accuracy and reported handling practice at the trained sites.</w:t>
      </w:r>
    </w:p>
    <w:p>
      <w:pPr>
        <w:pStyle w:val="ListParagraph"/>
        <w:numPr>
          <w:ilvl w:val="0"/>
          <w:numId w:val="21"/>
        </w:numPr>
        <w:spacing w:after="100" w:line="360"/>
        <w:jc w:val="both"/>
      </w:pPr>
      <w:r>
        <w:rPr>
          <w:rFonts w:ascii="Times New Roman" w:cs="Times New Roman" w:eastAsia="Times New Roman" w:hAnsi="Times New Roman"/>
          <w:color w:val="000000"/>
          <w:sz w:val="24"/>
          <w:szCs w:val="24"/>
        </w:rPr>
        <w:t xml:space="preserve">Problem: women and young people are invisible in the evidence base. Evidence: 95 of 96 respondents were men and the sampling frame drew on landing-site registers. Action: future actor mapping by the county and by researchers should deliberately include processing, hospitality procurement, retail and crab fattening, and safeguarding procedures are required wherever respondents younger than 18 participate in harvesting. Expected outcome: a Kwale actor register that records the nodes where women work, and a stated safeguarding policy covering minors in the fishery.</w:t>
      </w:r>
    </w:p>
    <w:p>
      <w:pPr>
        <w:pStyle w:val="Heading3"/>
        <w:spacing w:after="120" w:before="240" w:line="360"/>
        <w:outlineLvl w:val="2"/>
      </w:pPr>
      <w:bookmarkStart w:id="52118" w:name="_Toc_118"/>
      <w:r>
        <w:rPr>
          <w:rFonts w:ascii="Times New Roman" w:cs="Times New Roman" w:eastAsia="Times New Roman" w:hAnsi="Times New Roman"/>
          <w:b/>
          <w:bCs/>
          <w:color w:val="000000"/>
          <w:sz w:val="24"/>
          <w:szCs w:val="24"/>
        </w:rPr>
        <w:t xml:space="preserve">6.4.2 Recommendations From Objective Two</w:t>
      </w:r>
      <w:bookmarkEnd w:id="52118"/>
    </w:p>
    <w:p>
      <w:pPr>
        <w:pStyle w:val="ListParagraph"/>
        <w:numPr>
          <w:ilvl w:val="0"/>
          <w:numId w:val="22"/>
        </w:numPr>
        <w:spacing w:after="100" w:line="360"/>
        <w:jc w:val="both"/>
      </w:pPr>
      <w:r>
        <w:rPr>
          <w:rFonts w:ascii="Times New Roman" w:cs="Times New Roman" w:eastAsia="Times New Roman" w:hAnsi="Times New Roman"/>
          <w:color w:val="000000"/>
          <w:sz w:val="24"/>
          <w:szCs w:val="24"/>
        </w:rPr>
        <w:t xml:space="preserve">Problem: fishers cannot verify the grade they are offered. Evidence: all 65 fishers graded on weight alone while 95.5% of middlemen and every hotelier and exporter used size, weight, shell condition and claw size. Action: BMUs, fisheries officers and buyers should agree one grading sheet for Grades A, B and C giving weight ranges and visible quality criteria, displayed at the point of sale with the price offered for each grade, and taught with sample crabs. Expected outcome: fishers and buyers describe the same crab with the same grade, and the share of fishers recording mixed grades falls from the current 23.1% for large crabs.</w:t>
      </w:r>
    </w:p>
    <w:p>
      <w:pPr>
        <w:pStyle w:val="ListParagraph"/>
        <w:numPr>
          <w:ilvl w:val="0"/>
          <w:numId w:val="22"/>
        </w:numPr>
        <w:spacing w:after="100" w:line="360"/>
        <w:jc w:val="both"/>
      </w:pPr>
      <w:r>
        <w:rPr>
          <w:rFonts w:ascii="Times New Roman" w:cs="Times New Roman" w:eastAsia="Times New Roman" w:hAnsi="Times New Roman"/>
          <w:color w:val="000000"/>
          <w:sz w:val="24"/>
          <w:szCs w:val="24"/>
        </w:rPr>
        <w:t xml:space="preserve">Problem: grading vocabulary is not shared across sites. Evidence: large-crab and small-crab size labels differed significantly across sites among fishers, χ²(3, N = 63) = 16.87, p = .001 and χ²(3, N = 63) = 15.96, p = .002, with 44.0% of Shimoni fishers using mixed labels. Action: the same grading terms should be adopted across all four BMUs rather than left to local usage. Expected outcome: site differences in label use narrow at the next survey round.</w:t>
      </w:r>
    </w:p>
    <w:p>
      <w:pPr>
        <w:pStyle w:val="ListParagraph"/>
        <w:numPr>
          <w:ilvl w:val="0"/>
          <w:numId w:val="22"/>
        </w:numPr>
        <w:spacing w:after="100" w:line="360"/>
        <w:jc w:val="both"/>
      </w:pPr>
      <w:r>
        <w:rPr>
          <w:rFonts w:ascii="Times New Roman" w:cs="Times New Roman" w:eastAsia="Times New Roman" w:hAnsi="Times New Roman"/>
          <w:color w:val="000000"/>
          <w:sz w:val="24"/>
          <w:szCs w:val="24"/>
        </w:rPr>
        <w:t xml:space="preserve">Problem: fishers have no independent price reference. Evidence: every fisher described the price as fixed by the buyer, no actor conducted market research, and fisher large-crab prices ranged from KSh 535.7 at Vanga to KSh 785.7 at Majoreni, a spread of 47%. Action: each BMU should keep a weekly price register by grade, buyer and site, publishing the median and the observed range rather than a guaranteed price. Expected outcome: dispersion in first-sale prices across sites narrows, and fishers can quote a reference price when negotiating.</w:t>
      </w:r>
    </w:p>
    <w:p>
      <w:pPr>
        <w:pStyle w:val="ListParagraph"/>
        <w:numPr>
          <w:ilvl w:val="0"/>
          <w:numId w:val="22"/>
        </w:numPr>
        <w:spacing w:after="100" w:line="360"/>
        <w:jc w:val="both"/>
      </w:pPr>
      <w:r>
        <w:rPr>
          <w:rFonts w:ascii="Times New Roman" w:cs="Times New Roman" w:eastAsia="Times New Roman" w:hAnsi="Times New Roman"/>
          <w:color w:val="000000"/>
          <w:sz w:val="24"/>
          <w:szCs w:val="24"/>
        </w:rPr>
        <w:t xml:space="preserve">Problem: value is realised where the harvester cannot reach. Evidence: the fisher retained 27.5% to 39.6% of the end-of-chain price while 44.4% to 57.0% was added at the final buyer. Action: BMUs and the county should test one direct-supply arrangement between an organised fisher group and a hotel or exporter, with agreed grades, volumes and payment terms. Expected outcome: participating fishers receive a measurably higher share of the end price than the site baseline recorded here.</w:t>
      </w:r>
    </w:p>
    <w:p>
      <w:pPr>
        <w:pStyle w:val="ListParagraph"/>
        <w:numPr>
          <w:ilvl w:val="0"/>
          <w:numId w:val="22"/>
        </w:numPr>
        <w:spacing w:after="100" w:line="360"/>
        <w:jc w:val="both"/>
      </w:pPr>
      <w:r>
        <w:rPr>
          <w:rFonts w:ascii="Times New Roman" w:cs="Times New Roman" w:eastAsia="Times New Roman" w:hAnsi="Times New Roman"/>
          <w:color w:val="000000"/>
          <w:sz w:val="24"/>
          <w:szCs w:val="24"/>
        </w:rPr>
        <w:t xml:space="preserve">Problem: live-crab losses are carried but not measured. Evidence: fishers reported 0.5 to 1 kg of daily mortality, 95.5% of middlemen reported 4 to 5 kg, and no actor kept records against a common standard. Action: BMUs should pilot aggregation and live-holding facilities with shade, ventilation, secure reusable containers, safe loading space and a simple mortality log, and should test reusable ventilated containers against sacks under normal trading conditions. Expected outcome: recorded mortality per consignment falls and the container trial produces a cost per kilogram saved.</w:t>
      </w:r>
    </w:p>
    <w:p>
      <w:pPr>
        <w:pStyle w:val="ListParagraph"/>
        <w:numPr>
          <w:ilvl w:val="0"/>
          <w:numId w:val="22"/>
        </w:numPr>
        <w:spacing w:after="100" w:line="360"/>
        <w:jc w:val="both"/>
      </w:pPr>
      <w:r>
        <w:rPr>
          <w:rFonts w:ascii="Times New Roman" w:cs="Times New Roman" w:eastAsia="Times New Roman" w:hAnsi="Times New Roman"/>
          <w:color w:val="000000"/>
          <w:sz w:val="24"/>
          <w:szCs w:val="24"/>
        </w:rPr>
        <w:t xml:space="preserve">Problem: five hotelier medium-grade price records are inconsistent with every other node. Evidence: a hotelier mean of KSh 380.0 per kilogram sits below the fisher price for the same grade and far below the same respondents’ large-crab mean of KSh 2,200.0. Action: the candidate should check these five records against the original questionnaires and field notes to confirm unit, product form and transaction context. Expected outcome: the records are either corrected or confirmed, and the basis of the hospitality price is documented before any value-addition estimate uses it.</w:t>
      </w:r>
    </w:p>
    <w:p>
      <w:pPr>
        <w:pStyle w:val="Heading3"/>
        <w:spacing w:after="120" w:before="240" w:line="360"/>
        <w:outlineLvl w:val="2"/>
      </w:pPr>
      <w:bookmarkStart w:id="52119" w:name="_Toc_119"/>
      <w:r>
        <w:rPr>
          <w:rFonts w:ascii="Times New Roman" w:cs="Times New Roman" w:eastAsia="Times New Roman" w:hAnsi="Times New Roman"/>
          <w:b/>
          <w:bCs/>
          <w:color w:val="000000"/>
          <w:sz w:val="24"/>
          <w:szCs w:val="24"/>
        </w:rPr>
        <w:t xml:space="preserve">6.4.3 Recommendations From Objective Three</w:t>
      </w:r>
      <w:bookmarkEnd w:id="52119"/>
    </w:p>
    <w:p>
      <w:pPr>
        <w:pStyle w:val="ListParagraph"/>
        <w:numPr>
          <w:ilvl w:val="0"/>
          <w:numId w:val="23"/>
        </w:numPr>
        <w:spacing w:after="100" w:line="360"/>
        <w:jc w:val="both"/>
      </w:pPr>
      <w:r>
        <w:rPr>
          <w:rFonts w:ascii="Times New Roman" w:cs="Times New Roman" w:eastAsia="Times New Roman" w:hAnsi="Times New Roman"/>
          <w:color w:val="000000"/>
          <w:sz w:val="24"/>
          <w:szCs w:val="24"/>
        </w:rPr>
        <w:t xml:space="preserve">Problem: infrastructure constraints differ by node. Evidence: 98.5% of fishers named poor roads while 90.9% of middlemen named the lack of aggregation facilities. Action: the county should prepare one actor-specific infrastructure plan covering access routes and landing facilities for fishers, aggregation and holding facilities for middlemen, demand coordination for hotels and freight-risk planning for exporters. Expected outcome: a costed plan in which each investment names the actor category it serves and the constraint it removes.</w:t>
      </w:r>
    </w:p>
    <w:p>
      <w:pPr>
        <w:pStyle w:val="ListParagraph"/>
        <w:numPr>
          <w:ilvl w:val="0"/>
          <w:numId w:val="23"/>
        </w:numPr>
        <w:spacing w:after="100" w:line="360"/>
        <w:jc w:val="both"/>
      </w:pPr>
      <w:r>
        <w:rPr>
          <w:rFonts w:ascii="Times New Roman" w:cs="Times New Roman" w:eastAsia="Times New Roman" w:hAnsi="Times New Roman"/>
          <w:color w:val="000000"/>
          <w:sz w:val="24"/>
          <w:szCs w:val="24"/>
        </w:rPr>
        <w:t xml:space="preserve">Problem: management information reaches traders and misses harvesters. Evidence: 95.5% of middlemen and every exporter knew of a crab fishery management plan, against 15.4% of fishers and no hotelier. Action: BMUs and fisheries officers should target management-plan communication at fishers and hoteliers first, record who received it and check understanding rather than counting attendance. Expected outcome: fisher awareness rises substantially above the current 15.4% at the next survey round.</w:t>
      </w:r>
    </w:p>
    <w:p>
      <w:pPr>
        <w:pStyle w:val="ListParagraph"/>
        <w:numPr>
          <w:ilvl w:val="0"/>
          <w:numId w:val="23"/>
        </w:numPr>
        <w:spacing w:after="100" w:line="360"/>
        <w:jc w:val="both"/>
      </w:pPr>
      <w:r>
        <w:rPr>
          <w:rFonts w:ascii="Times New Roman" w:cs="Times New Roman" w:eastAsia="Times New Roman" w:hAnsi="Times New Roman"/>
          <w:color w:val="000000"/>
          <w:sz w:val="24"/>
          <w:szCs w:val="24"/>
        </w:rPr>
        <w:t xml:space="preserve">Problem: price instability is the dominant complaint but an administered price is not supportable. Evidence: price fluctuation was the main constraint for 90.8% of fishers and half the middlemen, while 95.5% of middlemen named price stability as their priority. Action: county and national agencies should address stability through reliable information, consistent grading, predictable payment terms and buyer competition rather than a guaranteed price, which these data do not support and which no institution in the chain could currently enforce. Expected outcome: reported price uncertainty falls without an administered price being introduced.</w:t>
      </w:r>
    </w:p>
    <w:p>
      <w:pPr>
        <w:pStyle w:val="ListParagraph"/>
        <w:numPr>
          <w:ilvl w:val="0"/>
          <w:numId w:val="23"/>
        </w:numPr>
        <w:spacing w:after="100" w:line="360"/>
        <w:jc w:val="both"/>
      </w:pPr>
      <w:r>
        <w:rPr>
          <w:rFonts w:ascii="Times New Roman" w:cs="Times New Roman" w:eastAsia="Times New Roman" w:hAnsi="Times New Roman"/>
          <w:color w:val="000000"/>
          <w:sz w:val="24"/>
          <w:szCs w:val="24"/>
        </w:rPr>
        <w:t xml:space="preserve">Problem: diversification is named as an opportunity but is untested. Evidence: diversification was the only risk-management method reported by fishers, middlemen and hoteliers, yet no respondent had adopted an innovative response and most fishers rated diversification potential negative or unexplored. Action: development partners and the county should run small, costed diversification pilots such as crab fattening, each linked to a confirmed buyer, with participation terms and cost-sharing agreed before investment. Expected outcome: each pilot reports survival, feed and labour costs and a realised price, so the next round can be judged on evidence.</w:t>
      </w:r>
    </w:p>
    <w:p>
      <w:pPr>
        <w:pStyle w:val="ListParagraph"/>
        <w:numPr>
          <w:ilvl w:val="0"/>
          <w:numId w:val="23"/>
        </w:numPr>
        <w:spacing w:after="100" w:line="360"/>
        <w:jc w:val="both"/>
      </w:pPr>
      <w:r>
        <w:rPr>
          <w:rFonts w:ascii="Times New Roman" w:cs="Times New Roman" w:eastAsia="Times New Roman" w:hAnsi="Times New Roman"/>
          <w:color w:val="000000"/>
          <w:sz w:val="24"/>
          <w:szCs w:val="24"/>
        </w:rPr>
        <w:t xml:space="preserve">Problem: youth participation is rated low across the chain while minors work in harvesting. Evidence: every respondent expressing a view rated youth involvement low or very low, yet 53.8% of fishers were aged 18 to 35 and four were under 18. Action: county youth and fisheries programmes should combine technical training with supervised market access, savings or credit and mentorship, define youth participation explicitly in any monitoring tool, and include safeguards for minors. Expected outcome: a defined youth participation measure is reported at the next survey and safeguarding cases are handled under a stated procedure.</w:t>
      </w:r>
    </w:p>
    <w:p>
      <w:pPr>
        <w:pStyle w:val="Heading2"/>
        <w:spacing w:after="140" w:before="280" w:line="360"/>
        <w:outlineLvl w:val="1"/>
      </w:pPr>
      <w:bookmarkStart w:id="52120" w:name="_Toc_120"/>
      <w:r>
        <w:rPr>
          <w:rFonts w:ascii="Times New Roman" w:cs="Times New Roman" w:eastAsia="Times New Roman" w:hAnsi="Times New Roman"/>
          <w:b/>
          <w:bCs/>
          <w:color w:val="000000"/>
          <w:sz w:val="26"/>
          <w:szCs w:val="26"/>
        </w:rPr>
        <w:t xml:space="preserve">6.5 Recommendations for Further Research</w:t>
      </w:r>
      <w:bookmarkEnd w:id="52120"/>
    </w:p>
    <w:p>
      <w:pPr>
        <w:pStyle w:val="ListParagraph"/>
        <w:numPr>
          <w:ilvl w:val="0"/>
          <w:numId w:val="24"/>
        </w:numPr>
        <w:spacing w:after="100" w:line="360"/>
        <w:jc w:val="both"/>
      </w:pPr>
      <w:r>
        <w:rPr>
          <w:rFonts w:ascii="Times New Roman" w:cs="Times New Roman" w:eastAsia="Times New Roman" w:hAnsi="Times New Roman"/>
          <w:color w:val="000000"/>
          <w:sz w:val="24"/>
          <w:szCs w:val="24"/>
        </w:rPr>
        <w:t xml:space="preserve">Collect transaction-level price, quantity, grade, cost and mortality data across high and low seasons so that net marketing margins can be estimated rather than the gross price spreads reported here. This is the single most important gap in the present study.</w:t>
      </w:r>
    </w:p>
    <w:p>
      <w:pPr>
        <w:pStyle w:val="ListParagraph"/>
        <w:numPr>
          <w:ilvl w:val="0"/>
          <w:numId w:val="24"/>
        </w:numPr>
        <w:spacing w:after="100" w:line="360"/>
        <w:jc w:val="both"/>
      </w:pPr>
      <w:r>
        <w:rPr>
          <w:rFonts w:ascii="Times New Roman" w:cs="Times New Roman" w:eastAsia="Times New Roman" w:hAnsi="Times New Roman"/>
          <w:color w:val="000000"/>
          <w:sz w:val="24"/>
          <w:szCs w:val="24"/>
        </w:rPr>
        <w:t xml:space="preserve">Repeat the survey with probability sampling wherever reliable actor lists can be built, ensuring that each target BMU contributes both fisher and middleman observations so that site comparisons rest on comparable samples.</w:t>
      </w:r>
    </w:p>
    <w:p>
      <w:pPr>
        <w:pStyle w:val="ListParagraph"/>
        <w:numPr>
          <w:ilvl w:val="0"/>
          <w:numId w:val="24"/>
        </w:numPr>
        <w:spacing w:after="100" w:line="360"/>
        <w:jc w:val="both"/>
      </w:pPr>
      <w:r>
        <w:rPr>
          <w:rFonts w:ascii="Times New Roman" w:cs="Times New Roman" w:eastAsia="Times New Roman" w:hAnsi="Times New Roman"/>
          <w:color w:val="000000"/>
          <w:sz w:val="24"/>
          <w:szCs w:val="24"/>
        </w:rPr>
        <w:t xml:space="preserve">Oversample hoteliers, exporters, women and young people so that downstream functions and under-represented participants can be analysed with the precision the present sample does not allow.</w:t>
      </w:r>
    </w:p>
    <w:p>
      <w:pPr>
        <w:pStyle w:val="ListParagraph"/>
        <w:numPr>
          <w:ilvl w:val="0"/>
          <w:numId w:val="24"/>
        </w:numPr>
        <w:spacing w:after="100" w:line="360"/>
        <w:jc w:val="both"/>
      </w:pPr>
      <w:r>
        <w:rPr>
          <w:rFonts w:ascii="Times New Roman" w:cs="Times New Roman" w:eastAsia="Times New Roman" w:hAnsi="Times New Roman"/>
          <w:color w:val="000000"/>
          <w:sz w:val="24"/>
          <w:szCs w:val="24"/>
        </w:rPr>
        <w:t xml:space="preserve">Measure buyer concentration and onward destination at transaction level, which would separate the two explanations offered here for the narrow first-sale gap recorded at Majoreni.</w:t>
      </w:r>
    </w:p>
    <w:p>
      <w:pPr>
        <w:pStyle w:val="ListParagraph"/>
        <w:numPr>
          <w:ilvl w:val="0"/>
          <w:numId w:val="24"/>
        </w:numPr>
        <w:spacing w:after="100" w:line="360"/>
        <w:jc w:val="both"/>
      </w:pPr>
      <w:r>
        <w:rPr>
          <w:rFonts w:ascii="Times New Roman" w:cs="Times New Roman" w:eastAsia="Times New Roman" w:hAnsi="Times New Roman"/>
          <w:color w:val="000000"/>
          <w:sz w:val="24"/>
          <w:szCs w:val="24"/>
        </w:rPr>
        <w:t xml:space="preserve">Use qualitative interviews to clarify buyer advances, loan terms, tied-supply relationships, grading disputes and the reasons actors regard the market as poorly structured.</w:t>
      </w:r>
    </w:p>
    <w:p>
      <w:pPr>
        <w:pStyle w:val="ListParagraph"/>
        <w:numPr>
          <w:ilvl w:val="0"/>
          <w:numId w:val="24"/>
        </w:numPr>
        <w:spacing w:after="100" w:line="360"/>
        <w:jc w:val="both"/>
      </w:pPr>
      <w:r>
        <w:rPr>
          <w:rFonts w:ascii="Times New Roman" w:cs="Times New Roman" w:eastAsia="Times New Roman" w:hAnsi="Times New Roman"/>
          <w:color w:val="000000"/>
          <w:sz w:val="24"/>
          <w:szCs w:val="24"/>
        </w:rPr>
        <w:t xml:space="preserve">Evaluate the price-register, grading-sheet and container pilots recommended in Section 6.4 with before-and-after measures of price dispersion, mortality and fisher bargaining outcomes, treating them as interventions to be tested rather than improvements to be assumed.</w:t>
      </w:r>
    </w:p>
    <w:p w14:paraId="7EA2968C" w14:textId="77777777" w:rsidR="00221112" w:rsidRPr="00DE5E47" w:rsidRDefault="00C14051">
      <w:pPr>
        <w:pStyle w:val="Heading1"/>
        <w:spacing w:line="480" w:lineRule="auto"/>
        <w:jc w:val="both"/>
        <w:outlineLvl w:val="0"/>
        <w:rPr>
          <w:rFonts w:eastAsia="Times New Roman" w:cs="Times New Roman"/>
          <w:szCs w:val="24"/>
        </w:rPr>
      </w:pPr>
      <w:bookmarkStart w:id="52121" w:name="_Toc_121"/>
      <w:bookmarkStart w:id="262" w:name="_Toc240214163"/>
      <w:bookmarkStart w:id="263" w:name="_Toc241432303"/>
      <w:r w:rsidRPr="00DE5E47">
        <w:rPr>
          <w:rFonts w:eastAsia="Times New Roman" w:cs="Times New Roman"/>
          <w:szCs w:val="24"/>
        </w:rPr>
        <w:t>REFERENCES</w:t>
      </w:r>
      <w:bookmarkEnd w:id="165"/>
      <w:bookmarkEnd w:id="262"/>
      <w:bookmarkEnd w:id="263"/>
      <w:bookmarkEnd w:id="52121"/>
    </w:p>
    <w:p w14:paraId="1B603EB4" w14:textId="77777777" w:rsidR="00221112" w:rsidRPr="00DE5E47" w:rsidRDefault="00221112">
      <w:pPr>
        <w:pStyle w:val="NormalWeb"/>
        <w:spacing w:line="480" w:lineRule="auto"/>
        <w:jc w:val="both"/>
        <w:rPr>
          <w:rFonts w:eastAsia="Calibri"/>
        </w:rPr>
      </w:pPr>
    </w:p>
    <w:p w14:paraId="56524CF1" w14:textId="77777777" w:rsidR="00221112" w:rsidRDefault="00221112">
      <w:pPr>
        <w:pStyle w:val="NormalWeb"/>
        <w:spacing w:line="480" w:lineRule="auto"/>
        <w:jc w:val="both"/>
      </w:pPr>
    </w:p>
    <w:p w14:paraId="2E5E9351" w14:textId="77777777" w:rsidR="00DE5E47" w:rsidRDefault="00DE5E47">
      <w:pPr>
        <w:pStyle w:val="NormalWeb"/>
        <w:spacing w:line="480" w:lineRule="auto"/>
        <w:jc w:val="both"/>
      </w:pPr>
    </w:p>
    <w:p w14:paraId="7D465520" w14:textId="77777777" w:rsidR="00DE5E47" w:rsidRDefault="00DE5E47">
      <w:pPr>
        <w:pStyle w:val="NormalWeb"/>
        <w:spacing w:line="480" w:lineRule="auto"/>
        <w:jc w:val="both"/>
      </w:pPr>
    </w:p>
    <w:p w14:paraId="0E3CB081" w14:textId="77777777" w:rsidR="00DE5E47" w:rsidRDefault="00DE5E47">
      <w:pPr>
        <w:pStyle w:val="NormalWeb"/>
        <w:spacing w:line="480" w:lineRule="auto"/>
        <w:jc w:val="both"/>
      </w:pPr>
    </w:p>
    <w:p w14:paraId="494BEC5A" w14:textId="77777777" w:rsidR="00DE5E47" w:rsidRDefault="00DE5E47">
      <w:pPr>
        <w:pStyle w:val="NormalWeb"/>
        <w:spacing w:line="480" w:lineRule="auto"/>
        <w:jc w:val="both"/>
      </w:pPr>
    </w:p>
    <w:p w14:paraId="00B707F9" w14:textId="77777777" w:rsidR="00DE5E47" w:rsidRPr="00DE5E47" w:rsidRDefault="00DE5E47">
      <w:pPr>
        <w:pStyle w:val="NormalWeb"/>
        <w:spacing w:line="480" w:lineRule="auto"/>
        <w:jc w:val="both"/>
      </w:pPr>
    </w:p>
    <w:p w14:paraId="3E76831A" w14:textId="77777777" w:rsidR="00221112" w:rsidRPr="00DE5E47" w:rsidRDefault="00C14051">
      <w:pPr>
        <w:spacing w:line="480" w:lineRule="auto"/>
        <w:ind w:left="480" w:hangingChars="200" w:hanging="480"/>
        <w:jc w:val="both"/>
        <w:rPr>
          <w:rFonts w:eastAsiaTheme="minorEastAsia" w:cs="Times New Roman"/>
          <w:sz w:val="24"/>
          <w:szCs w:val="24"/>
        </w:rPr>
      </w:pPr>
      <w:r w:rsidRPr="00DE5E47">
        <w:rPr>
          <w:rFonts w:cs="Times New Roman"/>
          <w:sz w:val="24"/>
          <w:szCs w:val="24"/>
          <w:color w:val="000000"/>
        </w:rPr>
        <w:t xml:space="preserve">ACDI/VOCA. (2005). Sub-sector and value chain analysis for mud crabs in the Tanga coastal belt (ACDI/VOCA project report, 58 pp.).</w:t>
      </w:r>
    </w:p>
    <w:p w14:paraId="63905B3A"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Allan, G., &amp; Fielder, D. (2003). Mud crab aquaculture in Australia and Southeast Asia. In Proceedings of the ACIAR crab aquaculture scoping study and workshop (pp. 28-29). Joondoburri Conference Centre, Bribie Island, Qld, Australia. ACIAR Working Paper No. 54, 70 pp.</w:t>
      </w:r>
    </w:p>
    <w:p w14:paraId="3408B7A8"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Allison, E. H., &amp; Ellis, F. (2001). The livelihoods approach and management of small-scale fisheries. Marine Policy, 25(5), 377-388.</w:t>
      </w:r>
    </w:p>
    <w:p w14:paraId="4D7A7DF9"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Béné, C., Macfadyen, G., &amp; Allison, E. H. (2007). Increasing the contribution of small-scale fisheries to poverty alleviation and food security. FAO Fisheries Technical Paper, 481.</w:t>
      </w:r>
    </w:p>
    <w:p w14:paraId="6F3FA068"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Bonine, K. M., Bjorkstedt, E. P., Ewel, K. C., &amp; Palik, M. (2008). Population characteristics of the mangrove crab Scylla serrata (Decapoda: Portunidae) in Kosrae, Federated States of Micronesia: Effects of harvest and implications for management. Pacific Science, 62, 1-19.</w:t>
      </w:r>
    </w:p>
    <w:p w14:paraId="76F9A5A5"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Bowers, R. (2017). Mud Crab Fishers Statistics. Marine Fisheries Journal.</w:t>
      </w:r>
    </w:p>
    <w:p w14:paraId="6254B27C"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Cinner, J. E., Daw, T., &amp; McClanahan, T. R. (2012). Socioeconomic factors that affect artisanal fishers’ readiness to exit a declining fishery. Conservation Biology, 26(5), 830–837.</w:t>
      </w:r>
    </w:p>
    <w:p w14:paraId="2D3BA715"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Crona, B., Nyström, M., Folke, C., &amp; Jiddawi, N. (2016). Middlemen, a critical social-ecological link in coastal communities of Kenya and Zanzibar. Marine Policy, 30(3), 251-268.</w:t>
      </w:r>
    </w:p>
    <w:p w14:paraId="64859915"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FAO. (2025). Status, technological innovations, and industry development needs of mud crab (Scylla spp.) aquaculture. FAO Fisheries and Aquaculture Proceedings No. 73. Rome: Food and Agriculture Organization of the United Nations.</w:t>
      </w:r>
    </w:p>
    <w:p w14:paraId="744EAD44" w14:textId="77777777" w:rsidR="00221112" w:rsidRPr="00DE5E47" w:rsidRDefault="00C14051">
      <w:pPr>
        <w:pStyle w:val="NormalWeb"/>
        <w:spacing w:line="480" w:lineRule="auto"/>
        <w:ind w:left="480" w:hangingChars="200" w:hanging="480"/>
        <w:jc w:val="both"/>
      </w:pPr>
      <w:r w:rsidRPr="00DE5E47">
        <w:t xml:space="preserve">Fisheries Management and Development Act, No. 35 of 2016 (Kenya). http://faolex.fao.org/docs/pdf/ken160880.pdf</w:t>
      </w:r>
    </w:p>
    <w:p w14:paraId="095A0676" w14:textId="77777777" w:rsidR="00221112" w:rsidRPr="00DE5E47" w:rsidRDefault="00C14051">
      <w:pPr>
        <w:pStyle w:val="NormalWeb"/>
        <w:spacing w:line="480" w:lineRule="auto"/>
        <w:ind w:left="480" w:hangingChars="200" w:hanging="480"/>
        <w:jc w:val="both"/>
      </w:pPr>
      <w:r w:rsidRPr="00DE5E47">
        <w:t xml:space="preserve">Fondo, E. N., &amp; Ogutu, B. (2021). Sustainable crab fishery for Blue Economy in Kenya. Aquatic Ecosystem Health &amp; Management, 24(1), 21–26.</w:t>
      </w:r>
    </w:p>
    <w:p w14:paraId="5DB6A0FA"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Fondo, E. N., Kimani, E. N., &amp; Odongo, D. O. (2020). The status of mangrove mud crab fishery in Kenya, East Africa. African Journal of Fisheries Science, 8(3), 1–9.</w:t>
      </w:r>
    </w:p>
    <w:p w14:paraId="424A74EE"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Fulanda, B. C., Munga, C., Ohtomi, J., Osore, M., Mugo, R., &amp; Hossain, M. Y. (2009). The structure and evolution of the coastal migrant fishery of Kenya. Ocean &amp; Coastal Management, 52, 459–466.</w:t>
      </w:r>
    </w:p>
    <w:p w14:paraId="3D74ADB2"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Green, D. R., &amp; Clark, J. R. (2021). Fisheries Economics and Market Dynamics. Oxford University Press.</w:t>
      </w:r>
    </w:p>
    <w:p w14:paraId="40385A55"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Gutiérrez, N. L., Hilborn, R., &amp; Defeo, O. (2011). Leadership, social capital and incentives promote successful fisheries. Nature, 470(7334), 386-389.</w:t>
      </w:r>
    </w:p>
    <w:p w14:paraId="4CEE5275"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Jacinto, E. R. (2004). A research framework on value chain analysis in small-scale fisheries. Asian Fisheries Society.</w:t>
      </w:r>
    </w:p>
    <w:p w14:paraId="6DDE3BB3"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lastRenderedPageBreak/>
        <w:t xml:space="preserve">Kimani, E., Mirera, D., &amp; Wainaina, P. (2018). Mud Crab Fishery in Kenya. Fisheries Research Journal.</w:t>
      </w:r>
    </w:p>
    <w:p w14:paraId="3C0D21A1" w14:textId="77777777" w:rsidR="00221112" w:rsidRPr="00DE5E47" w:rsidRDefault="00C14051">
      <w:pPr>
        <w:spacing w:after="240" w:line="480" w:lineRule="auto"/>
        <w:ind w:left="480" w:hangingChars="200" w:hanging="480"/>
        <w:jc w:val="both"/>
        <w:rPr>
          <w:rFonts w:eastAsia="Times New Roman" w:cs="Times New Roman"/>
          <w:kern w:val="0"/>
          <w:sz w:val="24"/>
          <w:szCs w:val="24"/>
          <w14:ligatures w14:val="none"/>
        </w:rPr>
      </w:pPr>
      <w:r w:rsidRPr="00DE5E47">
        <w:rPr>
          <w:rFonts w:eastAsia="Times New Roman" w:cs="Times New Roman"/>
          <w:kern w:val="0"/>
          <w:sz w:val="24"/>
          <w:szCs w:val="24"/>
          <w14:ligatures w14:val="none"/>
          <w:color w:val="000000"/>
        </w:rPr>
        <w:t xml:space="preserve">Lamm, A. J., &amp; Lamm, D. A. (2019). Understanding Research Populations. Research Methods Journal.</w:t>
      </w:r>
    </w:p>
    <w:p w14:paraId="5ECFF2C2"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Lowe, M. (2019). Pilot Studies in Research. Methodology Journal.</w:t>
      </w:r>
    </w:p>
    <w:p w14:paraId="6AA0D68A"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Mahmud, A. I., &amp; Mamun, A. A. (2013). Marketing of Mud Crab Scylla serrata (Forksal) from Khulna district to international markets. European Journal of Agricultural Sciences, 11, 61-67.</w:t>
      </w:r>
    </w:p>
    <w:p w14:paraId="375352B6" w14:textId="77777777" w:rsidR="00221112" w:rsidRPr="00DE5E47" w:rsidRDefault="00C14051">
      <w:pPr>
        <w:pStyle w:val="NormalWeb"/>
        <w:spacing w:line="480" w:lineRule="auto"/>
        <w:ind w:left="480" w:hangingChars="200" w:hanging="480"/>
        <w:jc w:val="both"/>
      </w:pPr>
      <w:r w:rsidRPr="00DE5E47">
        <w:t xml:space="preserve">Mirera, D. O. (2014a). Social and economic implications of small-scale mud crab (Scylla serrata) aquaculture: The case of organised community groups. Aquaculture International, 22, 1499–1514.</w:t>
      </w:r>
    </w:p>
    <w:p w14:paraId="1298DD26" w14:textId="77777777" w:rsidR="00221112" w:rsidRPr="00DE5E47" w:rsidRDefault="00C14051">
      <w:pPr>
        <w:spacing w:after="200" w:line="480" w:lineRule="auto"/>
        <w:ind w:left="440" w:hangingChars="200" w:hanging="440"/>
        <w:jc w:val="both"/>
        <w:rPr>
          <w:rFonts w:eastAsia="Times New Roman" w:cs="Times New Roman"/>
          <w:kern w:val="0"/>
          <w:sz w:val="24"/>
          <w:szCs w:val="24"/>
          <w14:ligatures w14:val="none"/>
        </w:rPr>
      </w:pPr>
      <w:r w:rsidRPr="00DE5E47">
        <w:rPr>
          <w:rFonts w:eastAsia="Times New Roman" w:cs="Times New Roman"/>
          <w:kern w:val="0"/>
          <w:sz w:val="24"/>
          <w:szCs w:val="24"/>
          <w14:ligatures w14:val="none"/>
          <w:color w:val="000000"/>
        </w:rPr>
        <w:t xml:space="preserve">Mirera, D. O. (2014b). Capture-based mud crab (Scylla serrata) aquaculture and artisanal fishery in East Africa – Practical and ecological perspective. Ph.D thesis. Linnaeus University Dissertations No 159/2013, ISBN: 978-91-87427-70-1. Written in English</w:t>
      </w:r>
    </w:p>
    <w:p w14:paraId="026063F0" w14:textId="77777777" w:rsidR="00221112" w:rsidRPr="00DE5E47" w:rsidRDefault="00C14051">
      <w:pPr>
        <w:pStyle w:val="NormalWeb"/>
        <w:spacing w:line="480" w:lineRule="auto"/>
        <w:ind w:left="480" w:hangingChars="200" w:hanging="480"/>
        <w:jc w:val="both"/>
      </w:pPr>
      <w:r w:rsidRPr="00DE5E47">
        <w:t xml:space="preserve">Mirera, D. O. (2017a). Status of the mud crab fishery in Kenya: A review. Western Indian Ocean Journal of Marine Science, 16(1), 1–12.</w:t>
      </w:r>
    </w:p>
    <w:p w14:paraId="0D68A3CB" w14:textId="77777777" w:rsidR="00221112" w:rsidRPr="00DE5E47" w:rsidRDefault="00C14051">
      <w:pPr>
        <w:pStyle w:val="NormalWeb"/>
        <w:spacing w:line="480" w:lineRule="auto"/>
        <w:ind w:left="480" w:hangingChars="200" w:hanging="480"/>
        <w:jc w:val="both"/>
      </w:pPr>
      <w:r w:rsidRPr="00DE5E47">
        <w:t xml:space="preserve">Mirera, D. O. (2017b). Intertidal mangrove boundary zones are nursery grounds for the mud crab Scylla serrata (Forsskal-1775). African Journal of Marine Science, 39: pp. 3, 315-325</w:t>
      </w:r>
    </w:p>
    <w:p w14:paraId="46E6A2B6"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lastRenderedPageBreak/>
        <w:t xml:space="preserve">Mirera, D. O., &amp; Moksnes, P. O. (2015). Comparative performance of wild juvenile Scylla serrata (Forsskål) in different culture systems: Net cages, mangrove pens and earthen ponds. Aquaculture International, 23, 155–173.</w:t>
      </w:r>
    </w:p>
    <w:p w14:paraId="18FD06A0"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Mirera, D. O., Ochiewo, J., Munyi, F., &amp; Muriuki, T. (2013). Heredity or traditional knowledge: Fishing tactics and dynamics of artisanal mangrove crab (Scylla serrata) fishery. Ocean &amp; Coastal Management, 84, 119–129.</w:t>
      </w:r>
    </w:p>
    <w:p w14:paraId="4FB80F0E"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Moser, S., Macintosh, D., Laoprasert, S., &amp; Tongdee, N. (2005). Population ecology of the mud crab Scylla olivacea: A study in the Andaman Sea, Satun Province, southern Thailand. Fisheries Research, 71, 27–41.</w:t>
      </w:r>
    </w:p>
    <w:p w14:paraId="55404E53" w14:textId="77777777" w:rsidR="00221112" w:rsidRPr="00DE5E47" w:rsidRDefault="00C14051">
      <w:pPr>
        <w:spacing w:after="200" w:line="480" w:lineRule="auto"/>
        <w:ind w:left="440" w:hangingChars="200" w:hanging="440"/>
        <w:jc w:val="both"/>
        <w:rPr>
          <w:rFonts w:eastAsia="Times New Roman" w:cs="Times New Roman"/>
          <w:kern w:val="0"/>
          <w:sz w:val="24"/>
          <w:szCs w:val="24"/>
          <w14:ligatures w14:val="none"/>
        </w:rPr>
      </w:pPr>
      <w:r w:rsidRPr="00DE5E47">
        <w:rPr>
          <w:rFonts w:eastAsia="Times New Roman" w:cs="Times New Roman"/>
          <w:kern w:val="0"/>
          <w:sz w:val="24"/>
          <w:szCs w:val="24"/>
          <w14:ligatures w14:val="none"/>
          <w:color w:val="000000"/>
        </w:rPr>
        <w:t xml:space="preserve">Munga, C. N., &amp; Muthumbi, A. W. (2018). Economic analysis of mud crab (Scylla serrata) fisheries in Tana Delta, Kenya. African Journal of Marine Science, 40(1), 101–111.</w:t>
      </w:r>
    </w:p>
    <w:p w14:paraId="1F09BA4B" w14:textId="77777777" w:rsidR="00221112" w:rsidRPr="00DE5E47" w:rsidRDefault="00C14051">
      <w:pPr>
        <w:spacing w:after="200" w:line="480" w:lineRule="auto"/>
        <w:ind w:left="480" w:hangingChars="200" w:hanging="480"/>
        <w:jc w:val="both"/>
        <w:rPr>
          <w:rFonts w:eastAsia="Times New Roman" w:cs="Times New Roman"/>
          <w:kern w:val="0"/>
          <w:sz w:val="24"/>
          <w:szCs w:val="24"/>
          <w14:ligatures w14:val="none"/>
        </w:rPr>
      </w:pPr>
      <w:r w:rsidRPr="00DE5E47">
        <w:rPr>
          <w:rFonts w:eastAsia="Times New Roman" w:cs="Times New Roman"/>
          <w:kern w:val="0"/>
          <w:sz w:val="24"/>
          <w:szCs w:val="24"/>
          <w14:ligatures w14:val="none"/>
          <w:color w:val="000000"/>
        </w:rPr>
        <w:t xml:space="preserve">Ndanga, L. Z. B., Quagrainie, K. K. &amp; Dennis, J. H. (2013). Economically feasible options for increased women participation in the Kenyan aquaculture value chain. Aquaculture, pp. 414–415, 183–190.</w:t>
      </w:r>
    </w:p>
    <w:p w14:paraId="533C978D"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Njiru, J. M., et al. (2021). Socioeconomic factors influencing the participation of fish traders in beach management units in Kenya: A case of Kwale County. International Journal of Fisheries and Aquatic Studies, 9(1), 91-97.</w:t>
      </w:r>
    </w:p>
    <w:p w14:paraId="568EE0ED"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Ochiewo, J., De La Torre-Castro, M., Muthama, C., Munyi, F., &amp; Nthuta, J. M. (2010). Socioeconomic features of sea cucumber fisheries in southern coast of Kenya. Ocean &amp; Coastal Management, 53, 192–202.</w:t>
      </w:r>
    </w:p>
    <w:p w14:paraId="4257C2BB" w14:textId="77777777" w:rsidR="00221112" w:rsidRPr="00DE5E47" w:rsidRDefault="00C14051">
      <w:pPr>
        <w:spacing w:after="200" w:line="480" w:lineRule="auto"/>
        <w:ind w:left="480" w:hangingChars="200" w:hanging="480"/>
        <w:jc w:val="both"/>
        <w:rPr>
          <w:rFonts w:eastAsia="Times New Roman" w:cs="Times New Roman"/>
          <w:kern w:val="0"/>
          <w:sz w:val="24"/>
          <w:szCs w:val="24"/>
          <w14:ligatures w14:val="none"/>
        </w:rPr>
      </w:pPr>
      <w:r w:rsidRPr="00DE5E47">
        <w:rPr>
          <w:rFonts w:eastAsia="Times New Roman" w:cs="Times New Roman"/>
          <w:kern w:val="0"/>
          <w:sz w:val="24"/>
          <w:szCs w:val="24"/>
          <w14:ligatures w14:val="none"/>
          <w:color w:val="000000"/>
        </w:rPr>
        <w:t xml:space="preserve">Ogawa, C. Y., Hamasaki, K., Dan, S., &amp; Kitada, S. (2011). Fishery biology of mud crabs Scylla spp. at Iriomote Island, Japan: Species composition, catch, growth and size at sexual maturity. Fisheries Science, 77, 915–927.</w:t>
      </w:r>
    </w:p>
    <w:p w14:paraId="3BD66995"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lastRenderedPageBreak/>
        <w:t xml:space="preserve">Pomeroy, R., &amp; Andrew, N. (Eds.). (2011). Small-scale fisheries management: frameworks and approaches for the developing world. CABI.</w:t>
      </w:r>
    </w:p>
    <w:p w14:paraId="2B9D5751"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Richmond, M. D., Mohamed, A., De Villiers, A. K., Esseen, M., &amp; Levay, L. (2006). Smallholder fisheries enterprises trials, Rufiji District, Tanzania. Rufiji Environment Management Project.</w:t>
      </w:r>
    </w:p>
    <w:p w14:paraId="4E2B7E44"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Sultana, A., Raseduzzaman, M., Arafat, S. T., &amp; Begum, S. (2018). Value chain analysis of mud Crab (Scylla spp.) in the southwest region of Bangladesh.</w:t>
      </w:r>
    </w:p>
    <w:p w14:paraId="7597C740"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Webley, J. A. C. (2008). The ecology of the mud crab (Scylla serrata): their colonization of estuaries and role as scavengers in ecosystem processes. PhD thesis, Griffith University, QLD, Australia</w:t>
      </w:r>
    </w:p>
    <w:p w14:paraId="5AC3C634" w14:textId="77777777" w:rsidR="00221112" w:rsidRPr="00DE5E47" w:rsidRDefault="00C14051">
      <w:pPr>
        <w:spacing w:after="200" w:line="480" w:lineRule="auto"/>
        <w:ind w:left="480" w:hangingChars="200" w:hanging="480"/>
        <w:jc w:val="both"/>
        <w:rPr>
          <w:rFonts w:eastAsia="Times New Roman" w:cs="Times New Roman"/>
          <w:kern w:val="0"/>
          <w:sz w:val="24"/>
          <w:szCs w:val="24"/>
          <w14:ligatures w14:val="none"/>
        </w:rPr>
      </w:pPr>
      <w:r w:rsidRPr="00DE5E47">
        <w:rPr>
          <w:rFonts w:eastAsia="Times New Roman" w:cs="Times New Roman"/>
          <w:kern w:val="0"/>
          <w:sz w:val="24"/>
          <w:szCs w:val="24"/>
          <w14:ligatures w14:val="none"/>
          <w:color w:val="000000"/>
        </w:rPr>
        <w:t xml:space="preserve">Yamane, T. (1967). Statistics: An introductory analysis (2nd ed.). Harper and Row.</w:t>
      </w:r>
    </w:p>
    <w:p w14:paraId="08B995AE" w14:textId="77777777" w:rsidR="00221112" w:rsidRPr="00DE5E47" w:rsidRDefault="00C14051">
      <w:pPr>
        <w:pStyle w:val="Heading1"/>
        <w:spacing w:line="480" w:lineRule="auto"/>
        <w:jc w:val="both"/>
        <w:outlineLvl w:val="0"/>
        <w:rPr>
          <w:rFonts w:eastAsia="Times New Roman" w:cs="Times New Roman"/>
          <w:szCs w:val="24"/>
        </w:rPr>
      </w:pPr>
      <w:bookmarkStart w:id="52122" w:name="_Toc_122"/>
      <w:bookmarkStart w:id="264" w:name="_Toc240214164"/>
      <w:bookmarkStart w:id="265" w:name="_Toc241432304"/>
      <w:r w:rsidRPr="00DE5E47">
        <w:rPr>
          <w:rFonts w:eastAsia="Times New Roman" w:cs="Times New Roman"/>
          <w:szCs w:val="24"/>
        </w:rPr>
        <w:lastRenderedPageBreak/>
        <w:t>APPENDICES</w:t>
      </w:r>
      <w:bookmarkEnd w:id="264"/>
      <w:bookmarkEnd w:id="265"/>
      <w:bookmarkEnd w:id="52122"/>
    </w:p>
    <w:p w14:paraId="52AFECDB" w14:textId="77777777" w:rsidR="00221112" w:rsidRPr="00DE5E47" w:rsidRDefault="00221112">
      <w:pPr>
        <w:spacing w:line="360" w:lineRule="auto"/>
        <w:jc w:val="both"/>
        <w:rPr>
          <w:rFonts w:cs="Times New Roman"/>
          <w:b/>
          <w:bCs/>
          <w:sz w:val="24"/>
          <w:szCs w:val="24"/>
        </w:rPr>
      </w:pPr>
    </w:p>
    <w:p w14:paraId="421E7F30" w14:textId="77777777" w:rsidR="00221112" w:rsidRPr="00DE5E47" w:rsidRDefault="00C14051">
      <w:pPr>
        <w:spacing w:line="360" w:lineRule="auto"/>
        <w:jc w:val="both"/>
        <w:rPr>
          <w:rFonts w:cs="Times New Roman"/>
          <w:b/>
          <w:bCs/>
          <w:sz w:val="24"/>
          <w:szCs w:val="24"/>
        </w:rPr>
      </w:pPr>
      <w:r w:rsidRPr="00DE5E47">
        <w:rPr>
          <w:rFonts w:cs="Times New Roman"/>
          <w:b/>
          <w:bCs/>
          <w:sz w:val="24"/>
          <w:szCs w:val="24"/>
        </w:rPr>
        <w:t>STUDY QUESTIONNAIRE</w:t>
      </w:r>
    </w:p>
    <w:p w14:paraId="27022CB4" w14:textId="77777777" w:rsidR="00221112" w:rsidRPr="00DE5E47" w:rsidRDefault="00C14051">
      <w:pPr>
        <w:spacing w:line="360" w:lineRule="auto"/>
        <w:jc w:val="both"/>
        <w:rPr>
          <w:rFonts w:cs="Times New Roman"/>
          <w:b/>
          <w:bCs/>
          <w:sz w:val="24"/>
          <w:szCs w:val="24"/>
        </w:rPr>
      </w:pPr>
      <w:r w:rsidRPr="00DE5E47">
        <w:rPr>
          <w:rFonts w:cs="Times New Roman"/>
          <w:b/>
          <w:bCs/>
          <w:noProof/>
          <w:sz w:val="24"/>
          <w:szCs w:val="24"/>
        </w:rPr>
        <mc:AlternateContent>
          <mc:Choice Requires="wps">
            <w:drawing>
              <wp:anchor distT="0" distB="0" distL="114300" distR="114300" simplePos="0" relativeHeight="251661312" behindDoc="0" locked="0" layoutInCell="1" allowOverlap="1" wp14:anchorId="16AF07FE" wp14:editId="53D251AC">
                <wp:simplePos x="0" y="0"/>
                <wp:positionH relativeFrom="column">
                  <wp:posOffset>-104775</wp:posOffset>
                </wp:positionH>
                <wp:positionV relativeFrom="paragraph">
                  <wp:posOffset>116840</wp:posOffset>
                </wp:positionV>
                <wp:extent cx="6019800" cy="0"/>
                <wp:effectExtent l="0" t="0" r="0" b="0"/>
                <wp:wrapNone/>
                <wp:docPr id="18" name="Straight Connector 18"/>
                <wp:cNvGraphicFramePr/>
                <a:graphic xmlns:a="http://schemas.openxmlformats.org/drawingml/2006/main">
                  <a:graphicData uri="http://schemas.microsoft.com/office/word/2010/wordprocessingShape">
                    <wps:wsp>
                      <wps:cNvCnPr/>
                      <wps:spPr>
                        <a:xfrm>
                          <a:off x="0" y="0"/>
                          <a:ext cx="6019800" cy="0"/>
                        </a:xfrm>
                        <a:prstGeom prst="line">
                          <a:avLst/>
                        </a:prstGeom>
                        <a:noFill/>
                        <a:ln w="19050" cap="flat" cmpd="sng" algn="ctr">
                          <a:solidFill>
                            <a:sysClr val="windowText" lastClr="000000"/>
                          </a:solidFill>
                          <a:prstDash val="solid"/>
                          <a:miter lim="800000"/>
                        </a:ln>
                        <a:effectLst/>
                      </wps:spPr>
                      <wps:bodyPr/>
                    </wps:wsp>
                  </a:graphicData>
                </a:graphic>
              </wp:anchor>
            </w:drawing>
          </mc:Choice>
          <mc:Fallback xmlns:wpsCustomData="http://www.wps.cn/officeDocument/2013/wpsCustomData" xmlns:w16cei="http://schemas.microsoft.com/office/word/2026/wordml/cei">
            <w:pict>
              <v:line id="_x0000_s1026" o:spid="_x0000_s1026" o:spt="20" style="position:absolute;left:0pt;margin-left:-8.25pt;margin-top:9.2pt;height:0pt;width:474pt;z-index:251661312;mso-width-relative:page;mso-height-relative:page;" filled="f" stroked="t" coordsize="21600,21600" o:gfxdata="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BluOdv2AAA&#10;AAkBAAAPAAAAAAAAAAEAIAAAACIAAABkcnMvZG93bnJldi54bWxQSwECFAAUAAAACACHTuJAOOLj&#10;TOUBAADZAwAADgAAAAAAAAABACAAAAAnAQAAZHJzL2Uyb0RvYy54bWxQSwUGAAAAAAYABgBZAQAA&#10;fgUAAAAA&#10;">
                <v:fill on="f" focussize="0,0"/>
                <v:stroke weight="1.5pt" color="#000000" miterlimit="8" joinstyle="miter"/>
                <v:imagedata o:title=""/>
                <o:lock v:ext="edit" aspectratio="f"/>
              </v:line>
            </w:pict>
          </mc:Fallback>
        </mc:AlternateContent>
      </w:r>
    </w:p>
    <w:p w14:paraId="1979CE2F" w14:textId="77777777" w:rsidR="00221112" w:rsidRPr="00DE5E47" w:rsidRDefault="00C14051">
      <w:pPr>
        <w:spacing w:line="360" w:lineRule="auto"/>
        <w:jc w:val="both"/>
        <w:rPr>
          <w:rFonts w:cs="Times New Roman"/>
          <w:b/>
          <w:bCs/>
          <w:sz w:val="24"/>
          <w:szCs w:val="24"/>
        </w:rPr>
      </w:pPr>
      <w:r w:rsidRPr="00DE5E47">
        <w:rPr>
          <w:rFonts w:cs="Times New Roman"/>
          <w:b/>
          <w:bCs/>
          <w:sz w:val="24"/>
          <w:szCs w:val="24"/>
        </w:rPr>
        <w:t>SECTION A: INTRODUCTION AND INFORMED CONSENT</w:t>
      </w:r>
    </w:p>
    <w:p w14:paraId="70E79DEA" w14:textId="77777777" w:rsidR="00221112" w:rsidRPr="00DE5E47" w:rsidRDefault="00C14051">
      <w:pPr>
        <w:spacing w:line="360" w:lineRule="auto"/>
        <w:jc w:val="both"/>
        <w:rPr>
          <w:rFonts w:cs="Times New Roman"/>
          <w:sz w:val="24"/>
          <w:szCs w:val="24"/>
        </w:rPr>
      </w:pPr>
      <w:r w:rsidRPr="00DE5E47">
        <w:rPr>
          <w:rFonts w:cs="Times New Roman"/>
          <w:sz w:val="24"/>
          <w:szCs w:val="24"/>
        </w:rPr>
        <w:t>My name is__ _______________, a student at Pwani University. I am collecting information to study the marketing structures of mud crabs (Scylla Serrata) in South Coast, Kenya, as a project that will form part of my master's degree. I would like to ask you some questions about your involvement in the crab fishery, specifically as an actor and your role and marketing system, and its dynamic issues.</w:t>
      </w:r>
    </w:p>
    <w:p w14:paraId="00A206BC" w14:textId="77777777" w:rsidR="00221112" w:rsidRPr="00DE5E47" w:rsidRDefault="00C14051">
      <w:pPr>
        <w:spacing w:line="360" w:lineRule="auto"/>
        <w:jc w:val="both"/>
        <w:rPr>
          <w:rFonts w:cs="Times New Roman"/>
          <w:sz w:val="24"/>
          <w:szCs w:val="24"/>
        </w:rPr>
      </w:pPr>
      <w:r w:rsidRPr="00DE5E47">
        <w:rPr>
          <w:rFonts w:cs="Times New Roman"/>
          <w:sz w:val="24"/>
          <w:szCs w:val="24"/>
          <w:lang w:val="en-GB"/>
        </w:rPr>
        <w:t>The information that you give during this research will be kept confidential. Information about you collected during the study will be put away, and no one but the researcher (I) will see it. Any information you will have a number on it instead of your name for confidentiality purposes. You can ask any questions regarding the study or your participation in this study</w:t>
      </w:r>
      <w:r w:rsidRPr="00DE5E47">
        <w:rPr>
          <w:rFonts w:cs="Times New Roman"/>
          <w:sz w:val="24"/>
          <w:szCs w:val="24"/>
        </w:rPr>
        <w:t xml:space="preserve"> using this contact- Mercy Sangura on +254-717-588-132</w:t>
      </w:r>
    </w:p>
    <w:p w14:paraId="62E8FCFD" w14:textId="77777777" w:rsidR="00221112" w:rsidRPr="00DE5E47" w:rsidRDefault="00C14051">
      <w:pPr>
        <w:spacing w:line="360" w:lineRule="auto"/>
        <w:jc w:val="both"/>
        <w:rPr>
          <w:rFonts w:cs="Times New Roman"/>
          <w:sz w:val="24"/>
          <w:szCs w:val="24"/>
        </w:rPr>
      </w:pPr>
      <w:r w:rsidRPr="00DE5E47">
        <w:rPr>
          <w:rFonts w:cs="Times New Roman"/>
          <w:sz w:val="24"/>
          <w:szCs w:val="24"/>
          <w:lang w:val="en-GB"/>
        </w:rPr>
        <w:t>I have read the preceding information, or it has been read to me. I have had the opportunity to ask questions about it, and any questions that have been asked have been answered to my satisfaction. I consent voluntarily to participate as a respondent in this research.</w:t>
      </w:r>
    </w:p>
    <w:p w14:paraId="1F3E5393"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Consent given Yes= [   ]   No=0 [  ]                   </w:t>
      </w:r>
    </w:p>
    <w:p w14:paraId="3518EF4B"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 (If yes, proceed to the next question; If no, find out the reason and terminate the interview.)</w:t>
      </w:r>
    </w:p>
    <w:p w14:paraId="18A0CF43" w14:textId="77777777" w:rsidR="00221112" w:rsidRPr="00DE5E47" w:rsidRDefault="00C14051">
      <w:pPr>
        <w:spacing w:line="360" w:lineRule="auto"/>
        <w:jc w:val="both"/>
        <w:rPr>
          <w:rFonts w:cs="Times New Roman"/>
          <w:sz w:val="24"/>
          <w:szCs w:val="24"/>
        </w:rPr>
      </w:pPr>
      <w:r w:rsidRPr="00DE5E47">
        <w:rPr>
          <w:rFonts w:cs="Times New Roman"/>
          <w:sz w:val="24"/>
          <w:szCs w:val="24"/>
        </w:rPr>
        <w:t>Instructions</w:t>
      </w:r>
    </w:p>
    <w:p w14:paraId="6C3C0DF6" w14:textId="77777777" w:rsidR="00221112" w:rsidRPr="00DE5E47" w:rsidRDefault="00C14051">
      <w:pPr>
        <w:spacing w:line="360" w:lineRule="auto"/>
        <w:jc w:val="both"/>
        <w:rPr>
          <w:rFonts w:cs="Times New Roman"/>
          <w:sz w:val="24"/>
          <w:szCs w:val="24"/>
        </w:rPr>
      </w:pPr>
      <w:r w:rsidRPr="00DE5E47">
        <w:rPr>
          <w:rFonts w:cs="Times New Roman"/>
          <w:sz w:val="24"/>
          <w:szCs w:val="24"/>
        </w:rPr>
        <w:t>(a)</w:t>
      </w:r>
      <w:r w:rsidRPr="00DE5E47">
        <w:rPr>
          <w:rFonts w:cs="Times New Roman"/>
          <w:sz w:val="24"/>
          <w:szCs w:val="24"/>
        </w:rPr>
        <w:tab/>
        <w:t>Please tick in the bracket that corresponds to your response.</w:t>
      </w:r>
    </w:p>
    <w:p w14:paraId="56F0814A" w14:textId="77777777" w:rsidR="00221112" w:rsidRPr="00DE5E47" w:rsidRDefault="00C14051">
      <w:pPr>
        <w:spacing w:line="360" w:lineRule="auto"/>
        <w:jc w:val="both"/>
        <w:rPr>
          <w:rFonts w:cs="Times New Roman"/>
          <w:sz w:val="24"/>
          <w:szCs w:val="24"/>
        </w:rPr>
      </w:pPr>
      <w:r w:rsidRPr="00DE5E47">
        <w:rPr>
          <w:rFonts w:cs="Times New Roman"/>
          <w:sz w:val="24"/>
          <w:szCs w:val="24"/>
        </w:rPr>
        <w:t>(b)</w:t>
      </w:r>
      <w:r w:rsidRPr="00DE5E47">
        <w:rPr>
          <w:rFonts w:cs="Times New Roman"/>
          <w:sz w:val="24"/>
          <w:szCs w:val="24"/>
        </w:rPr>
        <w:tab/>
      </w:r>
      <w:r w:rsidRPr="00DE5E47">
        <w:rPr>
          <w:rFonts w:cs="Times New Roman"/>
          <w:sz w:val="24"/>
          <w:szCs w:val="24"/>
        </w:rPr>
        <w:tab/>
        <w:t>In case of multiple responses, tick all applicable responses in their respective brackets.</w:t>
      </w:r>
    </w:p>
    <w:p w14:paraId="639CD583" w14:textId="77777777" w:rsidR="00221112" w:rsidRPr="00DE5E47" w:rsidRDefault="00C14051">
      <w:pPr>
        <w:spacing w:line="360" w:lineRule="auto"/>
        <w:jc w:val="both"/>
        <w:rPr>
          <w:rFonts w:cs="Times New Roman"/>
          <w:sz w:val="24"/>
          <w:szCs w:val="24"/>
        </w:rPr>
      </w:pPr>
      <w:r w:rsidRPr="00DE5E47">
        <w:rPr>
          <w:rFonts w:cs="Times New Roman"/>
          <w:sz w:val="24"/>
          <w:szCs w:val="24"/>
        </w:rPr>
        <w:t>(c)</w:t>
      </w:r>
      <w:r w:rsidRPr="00DE5E47">
        <w:rPr>
          <w:rFonts w:cs="Times New Roman"/>
          <w:sz w:val="24"/>
          <w:szCs w:val="24"/>
        </w:rPr>
        <w:tab/>
      </w:r>
      <w:r w:rsidRPr="00DE5E47">
        <w:rPr>
          <w:rFonts w:cs="Times New Roman"/>
          <w:sz w:val="24"/>
          <w:szCs w:val="24"/>
        </w:rPr>
        <w:tab/>
        <w:t>Use translation to Kiswahili or Local language for respondents who do not speak or understand English.</w:t>
      </w:r>
    </w:p>
    <w:p w14:paraId="12B7F66F" w14:textId="77777777" w:rsidR="00221112" w:rsidRPr="00DE5E47" w:rsidRDefault="00C14051">
      <w:pPr>
        <w:spacing w:line="360" w:lineRule="auto"/>
        <w:jc w:val="both"/>
        <w:rPr>
          <w:rFonts w:cs="Times New Roman"/>
          <w:b/>
          <w:bCs/>
          <w:sz w:val="24"/>
          <w:szCs w:val="24"/>
        </w:rPr>
      </w:pPr>
      <w:r w:rsidRPr="00DE5E47">
        <w:rPr>
          <w:rFonts w:cs="Times New Roman"/>
          <w:b/>
          <w:bCs/>
          <w:noProof/>
          <w:sz w:val="24"/>
          <w:szCs w:val="24"/>
        </w:rPr>
        <mc:AlternateContent>
          <mc:Choice Requires="wps">
            <w:drawing>
              <wp:anchor distT="0" distB="0" distL="114300" distR="114300" simplePos="0" relativeHeight="251662336" behindDoc="0" locked="0" layoutInCell="1" allowOverlap="1" wp14:anchorId="46940861" wp14:editId="3812435C">
                <wp:simplePos x="0" y="0"/>
                <wp:positionH relativeFrom="margin">
                  <wp:align>right</wp:align>
                </wp:positionH>
                <wp:positionV relativeFrom="paragraph">
                  <wp:posOffset>139065</wp:posOffset>
                </wp:positionV>
                <wp:extent cx="5934075" cy="247650"/>
                <wp:effectExtent l="0" t="0" r="9525" b="0"/>
                <wp:wrapNone/>
                <wp:docPr id="19" name="Rectangle 19"/>
                <wp:cNvGraphicFramePr/>
                <a:graphic xmlns:a="http://schemas.openxmlformats.org/drawingml/2006/main">
                  <a:graphicData uri="http://schemas.microsoft.com/office/word/2010/wordprocessingShape">
                    <wps:wsp>
                      <wps:cNvSpPr/>
                      <wps:spPr>
                        <a:xfrm>
                          <a:off x="0" y="0"/>
                          <a:ext cx="5934075" cy="247650"/>
                        </a:xfrm>
                        <a:prstGeom prst="rect">
                          <a:avLst/>
                        </a:prstGeom>
                        <a:gradFill rotWithShape="1">
                          <a:gsLst>
                            <a:gs pos="0">
                              <a:srgbClr val="A5A5A5">
                                <a:lumMod val="110000"/>
                                <a:satMod val="105000"/>
                                <a:tint val="67000"/>
                              </a:srgbClr>
                            </a:gs>
                            <a:gs pos="50000">
                              <a:srgbClr val="A5A5A5">
                                <a:lumMod val="105000"/>
                                <a:satMod val="103000"/>
                                <a:tint val="73000"/>
                              </a:srgbClr>
                            </a:gs>
                            <a:gs pos="100000">
                              <a:srgbClr val="A5A5A5">
                                <a:lumMod val="105000"/>
                                <a:satMod val="109000"/>
                                <a:tint val="81000"/>
                              </a:srgbClr>
                            </a:gs>
                          </a:gsLst>
                          <a:lin ang="5400000" scaled="0"/>
                        </a:gradFill>
                        <a:ln w="12700" cap="flat" cmpd="sng" algn="ctr">
                          <a:solidFill>
                            <a:sysClr val="windowText" lastClr="000000"/>
                          </a:solidFill>
                          <a:prstDash val="solid"/>
                          <a:miter lim="800000"/>
                        </a:ln>
                        <a:effectLst/>
                      </wps:spPr>
                      <wps:txbx>
                        <w:txbxContent>
                          <w:p w14:paraId="411DFDA7" w14:textId="77777777" w:rsidR="00221112" w:rsidRDefault="00C14051">
                            <w:pPr>
                              <w:jc w:val="both"/>
                              <w:rPr>
                                <w:b/>
                                <w:sz w:val="24"/>
                                <w:szCs w:val="24"/>
                              </w:rPr>
                            </w:pPr>
                            <w:r>
                              <w:rPr>
                                <w:b/>
                                <w:sz w:val="24"/>
                                <w:szCs w:val="24"/>
                              </w:rPr>
                              <w:t>SECTION B: PRELIMINARIES</w:t>
                            </w:r>
                          </w:p>
                          <w:p w14:paraId="3698D186" w14:textId="77777777" w:rsidR="00221112" w:rsidRDefault="00221112">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46940861" id="Rectangle 19" o:spid="_x0000_s1026" style="position:absolute;left:0;text-align:left;margin-left:416.05pt;margin-top:10.95pt;width:467.25pt;height:19.5pt;z-index:251662336;visibility:visible;mso-wrap-style:square;mso-wrap-distance-left:9pt;mso-wrap-distance-top:0;mso-wrap-distance-right:9pt;mso-wrap-distance-bottom:0;mso-position-horizontal:righ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" fillcolor="#d2d2d2" strokecolor="windowText" strokeweight="1pt">
                <v:fill color2="silver" rotate="t" colors="0 #d2d2d2;.5 #c8c8c8;1 silver" focus="100%" type="gradient">
                  <o:fill v:ext="view" type="gradientUnscaled"/>
                </v:fill>
                <v:textbox>
                  <w:txbxContent>
                    <w:p w14:paraId="37661DAB" w14:textId="77777777" w:rsidR="00221112" w:rsidRDefault="00C14051">
                      <w:pPr>
                        <w:jc w:val="both"/>
                        <w:rPr>
                          <w:b/>
                          <w:sz w:val="24"/>
                          <w:szCs w:val="24"/>
                        </w:rPr>
                      </w:pPr>
                      <w:r>
                        <w:rPr>
                          <w:b/>
                          <w:sz w:val="24"/>
                          <w:szCs w:val="24"/>
                        </w:rPr>
                        <w:t>SECTION B: PRELIMINARIES</w:t>
                      </w:r>
                    </w:p>
                    <w:p w14:paraId="638CF2EC" w14:textId="77777777" w:rsidR="00221112" w:rsidRDefault="00221112">
                      <w:pPr>
                        <w:jc w:val="center"/>
                      </w:pPr>
                    </w:p>
                  </w:txbxContent>
                </v:textbox>
                <w10:wrap anchorx="margin"/>
              </v:rect>
            </w:pict>
          </mc:Fallback>
        </mc:AlternateContent>
      </w:r>
    </w:p>
    <w:p w14:paraId="3675ACC2" w14:textId="77777777" w:rsidR="00221112" w:rsidRPr="00DE5E47" w:rsidRDefault="00221112">
      <w:pPr>
        <w:spacing w:line="360" w:lineRule="auto"/>
        <w:jc w:val="both"/>
        <w:rPr>
          <w:rFonts w:cs="Times New Roman"/>
          <w:b/>
          <w:bCs/>
          <w:sz w:val="24"/>
          <w:szCs w:val="24"/>
        </w:rPr>
      </w:pP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47"/>
        <w:gridCol w:w="4508"/>
      </w:tblGrid>
      <w:tr w:rsidR="00221112" w:rsidRPr="00DE5E47" w14:paraId="72E3738B" w14:textId="77777777">
        <w:trPr>
          <w:trHeight w:val="273"/>
        </w:trPr>
        <w:tc>
          <w:tcPr>
            <w:tcW w:w="4847" w:type="dxa"/>
          </w:tcPr>
          <w:p w14:paraId="5B715D4D" w14:textId="77777777" w:rsidR="00221112" w:rsidRPr="00DE5E47" w:rsidRDefault="00C14051">
            <w:pPr>
              <w:spacing w:line="360" w:lineRule="auto"/>
              <w:jc w:val="both"/>
              <w:rPr>
                <w:rFonts w:cs="Times New Roman"/>
                <w:b/>
                <w:bCs/>
                <w:sz w:val="24"/>
                <w:szCs w:val="24"/>
                <w:lang w:val="en-GB"/>
              </w:rPr>
            </w:pPr>
            <w:r w:rsidRPr="00DE5E47">
              <w:rPr>
                <w:rFonts w:cs="Times New Roman"/>
                <w:b/>
                <w:bCs/>
                <w:sz w:val="24"/>
                <w:szCs w:val="24"/>
                <w:lang w:val="en-GB"/>
              </w:rPr>
              <w:lastRenderedPageBreak/>
              <w:t>Interview start time (hh: min):</w:t>
            </w:r>
          </w:p>
        </w:tc>
        <w:tc>
          <w:tcPr>
            <w:tcW w:w="4508" w:type="dxa"/>
          </w:tcPr>
          <w:p w14:paraId="2715301C" w14:textId="77777777" w:rsidR="00221112" w:rsidRPr="00DE5E47" w:rsidRDefault="00C14051">
            <w:pPr>
              <w:spacing w:line="360" w:lineRule="auto"/>
              <w:jc w:val="both"/>
              <w:rPr>
                <w:rFonts w:cs="Times New Roman"/>
                <w:b/>
                <w:bCs/>
                <w:sz w:val="24"/>
                <w:szCs w:val="24"/>
                <w:lang w:val="en-GB"/>
              </w:rPr>
            </w:pPr>
            <w:r w:rsidRPr="00DE5E47">
              <w:rPr>
                <w:rFonts w:cs="Times New Roman"/>
                <w:b/>
                <w:bCs/>
                <w:sz w:val="24"/>
                <w:szCs w:val="24"/>
                <w:lang w:val="en-GB"/>
              </w:rPr>
              <w:t>Geopoints</w:t>
            </w:r>
          </w:p>
        </w:tc>
      </w:tr>
      <w:tr w:rsidR="00221112" w:rsidRPr="00DE5E47" w14:paraId="334D789E" w14:textId="77777777">
        <w:trPr>
          <w:trHeight w:val="290"/>
        </w:trPr>
        <w:tc>
          <w:tcPr>
            <w:tcW w:w="4847" w:type="dxa"/>
          </w:tcPr>
          <w:p w14:paraId="1AD47F61" w14:textId="77777777" w:rsidR="00221112" w:rsidRPr="00DE5E47" w:rsidRDefault="00C14051">
            <w:pPr>
              <w:spacing w:line="360" w:lineRule="auto"/>
              <w:jc w:val="both"/>
              <w:rPr>
                <w:rFonts w:cs="Times New Roman"/>
                <w:b/>
                <w:bCs/>
                <w:sz w:val="24"/>
                <w:szCs w:val="24"/>
                <w:lang w:val="en-GB"/>
              </w:rPr>
            </w:pPr>
            <w:r w:rsidRPr="00DE5E47">
              <w:rPr>
                <w:rFonts w:cs="Times New Roman"/>
                <w:b/>
                <w:bCs/>
                <w:sz w:val="24"/>
                <w:szCs w:val="24"/>
                <w:lang w:val="en-GB"/>
              </w:rPr>
              <w:t xml:space="preserve">Interview stop time  (hh: min):            </w:t>
            </w:r>
          </w:p>
        </w:tc>
        <w:tc>
          <w:tcPr>
            <w:tcW w:w="4508" w:type="dxa"/>
          </w:tcPr>
          <w:p w14:paraId="652764A8" w14:textId="77777777" w:rsidR="00221112" w:rsidRPr="00DE5E47" w:rsidRDefault="00C14051">
            <w:pPr>
              <w:spacing w:line="360" w:lineRule="auto"/>
              <w:jc w:val="both"/>
              <w:rPr>
                <w:rFonts w:cs="Times New Roman"/>
                <w:b/>
                <w:bCs/>
                <w:sz w:val="24"/>
                <w:szCs w:val="24"/>
                <w:lang w:val="en-GB"/>
              </w:rPr>
            </w:pPr>
            <w:r w:rsidRPr="00DE5E47">
              <w:rPr>
                <w:rFonts w:cs="Times New Roman"/>
                <w:b/>
                <w:bCs/>
                <w:sz w:val="24"/>
                <w:szCs w:val="24"/>
                <w:lang w:val="en-GB"/>
              </w:rPr>
              <w:t>Date of Interview</w:t>
            </w:r>
          </w:p>
        </w:tc>
      </w:tr>
      <w:tr w:rsidR="00221112" w:rsidRPr="00DE5E47" w14:paraId="3CD39A74" w14:textId="77777777">
        <w:trPr>
          <w:trHeight w:val="307"/>
        </w:trPr>
        <w:tc>
          <w:tcPr>
            <w:tcW w:w="4847" w:type="dxa"/>
          </w:tcPr>
          <w:p w14:paraId="3E191B57" w14:textId="77777777" w:rsidR="00221112" w:rsidRPr="00DE5E47" w:rsidRDefault="00C14051">
            <w:pPr>
              <w:spacing w:line="360" w:lineRule="auto"/>
              <w:jc w:val="both"/>
              <w:rPr>
                <w:rFonts w:cs="Times New Roman"/>
                <w:b/>
                <w:bCs/>
                <w:sz w:val="24"/>
                <w:szCs w:val="24"/>
                <w:lang w:val="en-GB"/>
              </w:rPr>
            </w:pPr>
            <w:r w:rsidRPr="00DE5E47">
              <w:rPr>
                <w:rFonts w:cs="Times New Roman"/>
                <w:b/>
                <w:bCs/>
                <w:sz w:val="24"/>
                <w:szCs w:val="24"/>
                <w:lang w:val="en-GB"/>
              </w:rPr>
              <w:t>County:</w:t>
            </w:r>
          </w:p>
        </w:tc>
        <w:tc>
          <w:tcPr>
            <w:tcW w:w="4508" w:type="dxa"/>
          </w:tcPr>
          <w:p w14:paraId="643ABF8E" w14:textId="77777777" w:rsidR="00221112" w:rsidRPr="00DE5E47" w:rsidRDefault="00C14051">
            <w:pPr>
              <w:spacing w:line="360" w:lineRule="auto"/>
              <w:jc w:val="both"/>
              <w:rPr>
                <w:rFonts w:cs="Times New Roman"/>
                <w:b/>
                <w:bCs/>
                <w:sz w:val="24"/>
                <w:szCs w:val="24"/>
                <w:lang w:val="en-GB"/>
              </w:rPr>
            </w:pPr>
            <w:r w:rsidRPr="00DE5E47">
              <w:rPr>
                <w:rFonts w:cs="Times New Roman"/>
                <w:b/>
                <w:bCs/>
                <w:sz w:val="24"/>
                <w:szCs w:val="24"/>
                <w:lang w:val="en-GB"/>
              </w:rPr>
              <w:t>Name of fish landing beach</w:t>
            </w:r>
          </w:p>
        </w:tc>
      </w:tr>
      <w:tr w:rsidR="00221112" w:rsidRPr="00DE5E47" w14:paraId="513F1557" w14:textId="77777777">
        <w:trPr>
          <w:trHeight w:val="273"/>
        </w:trPr>
        <w:tc>
          <w:tcPr>
            <w:tcW w:w="4847" w:type="dxa"/>
          </w:tcPr>
          <w:p w14:paraId="1CD93540" w14:textId="77777777" w:rsidR="00221112" w:rsidRPr="00DE5E47" w:rsidRDefault="00C14051">
            <w:pPr>
              <w:spacing w:line="360" w:lineRule="auto"/>
              <w:jc w:val="both"/>
              <w:rPr>
                <w:rFonts w:cs="Times New Roman"/>
                <w:b/>
                <w:bCs/>
                <w:sz w:val="24"/>
                <w:szCs w:val="24"/>
                <w:lang w:val="en-GB"/>
              </w:rPr>
            </w:pPr>
            <w:r w:rsidRPr="00DE5E47">
              <w:rPr>
                <w:rFonts w:cs="Times New Roman"/>
                <w:b/>
                <w:bCs/>
                <w:sz w:val="24"/>
                <w:szCs w:val="24"/>
                <w:lang w:val="en-GB"/>
              </w:rPr>
              <w:t>Enumerator name:</w:t>
            </w:r>
          </w:p>
        </w:tc>
        <w:tc>
          <w:tcPr>
            <w:tcW w:w="4508" w:type="dxa"/>
          </w:tcPr>
          <w:p w14:paraId="53DC9B4F" w14:textId="77777777" w:rsidR="00221112" w:rsidRPr="00DE5E47" w:rsidRDefault="00C14051">
            <w:pPr>
              <w:spacing w:line="360" w:lineRule="auto"/>
              <w:jc w:val="both"/>
              <w:rPr>
                <w:rFonts w:cs="Times New Roman"/>
                <w:b/>
                <w:bCs/>
                <w:sz w:val="24"/>
                <w:szCs w:val="24"/>
                <w:lang w:val="en-GB"/>
              </w:rPr>
            </w:pPr>
            <w:r w:rsidRPr="00DE5E47">
              <w:rPr>
                <w:rFonts w:cs="Times New Roman"/>
                <w:b/>
                <w:bCs/>
                <w:sz w:val="24"/>
                <w:szCs w:val="24"/>
                <w:lang w:val="en-GB"/>
              </w:rPr>
              <w:t>Enum Tel:</w:t>
            </w:r>
          </w:p>
        </w:tc>
      </w:tr>
    </w:tbl>
    <w:p w14:paraId="7C229D2B" w14:textId="77777777" w:rsidR="00221112" w:rsidRPr="00DE5E47" w:rsidRDefault="00221112">
      <w:pPr>
        <w:spacing w:line="360" w:lineRule="auto"/>
        <w:jc w:val="both"/>
        <w:rPr>
          <w:rFonts w:cs="Times New Roman"/>
          <w:b/>
          <w:bCs/>
          <w:sz w:val="24"/>
          <w:szCs w:val="24"/>
        </w:rPr>
      </w:pPr>
    </w:p>
    <w:p w14:paraId="56F47068" w14:textId="77777777" w:rsidR="00221112" w:rsidRPr="00DE5E47" w:rsidRDefault="00C14051">
      <w:pPr>
        <w:spacing w:line="360" w:lineRule="auto"/>
        <w:jc w:val="both"/>
        <w:rPr>
          <w:rFonts w:cs="Times New Roman"/>
          <w:b/>
          <w:bCs/>
          <w:sz w:val="24"/>
          <w:szCs w:val="24"/>
        </w:rPr>
      </w:pPr>
      <w:r w:rsidRPr="00DE5E47">
        <w:rPr>
          <w:rFonts w:cs="Times New Roman"/>
          <w:b/>
          <w:bCs/>
          <w:sz w:val="24"/>
          <w:szCs w:val="24"/>
        </w:rPr>
        <w:t>Objective i: To determine the mud crab actors and their characteristics.</w:t>
      </w:r>
    </w:p>
    <w:p w14:paraId="7A89344C" w14:textId="77777777" w:rsidR="00221112" w:rsidRPr="00DE5E47" w:rsidRDefault="00C14051">
      <w:pPr>
        <w:spacing w:line="360" w:lineRule="auto"/>
        <w:jc w:val="both"/>
        <w:rPr>
          <w:rFonts w:cs="Times New Roman"/>
          <w:sz w:val="24"/>
          <w:szCs w:val="24"/>
        </w:rPr>
      </w:pPr>
      <w:r w:rsidRPr="00DE5E47">
        <w:rPr>
          <w:rFonts w:cs="Times New Roman"/>
          <w:b/>
          <w:bCs/>
          <w:sz w:val="24"/>
          <w:szCs w:val="24"/>
        </w:rPr>
        <w:t>Demographic Information:</w:t>
      </w:r>
    </w:p>
    <w:p w14:paraId="7CA844BC" w14:textId="77777777" w:rsidR="00221112" w:rsidRPr="00DE5E47" w:rsidRDefault="00C14051">
      <w:pPr>
        <w:spacing w:line="360" w:lineRule="auto"/>
        <w:jc w:val="both"/>
        <w:rPr>
          <w:rFonts w:cs="Times New Roman"/>
          <w:sz w:val="24"/>
          <w:szCs w:val="24"/>
        </w:rPr>
      </w:pPr>
      <w:r w:rsidRPr="00DE5E47">
        <w:rPr>
          <w:rFonts w:cs="Times New Roman"/>
          <w:sz w:val="24"/>
          <w:szCs w:val="24"/>
        </w:rPr>
        <w:t>What is your Age Group?</w:t>
      </w:r>
    </w:p>
    <w:p w14:paraId="5E61EDAF" w14:textId="77777777" w:rsidR="00221112" w:rsidRPr="00DE5E47" w:rsidRDefault="00C14051">
      <w:pPr>
        <w:pStyle w:val="ListParagraph"/>
        <w:numPr>
          <w:ilvl w:val="0"/>
          <w:numId w:val="9"/>
        </w:numPr>
        <w:spacing w:line="360" w:lineRule="auto"/>
        <w:jc w:val="both"/>
        <w:rPr>
          <w:rFonts w:cs="Times New Roman"/>
          <w:sz w:val="24"/>
          <w:szCs w:val="24"/>
        </w:rPr>
      </w:pPr>
      <w:r w:rsidRPr="00DE5E47">
        <w:rPr>
          <w:rFonts w:cs="Times New Roman"/>
          <w:sz w:val="24"/>
          <w:szCs w:val="24"/>
        </w:rPr>
        <w:t>18 – 35</w:t>
      </w:r>
    </w:p>
    <w:p w14:paraId="6DE8497C" w14:textId="77777777" w:rsidR="00221112" w:rsidRPr="00DE5E47" w:rsidRDefault="00C14051">
      <w:pPr>
        <w:pStyle w:val="ListParagraph"/>
        <w:numPr>
          <w:ilvl w:val="0"/>
          <w:numId w:val="9"/>
        </w:numPr>
        <w:spacing w:line="360" w:lineRule="auto"/>
        <w:jc w:val="both"/>
        <w:rPr>
          <w:rFonts w:cs="Times New Roman"/>
          <w:sz w:val="24"/>
          <w:szCs w:val="24"/>
        </w:rPr>
      </w:pPr>
      <w:r w:rsidRPr="00DE5E47">
        <w:rPr>
          <w:rFonts w:cs="Times New Roman"/>
          <w:sz w:val="24"/>
          <w:szCs w:val="24"/>
        </w:rPr>
        <w:t>36 – 49</w:t>
      </w:r>
    </w:p>
    <w:p w14:paraId="0357FE01" w14:textId="77777777" w:rsidR="00221112" w:rsidRPr="00DE5E47" w:rsidRDefault="00C14051">
      <w:pPr>
        <w:pStyle w:val="ListParagraph"/>
        <w:numPr>
          <w:ilvl w:val="0"/>
          <w:numId w:val="9"/>
        </w:numPr>
        <w:spacing w:line="360" w:lineRule="auto"/>
        <w:jc w:val="both"/>
        <w:rPr>
          <w:rFonts w:cs="Times New Roman"/>
          <w:sz w:val="24"/>
          <w:szCs w:val="24"/>
        </w:rPr>
      </w:pPr>
      <w:r w:rsidRPr="00DE5E47">
        <w:rPr>
          <w:rFonts w:cs="Times New Roman"/>
          <w:sz w:val="24"/>
          <w:szCs w:val="24"/>
        </w:rPr>
        <w:t>50 – 60</w:t>
      </w:r>
    </w:p>
    <w:p w14:paraId="61B82BD3" w14:textId="77777777" w:rsidR="00221112" w:rsidRPr="00DE5E47" w:rsidRDefault="00C14051">
      <w:pPr>
        <w:pStyle w:val="ListParagraph"/>
        <w:numPr>
          <w:ilvl w:val="0"/>
          <w:numId w:val="9"/>
        </w:numPr>
        <w:spacing w:line="360" w:lineRule="auto"/>
        <w:jc w:val="both"/>
        <w:rPr>
          <w:rFonts w:cs="Times New Roman"/>
          <w:sz w:val="24"/>
          <w:szCs w:val="24"/>
        </w:rPr>
      </w:pPr>
      <w:r w:rsidRPr="00DE5E47">
        <w:rPr>
          <w:rFonts w:cs="Times New Roman"/>
          <w:sz w:val="24"/>
          <w:szCs w:val="24"/>
        </w:rPr>
        <w:t>Above 60</w:t>
      </w:r>
    </w:p>
    <w:p w14:paraId="71763815" w14:textId="77777777" w:rsidR="00221112" w:rsidRPr="00DE5E47" w:rsidRDefault="00C14051">
      <w:pPr>
        <w:spacing w:line="360" w:lineRule="auto"/>
        <w:jc w:val="both"/>
        <w:rPr>
          <w:rFonts w:cs="Times New Roman"/>
          <w:sz w:val="24"/>
          <w:szCs w:val="24"/>
        </w:rPr>
      </w:pPr>
      <w:r w:rsidRPr="00DE5E47">
        <w:rPr>
          <w:rFonts w:cs="Times New Roman"/>
          <w:sz w:val="24"/>
          <w:szCs w:val="24"/>
        </w:rPr>
        <w:t>What is your Gender?</w:t>
      </w:r>
    </w:p>
    <w:p w14:paraId="5F527630" w14:textId="77777777" w:rsidR="00221112" w:rsidRPr="00DE5E47" w:rsidRDefault="00C14051">
      <w:pPr>
        <w:spacing w:line="360" w:lineRule="auto"/>
        <w:jc w:val="both"/>
        <w:rPr>
          <w:rFonts w:cs="Times New Roman"/>
          <w:sz w:val="24"/>
          <w:szCs w:val="24"/>
        </w:rPr>
      </w:pPr>
      <w:r w:rsidRPr="00DE5E47">
        <w:rPr>
          <w:rFonts w:cs="Times New Roman"/>
          <w:sz w:val="24"/>
          <w:szCs w:val="24"/>
        </w:rPr>
        <w:t>[1] Male</w:t>
      </w:r>
      <w:r w:rsidRPr="00DE5E47">
        <w:rPr>
          <w:rFonts w:cs="Times New Roman"/>
          <w:sz w:val="24"/>
          <w:szCs w:val="24"/>
        </w:rPr>
        <w:tab/>
        <w:t xml:space="preserve"> [2] Female</w:t>
      </w:r>
    </w:p>
    <w:p w14:paraId="798CF350" w14:textId="77777777" w:rsidR="00221112" w:rsidRPr="00DE5E47" w:rsidRDefault="00C14051">
      <w:pPr>
        <w:spacing w:line="360" w:lineRule="auto"/>
        <w:ind w:left="-720" w:firstLine="720"/>
        <w:jc w:val="both"/>
        <w:rPr>
          <w:rFonts w:cs="Times New Roman"/>
          <w:sz w:val="24"/>
          <w:szCs w:val="24"/>
        </w:rPr>
      </w:pPr>
      <w:r w:rsidRPr="00DE5E47">
        <w:rPr>
          <w:rFonts w:cs="Times New Roman"/>
          <w:sz w:val="24"/>
          <w:szCs w:val="24"/>
        </w:rPr>
        <w:t>Educational Background:</w:t>
      </w:r>
    </w:p>
    <w:p w14:paraId="2F5F4923" w14:textId="77777777" w:rsidR="00221112" w:rsidRPr="00DE5E47" w:rsidRDefault="00C14051">
      <w:pPr>
        <w:spacing w:after="0" w:line="360" w:lineRule="auto"/>
        <w:jc w:val="both"/>
        <w:rPr>
          <w:rFonts w:eastAsia="Calibri" w:cs="Times New Roman"/>
          <w:sz w:val="24"/>
          <w:szCs w:val="24"/>
          <w:lang w:val="en-GB"/>
        </w:rPr>
      </w:pPr>
      <w:r w:rsidRPr="00DE5E47">
        <w:rPr>
          <w:rFonts w:cs="Times New Roman"/>
          <w:sz w:val="24"/>
          <w:szCs w:val="24"/>
        </w:rPr>
        <w:t xml:space="preserve">[1] </w:t>
      </w:r>
      <w:r w:rsidRPr="00DE5E47">
        <w:rPr>
          <w:rFonts w:eastAsia="Calibri" w:cs="Times New Roman"/>
          <w:sz w:val="24"/>
          <w:szCs w:val="24"/>
          <w:lang w:val="en-GB"/>
        </w:rPr>
        <w:t>None</w:t>
      </w:r>
      <w:r w:rsidRPr="00DE5E47">
        <w:rPr>
          <w:rFonts w:eastAsia="Calibri" w:cs="Times New Roman"/>
          <w:sz w:val="24"/>
          <w:szCs w:val="24"/>
          <w:lang w:val="en-GB"/>
        </w:rPr>
        <w:tab/>
        <w:t xml:space="preserve"> </w:t>
      </w:r>
      <w:r w:rsidRPr="00DE5E47">
        <w:rPr>
          <w:rFonts w:cs="Times New Roman"/>
          <w:sz w:val="24"/>
          <w:szCs w:val="24"/>
        </w:rPr>
        <w:t xml:space="preserve">[2] </w:t>
      </w:r>
      <w:r w:rsidRPr="00DE5E47">
        <w:rPr>
          <w:rFonts w:eastAsia="Calibri" w:cs="Times New Roman"/>
          <w:sz w:val="24"/>
          <w:szCs w:val="24"/>
          <w:lang w:val="en-GB"/>
        </w:rPr>
        <w:t xml:space="preserve">Primary </w:t>
      </w:r>
      <w:r w:rsidRPr="00DE5E47">
        <w:rPr>
          <w:rFonts w:cs="Times New Roman"/>
          <w:sz w:val="24"/>
          <w:szCs w:val="24"/>
        </w:rPr>
        <w:t xml:space="preserve">[3] </w:t>
      </w:r>
      <w:r w:rsidRPr="00DE5E47">
        <w:rPr>
          <w:rFonts w:eastAsia="Calibri" w:cs="Times New Roman"/>
          <w:sz w:val="24"/>
          <w:szCs w:val="24"/>
          <w:lang w:val="en-GB"/>
        </w:rPr>
        <w:t xml:space="preserve">Secondary </w:t>
      </w:r>
      <w:r w:rsidRPr="00DE5E47">
        <w:rPr>
          <w:rFonts w:cs="Times New Roman"/>
          <w:sz w:val="24"/>
          <w:szCs w:val="24"/>
        </w:rPr>
        <w:t xml:space="preserve">[4] </w:t>
      </w:r>
      <w:r w:rsidRPr="00DE5E47">
        <w:rPr>
          <w:rFonts w:eastAsia="Calibri" w:cs="Times New Roman"/>
          <w:sz w:val="24"/>
          <w:szCs w:val="24"/>
          <w:lang w:val="en-GB"/>
        </w:rPr>
        <w:t xml:space="preserve">Certificate </w:t>
      </w:r>
      <w:r w:rsidRPr="00DE5E47">
        <w:rPr>
          <w:rFonts w:cs="Times New Roman"/>
          <w:sz w:val="24"/>
          <w:szCs w:val="24"/>
        </w:rPr>
        <w:t xml:space="preserve">[5] </w:t>
      </w:r>
      <w:r w:rsidRPr="00DE5E47">
        <w:rPr>
          <w:rFonts w:eastAsia="Calibri" w:cs="Times New Roman"/>
          <w:sz w:val="24"/>
          <w:szCs w:val="24"/>
          <w:lang w:val="en-GB"/>
        </w:rPr>
        <w:t xml:space="preserve">Diploma </w:t>
      </w:r>
      <w:r w:rsidRPr="00DE5E47">
        <w:rPr>
          <w:rFonts w:cs="Times New Roman"/>
          <w:sz w:val="24"/>
          <w:szCs w:val="24"/>
        </w:rPr>
        <w:t xml:space="preserve">[6] </w:t>
      </w:r>
      <w:r w:rsidRPr="00DE5E47">
        <w:rPr>
          <w:rFonts w:eastAsia="Calibri" w:cs="Times New Roman"/>
          <w:sz w:val="24"/>
          <w:szCs w:val="24"/>
          <w:lang w:val="en-GB"/>
        </w:rPr>
        <w:t xml:space="preserve">Undergraduate </w:t>
      </w:r>
      <w:r w:rsidRPr="00DE5E47">
        <w:rPr>
          <w:rFonts w:cs="Times New Roman"/>
          <w:sz w:val="24"/>
          <w:szCs w:val="24"/>
        </w:rPr>
        <w:t xml:space="preserve">[7] </w:t>
      </w:r>
      <w:r w:rsidRPr="00DE5E47">
        <w:rPr>
          <w:rFonts w:eastAsia="Calibri" w:cs="Times New Roman"/>
          <w:sz w:val="24"/>
          <w:szCs w:val="24"/>
          <w:lang w:val="en-GB"/>
        </w:rPr>
        <w:t>Postgraduate</w:t>
      </w:r>
    </w:p>
    <w:p w14:paraId="75858DF7" w14:textId="77777777" w:rsidR="00221112" w:rsidRPr="00DE5E47" w:rsidRDefault="00C14051">
      <w:pPr>
        <w:spacing w:line="360" w:lineRule="auto"/>
        <w:jc w:val="both"/>
        <w:rPr>
          <w:rFonts w:eastAsia="Calibri" w:cs="Times New Roman"/>
          <w:sz w:val="24"/>
          <w:szCs w:val="24"/>
          <w:lang w:val="en-GB"/>
        </w:rPr>
      </w:pPr>
      <w:r w:rsidRPr="00DE5E47">
        <w:rPr>
          <w:rFonts w:cs="Times New Roman"/>
          <w:sz w:val="24"/>
          <w:szCs w:val="24"/>
        </w:rPr>
        <w:t>What is your marital status?</w:t>
      </w:r>
      <w:r w:rsidRPr="00DE5E47">
        <w:rPr>
          <w:rFonts w:eastAsia="Calibri" w:cs="Times New Roman"/>
          <w:sz w:val="24"/>
          <w:szCs w:val="24"/>
          <w:lang w:val="en-GB"/>
        </w:rPr>
        <w:t xml:space="preserve"> </w:t>
      </w:r>
    </w:p>
    <w:p w14:paraId="1FA43D29" w14:textId="77777777" w:rsidR="00221112" w:rsidRPr="00DE5E47" w:rsidRDefault="00C14051">
      <w:pPr>
        <w:pStyle w:val="ListParagraph"/>
        <w:numPr>
          <w:ilvl w:val="0"/>
          <w:numId w:val="10"/>
        </w:numPr>
        <w:spacing w:line="360" w:lineRule="auto"/>
        <w:jc w:val="both"/>
        <w:rPr>
          <w:rFonts w:eastAsia="Calibri" w:cs="Times New Roman"/>
          <w:sz w:val="24"/>
          <w:szCs w:val="24"/>
          <w:lang w:val="en-GB"/>
        </w:rPr>
      </w:pPr>
      <w:r w:rsidRPr="00DE5E47">
        <w:rPr>
          <w:rFonts w:eastAsia="Calibri" w:cs="Times New Roman"/>
          <w:sz w:val="24"/>
          <w:szCs w:val="24"/>
          <w:lang w:val="en-GB"/>
        </w:rPr>
        <w:t>single</w:t>
      </w:r>
    </w:p>
    <w:p w14:paraId="7ACB0E41" w14:textId="77777777" w:rsidR="00221112" w:rsidRPr="00DE5E47" w:rsidRDefault="00C14051">
      <w:pPr>
        <w:pStyle w:val="ListParagraph"/>
        <w:numPr>
          <w:ilvl w:val="0"/>
          <w:numId w:val="10"/>
        </w:numPr>
        <w:spacing w:line="360" w:lineRule="auto"/>
        <w:jc w:val="both"/>
        <w:rPr>
          <w:rFonts w:cs="Times New Roman"/>
          <w:sz w:val="24"/>
          <w:szCs w:val="24"/>
        </w:rPr>
      </w:pPr>
      <w:r w:rsidRPr="00DE5E47">
        <w:rPr>
          <w:rFonts w:cs="Times New Roman"/>
          <w:sz w:val="24"/>
          <w:szCs w:val="24"/>
        </w:rPr>
        <w:t>married</w:t>
      </w:r>
    </w:p>
    <w:p w14:paraId="5AEED4F0" w14:textId="77777777" w:rsidR="00221112" w:rsidRPr="00DE5E47" w:rsidRDefault="00C14051">
      <w:pPr>
        <w:pStyle w:val="ListParagraph"/>
        <w:numPr>
          <w:ilvl w:val="0"/>
          <w:numId w:val="10"/>
        </w:numPr>
        <w:spacing w:line="360" w:lineRule="auto"/>
        <w:jc w:val="both"/>
        <w:rPr>
          <w:rFonts w:cs="Times New Roman"/>
          <w:sz w:val="24"/>
          <w:szCs w:val="24"/>
        </w:rPr>
      </w:pPr>
      <w:r w:rsidRPr="00DE5E47">
        <w:rPr>
          <w:rFonts w:cs="Times New Roman"/>
          <w:sz w:val="24"/>
          <w:szCs w:val="24"/>
        </w:rPr>
        <w:t>Widowed</w:t>
      </w:r>
    </w:p>
    <w:p w14:paraId="176BE8CF" w14:textId="77777777" w:rsidR="00221112" w:rsidRPr="00DE5E47" w:rsidRDefault="00C14051">
      <w:pPr>
        <w:pStyle w:val="ListParagraph"/>
        <w:numPr>
          <w:ilvl w:val="0"/>
          <w:numId w:val="10"/>
        </w:numPr>
        <w:spacing w:line="360" w:lineRule="auto"/>
        <w:jc w:val="both"/>
        <w:rPr>
          <w:rFonts w:cs="Times New Roman"/>
          <w:sz w:val="24"/>
          <w:szCs w:val="24"/>
        </w:rPr>
      </w:pPr>
      <w:r w:rsidRPr="00DE5E47">
        <w:rPr>
          <w:rFonts w:cs="Times New Roman"/>
          <w:sz w:val="24"/>
          <w:szCs w:val="24"/>
        </w:rPr>
        <w:t>Separated/Divorced</w:t>
      </w:r>
    </w:p>
    <w:p w14:paraId="21CF1D13" w14:textId="77777777" w:rsidR="00221112" w:rsidRPr="00DE5E47" w:rsidRDefault="00C14051">
      <w:pPr>
        <w:tabs>
          <w:tab w:val="left" w:pos="0"/>
          <w:tab w:val="decimal" w:pos="1152"/>
          <w:tab w:val="left" w:pos="2160"/>
          <w:tab w:val="left" w:pos="2880"/>
        </w:tabs>
        <w:spacing w:after="0" w:line="360" w:lineRule="auto"/>
        <w:jc w:val="both"/>
        <w:rPr>
          <w:rFonts w:eastAsia="Calibri" w:cs="Times New Roman"/>
          <w:sz w:val="24"/>
          <w:szCs w:val="24"/>
          <w:lang w:val="en-GB"/>
        </w:rPr>
      </w:pPr>
      <w:r w:rsidRPr="00DE5E47">
        <w:rPr>
          <w:rFonts w:cs="Times New Roman"/>
          <w:sz w:val="24"/>
          <w:szCs w:val="24"/>
        </w:rPr>
        <w:t xml:space="preserve">[1] </w:t>
      </w:r>
      <w:r w:rsidRPr="00DE5E47">
        <w:rPr>
          <w:rFonts w:eastAsia="Calibri" w:cs="Times New Roman"/>
          <w:sz w:val="24"/>
          <w:szCs w:val="24"/>
          <w:lang w:val="en-GB"/>
        </w:rPr>
        <w:t xml:space="preserve">Single </w:t>
      </w:r>
      <w:r w:rsidRPr="00DE5E47">
        <w:rPr>
          <w:rFonts w:cs="Times New Roman"/>
          <w:sz w:val="24"/>
          <w:szCs w:val="24"/>
        </w:rPr>
        <w:t xml:space="preserve">[2] </w:t>
      </w:r>
      <w:r w:rsidRPr="00DE5E47">
        <w:rPr>
          <w:rFonts w:eastAsia="Calibri" w:cs="Times New Roman"/>
          <w:sz w:val="24"/>
          <w:szCs w:val="24"/>
          <w:lang w:val="en-GB"/>
        </w:rPr>
        <w:t xml:space="preserve">Married </w:t>
      </w:r>
      <w:r w:rsidRPr="00DE5E47">
        <w:rPr>
          <w:rFonts w:cs="Times New Roman"/>
          <w:sz w:val="24"/>
          <w:szCs w:val="24"/>
        </w:rPr>
        <w:t xml:space="preserve">[3] </w:t>
      </w:r>
      <w:r w:rsidRPr="00DE5E47">
        <w:rPr>
          <w:rFonts w:eastAsia="Calibri" w:cs="Times New Roman"/>
          <w:sz w:val="24"/>
          <w:szCs w:val="24"/>
          <w:lang w:val="en-GB"/>
        </w:rPr>
        <w:t xml:space="preserve">Widowed </w:t>
      </w:r>
      <w:r w:rsidRPr="00DE5E47">
        <w:rPr>
          <w:rFonts w:cs="Times New Roman"/>
          <w:sz w:val="24"/>
          <w:szCs w:val="24"/>
        </w:rPr>
        <w:t xml:space="preserve">[4] </w:t>
      </w:r>
      <w:r w:rsidRPr="00DE5E47">
        <w:rPr>
          <w:rFonts w:eastAsia="Calibri" w:cs="Times New Roman"/>
          <w:sz w:val="24"/>
          <w:szCs w:val="24"/>
          <w:lang w:val="en-GB"/>
        </w:rPr>
        <w:t>Separated/Divorced</w:t>
      </w:r>
    </w:p>
    <w:p w14:paraId="219B2D82" w14:textId="77777777" w:rsidR="00221112" w:rsidRPr="00DE5E47" w:rsidRDefault="00C14051">
      <w:pPr>
        <w:tabs>
          <w:tab w:val="left" w:pos="0"/>
          <w:tab w:val="decimal" w:pos="1152"/>
          <w:tab w:val="left" w:pos="2160"/>
          <w:tab w:val="left" w:pos="2880"/>
        </w:tabs>
        <w:spacing w:after="0" w:line="360" w:lineRule="auto"/>
        <w:jc w:val="both"/>
        <w:rPr>
          <w:rFonts w:eastAsia="Calibri" w:cs="Times New Roman"/>
          <w:sz w:val="24"/>
          <w:szCs w:val="24"/>
          <w:lang w:val="en-GB"/>
        </w:rPr>
      </w:pPr>
      <w:r w:rsidRPr="00DE5E47">
        <w:rPr>
          <w:rFonts w:eastAsia="Calibri" w:cs="Times New Roman"/>
          <w:sz w:val="24"/>
          <w:szCs w:val="24"/>
          <w:lang w:val="en-GB"/>
        </w:rPr>
        <w:t>What is the size of the household?</w:t>
      </w:r>
    </w:p>
    <w:p w14:paraId="592D9244" w14:textId="77777777" w:rsidR="00221112" w:rsidRPr="00DE5E47" w:rsidRDefault="00C14051">
      <w:pPr>
        <w:spacing w:line="360" w:lineRule="auto"/>
        <w:ind w:left="-720" w:firstLine="720"/>
        <w:jc w:val="both"/>
        <w:rPr>
          <w:rFonts w:cs="Times New Roman"/>
          <w:sz w:val="24"/>
          <w:szCs w:val="24"/>
        </w:rPr>
      </w:pPr>
      <w:r w:rsidRPr="00DE5E47">
        <w:rPr>
          <w:rFonts w:cs="Times New Roman"/>
          <w:sz w:val="24"/>
          <w:szCs w:val="24"/>
        </w:rPr>
        <w:t>What is your stakeholder type?</w:t>
      </w:r>
    </w:p>
    <w:p w14:paraId="445123D4" w14:textId="77777777" w:rsidR="00221112" w:rsidRPr="00DE5E47" w:rsidRDefault="00C14051">
      <w:pPr>
        <w:spacing w:line="360" w:lineRule="auto"/>
        <w:jc w:val="both"/>
        <w:rPr>
          <w:rFonts w:cs="Times New Roman"/>
          <w:sz w:val="24"/>
          <w:szCs w:val="24"/>
        </w:rPr>
      </w:pPr>
      <w:r w:rsidRPr="00DE5E47">
        <w:rPr>
          <w:rFonts w:cs="Times New Roman"/>
          <w:sz w:val="24"/>
          <w:szCs w:val="24"/>
        </w:rPr>
        <w:t>[1] Fisher [2] Trader [3] Exporter [4] hotel (5) Other (Specify)</w:t>
      </w:r>
    </w:p>
    <w:p w14:paraId="77D84FC8" w14:textId="77777777" w:rsidR="00221112" w:rsidRPr="00DE5E47" w:rsidRDefault="00221112">
      <w:pPr>
        <w:spacing w:line="360" w:lineRule="auto"/>
        <w:ind w:left="-720" w:firstLine="720"/>
        <w:jc w:val="both"/>
        <w:rPr>
          <w:rFonts w:cs="Times New Roman"/>
          <w:sz w:val="24"/>
          <w:szCs w:val="24"/>
        </w:rPr>
      </w:pPr>
    </w:p>
    <w:p w14:paraId="4079AEB5" w14:textId="77777777" w:rsidR="00221112" w:rsidRPr="00DE5E47" w:rsidRDefault="00C14051">
      <w:pPr>
        <w:spacing w:after="0" w:line="360" w:lineRule="auto"/>
        <w:jc w:val="both"/>
        <w:rPr>
          <w:rFonts w:eastAsia="Calibri" w:cs="Times New Roman"/>
          <w:sz w:val="24"/>
          <w:szCs w:val="24"/>
          <w:lang w:val="en-GB"/>
        </w:rPr>
      </w:pPr>
      <w:r w:rsidRPr="00DE5E47">
        <w:rPr>
          <w:rFonts w:cs="Times New Roman"/>
          <w:sz w:val="24"/>
          <w:szCs w:val="24"/>
        </w:rPr>
        <w:lastRenderedPageBreak/>
        <w:t xml:space="preserve">[1] </w:t>
      </w:r>
      <w:r w:rsidRPr="00DE5E47">
        <w:rPr>
          <w:rFonts w:eastAsia="Calibri" w:cs="Times New Roman"/>
          <w:sz w:val="24"/>
          <w:szCs w:val="24"/>
          <w:lang w:val="en-GB"/>
        </w:rPr>
        <w:t xml:space="preserve">Fisher </w:t>
      </w:r>
      <w:r w:rsidRPr="00DE5E47">
        <w:rPr>
          <w:rFonts w:cs="Times New Roman"/>
          <w:sz w:val="24"/>
          <w:szCs w:val="24"/>
        </w:rPr>
        <w:t xml:space="preserve">[2] </w:t>
      </w:r>
      <w:r w:rsidRPr="00DE5E47">
        <w:rPr>
          <w:rFonts w:eastAsia="Calibri" w:cs="Times New Roman"/>
          <w:sz w:val="24"/>
          <w:szCs w:val="24"/>
          <w:lang w:val="en-GB"/>
        </w:rPr>
        <w:t xml:space="preserve">Middleman </w:t>
      </w:r>
      <w:r w:rsidRPr="00DE5E47">
        <w:rPr>
          <w:rFonts w:cs="Times New Roman"/>
          <w:sz w:val="24"/>
          <w:szCs w:val="24"/>
        </w:rPr>
        <w:t xml:space="preserve">[3] </w:t>
      </w:r>
      <w:r w:rsidRPr="00DE5E47">
        <w:rPr>
          <w:rFonts w:eastAsia="Calibri" w:cs="Times New Roman"/>
          <w:sz w:val="24"/>
          <w:szCs w:val="24"/>
          <w:lang w:val="en-GB"/>
        </w:rPr>
        <w:t xml:space="preserve">Hotelier </w:t>
      </w:r>
      <w:r w:rsidRPr="00DE5E47">
        <w:rPr>
          <w:rFonts w:cs="Times New Roman"/>
          <w:sz w:val="24"/>
          <w:szCs w:val="24"/>
        </w:rPr>
        <w:t xml:space="preserve">[4] </w:t>
      </w:r>
      <w:r w:rsidRPr="00DE5E47">
        <w:rPr>
          <w:rFonts w:eastAsia="Calibri" w:cs="Times New Roman"/>
          <w:sz w:val="24"/>
          <w:szCs w:val="24"/>
          <w:lang w:val="en-GB"/>
        </w:rPr>
        <w:t xml:space="preserve">Transporter </w:t>
      </w:r>
      <w:r w:rsidRPr="00DE5E47">
        <w:rPr>
          <w:rFonts w:cs="Times New Roman"/>
          <w:sz w:val="24"/>
          <w:szCs w:val="24"/>
        </w:rPr>
        <w:t xml:space="preserve">[5] </w:t>
      </w:r>
      <w:r w:rsidRPr="00DE5E47">
        <w:rPr>
          <w:rFonts w:eastAsia="Calibri" w:cs="Times New Roman"/>
          <w:sz w:val="24"/>
          <w:szCs w:val="24"/>
          <w:lang w:val="en-GB"/>
        </w:rPr>
        <w:t xml:space="preserve">Exporter </w:t>
      </w:r>
      <w:r w:rsidRPr="00DE5E47">
        <w:rPr>
          <w:rFonts w:cs="Times New Roman"/>
          <w:sz w:val="24"/>
          <w:szCs w:val="24"/>
        </w:rPr>
        <w:t xml:space="preserve">[5] </w:t>
      </w:r>
      <w:r w:rsidRPr="00DE5E47">
        <w:rPr>
          <w:rFonts w:eastAsia="Calibri" w:cs="Times New Roman"/>
          <w:sz w:val="24"/>
          <w:szCs w:val="24"/>
          <w:lang w:val="en-GB"/>
        </w:rPr>
        <w:t xml:space="preserve">Deport owner </w:t>
      </w:r>
      <w:r w:rsidRPr="00DE5E47">
        <w:rPr>
          <w:rFonts w:cs="Times New Roman"/>
          <w:sz w:val="24"/>
          <w:szCs w:val="24"/>
        </w:rPr>
        <w:t xml:space="preserve">[6 </w:t>
      </w:r>
      <w:r w:rsidRPr="00DE5E47">
        <w:rPr>
          <w:rFonts w:eastAsia="Calibri" w:cs="Times New Roman"/>
          <w:sz w:val="24"/>
          <w:szCs w:val="24"/>
          <w:lang w:val="en-GB"/>
        </w:rPr>
        <w:t>Other (specify)</w:t>
      </w:r>
    </w:p>
    <w:p w14:paraId="173023C2" w14:textId="77777777" w:rsidR="00221112" w:rsidRPr="00DE5E47" w:rsidRDefault="00C14051">
      <w:pPr>
        <w:spacing w:line="360" w:lineRule="auto"/>
        <w:ind w:left="-720" w:firstLine="720"/>
        <w:jc w:val="both"/>
        <w:rPr>
          <w:rFonts w:cs="Times New Roman"/>
          <w:sz w:val="24"/>
          <w:szCs w:val="24"/>
        </w:rPr>
      </w:pPr>
      <w:r w:rsidRPr="00DE5E47">
        <w:rPr>
          <w:rFonts w:cs="Times New Roman"/>
          <w:sz w:val="24"/>
          <w:szCs w:val="24"/>
        </w:rPr>
        <w:t>How many Years of Experience do you have in the Mud Crab Fishery?</w:t>
      </w:r>
    </w:p>
    <w:p w14:paraId="2CD88053" w14:textId="77777777" w:rsidR="00221112" w:rsidRPr="00DE5E47" w:rsidRDefault="00C14051">
      <w:pPr>
        <w:spacing w:line="360" w:lineRule="auto"/>
        <w:jc w:val="both"/>
        <w:rPr>
          <w:rFonts w:cs="Times New Roman"/>
          <w:sz w:val="24"/>
          <w:szCs w:val="24"/>
        </w:rPr>
      </w:pPr>
      <w:r w:rsidRPr="00DE5E47">
        <w:rPr>
          <w:rFonts w:cs="Times New Roman"/>
          <w:sz w:val="24"/>
          <w:szCs w:val="24"/>
        </w:rPr>
        <w:t>[1] Less than 5 years [2] 5-10 years [3] 11-20 years [2] Over 20 years</w:t>
      </w:r>
    </w:p>
    <w:p w14:paraId="08BFC87F" w14:textId="77777777" w:rsidR="00221112" w:rsidRPr="00DE5E47" w:rsidRDefault="00221112">
      <w:pPr>
        <w:tabs>
          <w:tab w:val="left" w:pos="0"/>
          <w:tab w:val="decimal" w:pos="1152"/>
          <w:tab w:val="left" w:pos="2160"/>
          <w:tab w:val="left" w:pos="2880"/>
        </w:tabs>
        <w:spacing w:after="0" w:line="360" w:lineRule="auto"/>
        <w:jc w:val="both"/>
        <w:rPr>
          <w:rFonts w:eastAsia="Calibri" w:cs="Times New Roman"/>
          <w:sz w:val="24"/>
          <w:szCs w:val="24"/>
          <w:lang w:val="en-GB"/>
        </w:rPr>
      </w:pPr>
    </w:p>
    <w:p w14:paraId="407B6988" w14:textId="77777777" w:rsidR="00221112" w:rsidRPr="00DE5E47" w:rsidRDefault="00C14051">
      <w:pPr>
        <w:spacing w:line="360" w:lineRule="auto"/>
        <w:jc w:val="both"/>
        <w:rPr>
          <w:rFonts w:cs="Times New Roman"/>
          <w:sz w:val="24"/>
          <w:szCs w:val="24"/>
        </w:rPr>
      </w:pPr>
      <w:r w:rsidRPr="00DE5E47">
        <w:rPr>
          <w:rFonts w:cs="Times New Roman"/>
          <w:b/>
          <w:bCs/>
          <w:sz w:val="24"/>
          <w:szCs w:val="24"/>
        </w:rPr>
        <w:t>Role in the Mud Crab Fishery:</w:t>
      </w:r>
      <w:r w:rsidRPr="00DE5E47">
        <w:rPr>
          <w:rFonts w:cs="Times New Roman"/>
          <w:sz w:val="24"/>
          <w:szCs w:val="24"/>
        </w:rPr>
        <w:t xml:space="preserve"> </w:t>
      </w:r>
    </w:p>
    <w:p w14:paraId="598C657D" w14:textId="77777777" w:rsidR="00221112" w:rsidRPr="00DE5E47" w:rsidRDefault="00C14051">
      <w:pPr>
        <w:spacing w:line="360" w:lineRule="auto"/>
        <w:jc w:val="both"/>
        <w:rPr>
          <w:rFonts w:cs="Times New Roman"/>
          <w:sz w:val="24"/>
          <w:szCs w:val="24"/>
        </w:rPr>
      </w:pPr>
      <w:r w:rsidRPr="00DE5E47">
        <w:rPr>
          <w:rFonts w:cs="Times New Roman"/>
          <w:sz w:val="24"/>
          <w:szCs w:val="24"/>
        </w:rPr>
        <w:t>What is your primary role in the mud crab fishery?</w:t>
      </w:r>
    </w:p>
    <w:p w14:paraId="7A1E5981" w14:textId="77777777" w:rsidR="00221112" w:rsidRPr="00DE5E47" w:rsidRDefault="00C14051">
      <w:pPr>
        <w:spacing w:line="360" w:lineRule="auto"/>
        <w:jc w:val="both"/>
        <w:rPr>
          <w:rFonts w:cs="Times New Roman"/>
          <w:sz w:val="24"/>
          <w:szCs w:val="24"/>
        </w:rPr>
      </w:pPr>
      <w:r w:rsidRPr="00DE5E47">
        <w:rPr>
          <w:rFonts w:cs="Times New Roman"/>
          <w:sz w:val="24"/>
          <w:szCs w:val="24"/>
        </w:rPr>
        <w:t>[1] Fisher [2] Trader [3] Exporter [4] hotel (5) Other (Specify)</w:t>
      </w:r>
    </w:p>
    <w:p w14:paraId="795C95AF" w14:textId="77777777" w:rsidR="00221112" w:rsidRPr="00DE5E47" w:rsidRDefault="00221112">
      <w:pPr>
        <w:spacing w:line="360" w:lineRule="auto"/>
        <w:jc w:val="both"/>
        <w:rPr>
          <w:rFonts w:cs="Times New Roman"/>
          <w:sz w:val="24"/>
          <w:szCs w:val="24"/>
        </w:rPr>
      </w:pPr>
    </w:p>
    <w:p w14:paraId="6FE74319" w14:textId="77777777" w:rsidR="00221112" w:rsidRPr="00DE5E47" w:rsidRDefault="00C14051">
      <w:pPr>
        <w:spacing w:line="360" w:lineRule="auto"/>
        <w:jc w:val="both"/>
        <w:rPr>
          <w:rFonts w:cs="Times New Roman"/>
          <w:sz w:val="24"/>
          <w:szCs w:val="24"/>
        </w:rPr>
      </w:pPr>
      <w:r w:rsidRPr="00DE5E47">
        <w:rPr>
          <w:rFonts w:cs="Times New Roman"/>
          <w:sz w:val="24"/>
          <w:szCs w:val="24"/>
        </w:rPr>
        <w:t>How do you acquire mud crabs?</w:t>
      </w:r>
    </w:p>
    <w:p w14:paraId="1605FEE9" w14:textId="77777777" w:rsidR="00221112" w:rsidRPr="00DE5E47" w:rsidRDefault="00C14051">
      <w:pPr>
        <w:spacing w:line="360" w:lineRule="auto"/>
        <w:jc w:val="both"/>
        <w:rPr>
          <w:rFonts w:cs="Times New Roman"/>
          <w:sz w:val="24"/>
          <w:szCs w:val="24"/>
        </w:rPr>
      </w:pPr>
      <w:r w:rsidRPr="00DE5E47">
        <w:rPr>
          <w:rFonts w:cs="Times New Roman"/>
          <w:sz w:val="24"/>
          <w:szCs w:val="24"/>
        </w:rPr>
        <w:t>[1] Catching [2] Purchasing [3] Both</w:t>
      </w:r>
    </w:p>
    <w:p w14:paraId="7F10E89D" w14:textId="77777777" w:rsidR="00221112" w:rsidRPr="00DE5E47" w:rsidRDefault="00C14051">
      <w:pPr>
        <w:spacing w:line="360" w:lineRule="auto"/>
        <w:jc w:val="both"/>
        <w:rPr>
          <w:rFonts w:cs="Times New Roman"/>
          <w:sz w:val="24"/>
          <w:szCs w:val="24"/>
        </w:rPr>
      </w:pPr>
      <w:r w:rsidRPr="00DE5E47">
        <w:rPr>
          <w:rFonts w:cs="Times New Roman"/>
          <w:sz w:val="24"/>
          <w:szCs w:val="24"/>
        </w:rPr>
        <w:t>Do you engage in crabbing, processing, marketing, or other activities related to mud crab fishery?</w:t>
      </w:r>
    </w:p>
    <w:p w14:paraId="46B8C32D" w14:textId="77777777" w:rsidR="00221112" w:rsidRPr="00DE5E47" w:rsidRDefault="00C14051">
      <w:pPr>
        <w:spacing w:line="360" w:lineRule="auto"/>
        <w:jc w:val="both"/>
        <w:rPr>
          <w:rFonts w:cs="Times New Roman"/>
          <w:sz w:val="24"/>
          <w:szCs w:val="24"/>
        </w:rPr>
      </w:pPr>
      <w:r w:rsidRPr="00DE5E47">
        <w:rPr>
          <w:rFonts w:cs="Times New Roman"/>
          <w:sz w:val="24"/>
          <w:szCs w:val="24"/>
        </w:rPr>
        <w:t>[1] Yes [2] No</w:t>
      </w:r>
    </w:p>
    <w:p w14:paraId="39245DCE" w14:textId="77777777" w:rsidR="00221112" w:rsidRPr="00DE5E47" w:rsidRDefault="00C14051">
      <w:pPr>
        <w:spacing w:line="360" w:lineRule="auto"/>
        <w:jc w:val="both"/>
        <w:rPr>
          <w:rFonts w:cs="Times New Roman"/>
          <w:sz w:val="24"/>
          <w:szCs w:val="24"/>
        </w:rPr>
      </w:pPr>
      <w:r w:rsidRPr="00DE5E47">
        <w:rPr>
          <w:rFonts w:cs="Times New Roman"/>
          <w:b/>
          <w:bCs/>
          <w:sz w:val="24"/>
          <w:szCs w:val="24"/>
        </w:rPr>
        <w:t>Ownership and Control:</w:t>
      </w:r>
      <w:r w:rsidRPr="00DE5E47">
        <w:rPr>
          <w:rFonts w:cs="Times New Roman"/>
          <w:sz w:val="24"/>
          <w:szCs w:val="24"/>
        </w:rPr>
        <w:t xml:space="preserve"> </w:t>
      </w:r>
    </w:p>
    <w:p w14:paraId="432F741D" w14:textId="77777777" w:rsidR="00221112" w:rsidRPr="00DE5E47" w:rsidRDefault="00C14051">
      <w:pPr>
        <w:spacing w:line="360" w:lineRule="auto"/>
        <w:jc w:val="both"/>
        <w:rPr>
          <w:rFonts w:cs="Times New Roman"/>
          <w:sz w:val="24"/>
          <w:szCs w:val="24"/>
        </w:rPr>
      </w:pPr>
      <w:r w:rsidRPr="00DE5E47">
        <w:rPr>
          <w:rFonts w:cs="Times New Roman"/>
          <w:sz w:val="24"/>
          <w:szCs w:val="24"/>
        </w:rPr>
        <w:t>Do you own or manage any mud crab fishing operations or businesses?</w:t>
      </w:r>
    </w:p>
    <w:p w14:paraId="0E8652EE" w14:textId="77777777" w:rsidR="00221112" w:rsidRPr="00DE5E47" w:rsidRDefault="00C14051">
      <w:pPr>
        <w:spacing w:line="360" w:lineRule="auto"/>
        <w:jc w:val="both"/>
        <w:rPr>
          <w:rFonts w:cs="Times New Roman"/>
          <w:sz w:val="24"/>
          <w:szCs w:val="24"/>
        </w:rPr>
      </w:pPr>
      <w:r w:rsidRPr="00DE5E47">
        <w:rPr>
          <w:rFonts w:cs="Times New Roman"/>
          <w:sz w:val="24"/>
          <w:szCs w:val="24"/>
        </w:rPr>
        <w:t>[1] Yes           [2] No</w:t>
      </w:r>
    </w:p>
    <w:p w14:paraId="5228387F" w14:textId="77777777" w:rsidR="00221112" w:rsidRPr="00DE5E47" w:rsidRDefault="00C14051">
      <w:pPr>
        <w:spacing w:line="360" w:lineRule="auto"/>
        <w:jc w:val="both"/>
        <w:rPr>
          <w:rFonts w:cs="Times New Roman"/>
          <w:sz w:val="24"/>
          <w:szCs w:val="24"/>
        </w:rPr>
      </w:pPr>
      <w:r w:rsidRPr="00DE5E47">
        <w:rPr>
          <w:rFonts w:cs="Times New Roman"/>
          <w:sz w:val="24"/>
          <w:szCs w:val="24"/>
        </w:rPr>
        <w:t>If yes, what is the scale of your operations (small-scale, medium-scale, large-scale)?</w:t>
      </w:r>
    </w:p>
    <w:p w14:paraId="6C0C3747" w14:textId="77777777" w:rsidR="00221112" w:rsidRPr="00DE5E47" w:rsidRDefault="00C14051">
      <w:pPr>
        <w:spacing w:line="360" w:lineRule="auto"/>
        <w:jc w:val="both"/>
        <w:rPr>
          <w:rFonts w:cs="Times New Roman"/>
          <w:sz w:val="24"/>
          <w:szCs w:val="24"/>
        </w:rPr>
      </w:pPr>
      <w:r w:rsidRPr="00DE5E47">
        <w:rPr>
          <w:rFonts w:cs="Times New Roman"/>
          <w:sz w:val="24"/>
          <w:szCs w:val="24"/>
        </w:rPr>
        <w:t>[1] Small-scale</w:t>
      </w:r>
      <w:r w:rsidRPr="00DE5E47">
        <w:rPr>
          <w:rFonts w:cs="Times New Roman"/>
          <w:sz w:val="24"/>
          <w:szCs w:val="24"/>
        </w:rPr>
        <w:tab/>
      </w:r>
      <w:r w:rsidRPr="00DE5E47">
        <w:rPr>
          <w:rFonts w:cs="Times New Roman"/>
          <w:sz w:val="24"/>
          <w:szCs w:val="24"/>
        </w:rPr>
        <w:tab/>
        <w:t>[2] Medium-scale</w:t>
      </w:r>
      <w:r w:rsidRPr="00DE5E47">
        <w:rPr>
          <w:rFonts w:cs="Times New Roman"/>
          <w:sz w:val="24"/>
          <w:szCs w:val="24"/>
        </w:rPr>
        <w:tab/>
      </w:r>
      <w:r w:rsidRPr="00DE5E47">
        <w:rPr>
          <w:rFonts w:cs="Times New Roman"/>
          <w:sz w:val="24"/>
          <w:szCs w:val="24"/>
        </w:rPr>
        <w:tab/>
        <w:t>[3] Large-scale</w:t>
      </w:r>
    </w:p>
    <w:p w14:paraId="2BB18226" w14:textId="77777777" w:rsidR="00221112" w:rsidRPr="00DE5E47" w:rsidRDefault="00C14051">
      <w:pPr>
        <w:spacing w:line="360" w:lineRule="auto"/>
        <w:jc w:val="both"/>
        <w:rPr>
          <w:rFonts w:cs="Times New Roman"/>
          <w:sz w:val="24"/>
          <w:szCs w:val="24"/>
        </w:rPr>
      </w:pPr>
      <w:r w:rsidRPr="00DE5E47">
        <w:rPr>
          <w:rFonts w:cs="Times New Roman"/>
          <w:sz w:val="24"/>
          <w:szCs w:val="24"/>
        </w:rPr>
        <w:t>Are you part of any cooperative or association related to mud crab fishery?</w:t>
      </w:r>
    </w:p>
    <w:p w14:paraId="53DAC03F"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[2] No</w:t>
      </w:r>
    </w:p>
    <w:p w14:paraId="0A0E25EE" w14:textId="77777777" w:rsidR="00221112" w:rsidRPr="00DE5E47" w:rsidRDefault="00C14051">
      <w:pPr>
        <w:spacing w:line="360" w:lineRule="auto"/>
        <w:jc w:val="both"/>
        <w:rPr>
          <w:rFonts w:cs="Times New Roman"/>
          <w:sz w:val="24"/>
          <w:szCs w:val="24"/>
        </w:rPr>
      </w:pPr>
      <w:r w:rsidRPr="00DE5E47">
        <w:rPr>
          <w:rFonts w:cs="Times New Roman"/>
          <w:b/>
          <w:bCs/>
          <w:sz w:val="24"/>
          <w:szCs w:val="24"/>
        </w:rPr>
        <w:t>Market Engagement:</w:t>
      </w:r>
      <w:r w:rsidRPr="00DE5E47">
        <w:rPr>
          <w:rFonts w:cs="Times New Roman"/>
          <w:sz w:val="24"/>
          <w:szCs w:val="24"/>
        </w:rPr>
        <w:t xml:space="preserve"> </w:t>
      </w:r>
    </w:p>
    <w:p w14:paraId="5BD1C44C" w14:textId="77777777" w:rsidR="00221112" w:rsidRPr="00DE5E47" w:rsidRDefault="00C14051">
      <w:pPr>
        <w:spacing w:line="360" w:lineRule="auto"/>
        <w:jc w:val="both"/>
        <w:rPr>
          <w:rFonts w:cs="Times New Roman"/>
          <w:sz w:val="24"/>
          <w:szCs w:val="24"/>
        </w:rPr>
      </w:pPr>
      <w:r w:rsidRPr="00DE5E47">
        <w:rPr>
          <w:rFonts w:cs="Times New Roman"/>
          <w:sz w:val="24"/>
          <w:szCs w:val="24"/>
        </w:rPr>
        <w:t>Which markets do you primarily supply mud crabs to?</w:t>
      </w:r>
    </w:p>
    <w:p w14:paraId="1964713A" w14:textId="77777777" w:rsidR="00221112" w:rsidRPr="00DE5E47" w:rsidRDefault="00C14051">
      <w:pPr>
        <w:spacing w:line="360" w:lineRule="auto"/>
        <w:jc w:val="both"/>
        <w:rPr>
          <w:rFonts w:cs="Times New Roman"/>
          <w:sz w:val="24"/>
          <w:szCs w:val="24"/>
        </w:rPr>
      </w:pPr>
      <w:r w:rsidRPr="00DE5E47">
        <w:rPr>
          <w:rFonts w:cs="Times New Roman"/>
          <w:sz w:val="24"/>
          <w:szCs w:val="24"/>
        </w:rPr>
        <w:t>[1] Local Markets</w:t>
      </w:r>
      <w:r w:rsidRPr="00DE5E47">
        <w:rPr>
          <w:rFonts w:cs="Times New Roman"/>
          <w:sz w:val="24"/>
          <w:szCs w:val="24"/>
        </w:rPr>
        <w:tab/>
        <w:t xml:space="preserve"> [2] Regional Markets</w:t>
      </w:r>
      <w:r w:rsidRPr="00DE5E47">
        <w:rPr>
          <w:rFonts w:cs="Times New Roman"/>
          <w:sz w:val="24"/>
          <w:szCs w:val="24"/>
        </w:rPr>
        <w:tab/>
      </w:r>
      <w:r w:rsidRPr="00DE5E47">
        <w:rPr>
          <w:rFonts w:cs="Times New Roman"/>
          <w:sz w:val="24"/>
          <w:szCs w:val="24"/>
        </w:rPr>
        <w:tab/>
        <w:t>[3] Export Markets</w:t>
      </w:r>
    </w:p>
    <w:p w14:paraId="3D587AD6" w14:textId="77777777" w:rsidR="00221112" w:rsidRPr="00DE5E47" w:rsidRDefault="00C14051">
      <w:pPr>
        <w:spacing w:line="360" w:lineRule="auto"/>
        <w:jc w:val="both"/>
        <w:rPr>
          <w:rFonts w:cs="Times New Roman"/>
          <w:sz w:val="24"/>
          <w:szCs w:val="24"/>
        </w:rPr>
      </w:pPr>
      <w:r w:rsidRPr="00DE5E47">
        <w:rPr>
          <w:rFonts w:cs="Times New Roman"/>
          <w:sz w:val="24"/>
          <w:szCs w:val="24"/>
        </w:rPr>
        <w:t>Do you have direct contact with consumers, or do you sell through intermediaries?</w:t>
      </w:r>
    </w:p>
    <w:p w14:paraId="066D4980" w14:textId="77777777" w:rsidR="00221112" w:rsidRPr="00DE5E47" w:rsidRDefault="00C14051">
      <w:pPr>
        <w:spacing w:line="360" w:lineRule="auto"/>
        <w:jc w:val="both"/>
        <w:rPr>
          <w:rFonts w:cs="Times New Roman"/>
          <w:sz w:val="24"/>
          <w:szCs w:val="24"/>
        </w:rPr>
      </w:pPr>
      <w:r w:rsidRPr="00DE5E47">
        <w:rPr>
          <w:rFonts w:cs="Times New Roman"/>
          <w:sz w:val="24"/>
          <w:szCs w:val="24"/>
        </w:rPr>
        <w:lastRenderedPageBreak/>
        <w:t>[1] Direct Contact</w:t>
      </w:r>
      <w:r w:rsidRPr="00DE5E47">
        <w:rPr>
          <w:rFonts w:cs="Times New Roman"/>
          <w:sz w:val="24"/>
          <w:szCs w:val="24"/>
        </w:rPr>
        <w:tab/>
        <w:t>[2] Through Intermediaries</w:t>
      </w:r>
    </w:p>
    <w:p w14:paraId="29A95A3D" w14:textId="77777777" w:rsidR="00221112" w:rsidRPr="00DE5E47" w:rsidRDefault="00C14051">
      <w:pPr>
        <w:spacing w:line="360" w:lineRule="auto"/>
        <w:jc w:val="both"/>
        <w:rPr>
          <w:rFonts w:cs="Times New Roman"/>
          <w:sz w:val="24"/>
          <w:szCs w:val="24"/>
        </w:rPr>
      </w:pPr>
      <w:r w:rsidRPr="00DE5E47">
        <w:rPr>
          <w:rFonts w:cs="Times New Roman"/>
          <w:sz w:val="24"/>
          <w:szCs w:val="24"/>
        </w:rPr>
        <w:t>What are your main challenges in selling mud crabs?</w:t>
      </w:r>
    </w:p>
    <w:p w14:paraId="60F7AC7A" w14:textId="77777777" w:rsidR="00221112" w:rsidRPr="00DE5E47" w:rsidRDefault="00C14051">
      <w:pPr>
        <w:spacing w:line="360" w:lineRule="auto"/>
        <w:jc w:val="both"/>
        <w:rPr>
          <w:rFonts w:cs="Times New Roman"/>
          <w:sz w:val="24"/>
          <w:szCs w:val="24"/>
        </w:rPr>
      </w:pPr>
      <w:r w:rsidRPr="00DE5E47">
        <w:rPr>
          <w:rFonts w:cs="Times New Roman"/>
          <w:sz w:val="24"/>
          <w:szCs w:val="24"/>
        </w:rPr>
        <w:t>[1] Price Fluctuations</w:t>
      </w:r>
      <w:r w:rsidRPr="00DE5E47">
        <w:rPr>
          <w:rFonts w:cs="Times New Roman"/>
          <w:sz w:val="24"/>
          <w:szCs w:val="24"/>
        </w:rPr>
        <w:tab/>
      </w:r>
      <w:r w:rsidRPr="00DE5E47">
        <w:rPr>
          <w:rFonts w:cs="Times New Roman"/>
          <w:sz w:val="24"/>
          <w:szCs w:val="24"/>
        </w:rPr>
        <w:tab/>
        <w:t>[2] Quality Control</w:t>
      </w:r>
      <w:r w:rsidRPr="00DE5E47">
        <w:rPr>
          <w:rFonts w:cs="Times New Roman"/>
          <w:sz w:val="24"/>
          <w:szCs w:val="24"/>
        </w:rPr>
        <w:tab/>
        <w:t xml:space="preserve"> [3] Market Access</w:t>
      </w:r>
      <w:r w:rsidRPr="00DE5E47">
        <w:rPr>
          <w:rFonts w:cs="Times New Roman"/>
          <w:sz w:val="24"/>
          <w:szCs w:val="24"/>
        </w:rPr>
        <w:tab/>
        <w:t xml:space="preserve"> [4] Other (Specify)</w:t>
      </w:r>
    </w:p>
    <w:p w14:paraId="18A0A7C1" w14:textId="77777777" w:rsidR="00221112" w:rsidRPr="00DE5E47" w:rsidRDefault="00C14051">
      <w:pPr>
        <w:spacing w:line="360" w:lineRule="auto"/>
        <w:jc w:val="both"/>
        <w:rPr>
          <w:rFonts w:cs="Times New Roman"/>
          <w:sz w:val="24"/>
          <w:szCs w:val="24"/>
        </w:rPr>
      </w:pPr>
      <w:r w:rsidRPr="00DE5E47">
        <w:rPr>
          <w:rFonts w:cs="Times New Roman"/>
          <w:b/>
          <w:bCs/>
          <w:sz w:val="24"/>
          <w:szCs w:val="24"/>
        </w:rPr>
        <w:t>Socio-economic Background:</w:t>
      </w:r>
      <w:r w:rsidRPr="00DE5E47">
        <w:rPr>
          <w:rFonts w:cs="Times New Roman"/>
          <w:sz w:val="24"/>
          <w:szCs w:val="24"/>
        </w:rPr>
        <w:t xml:space="preserve"> </w:t>
      </w:r>
    </w:p>
    <w:p w14:paraId="66504C03" w14:textId="77777777" w:rsidR="00221112" w:rsidRPr="00DE5E47" w:rsidRDefault="00C14051">
      <w:pPr>
        <w:spacing w:line="360" w:lineRule="auto"/>
        <w:jc w:val="both"/>
        <w:rPr>
          <w:rFonts w:cs="Times New Roman"/>
          <w:sz w:val="24"/>
          <w:szCs w:val="24"/>
        </w:rPr>
      </w:pPr>
      <w:r w:rsidRPr="00DE5E47">
        <w:rPr>
          <w:rFonts w:cs="Times New Roman"/>
          <w:sz w:val="24"/>
          <w:szCs w:val="24"/>
        </w:rPr>
        <w:t>What is your household size?</w:t>
      </w:r>
    </w:p>
    <w:p w14:paraId="3180F212" w14:textId="77777777" w:rsidR="00221112" w:rsidRPr="00DE5E47" w:rsidRDefault="00C14051">
      <w:pPr>
        <w:spacing w:line="360" w:lineRule="auto"/>
        <w:jc w:val="both"/>
        <w:rPr>
          <w:rFonts w:cs="Times New Roman"/>
          <w:sz w:val="24"/>
          <w:szCs w:val="24"/>
        </w:rPr>
      </w:pPr>
      <w:r w:rsidRPr="00DE5E47">
        <w:rPr>
          <w:rFonts w:cs="Times New Roman"/>
          <w:sz w:val="24"/>
          <w:szCs w:val="24"/>
        </w:rPr>
        <w:t>[1] 1-3</w:t>
      </w:r>
      <w:r w:rsidRPr="00DE5E47">
        <w:rPr>
          <w:rFonts w:cs="Times New Roman"/>
          <w:sz w:val="24"/>
          <w:szCs w:val="24"/>
        </w:rPr>
        <w:tab/>
      </w:r>
      <w:r w:rsidRPr="00DE5E47">
        <w:rPr>
          <w:rFonts w:cs="Times New Roman"/>
          <w:sz w:val="24"/>
          <w:szCs w:val="24"/>
        </w:rPr>
        <w:tab/>
        <w:t>[2] 4-6</w:t>
      </w:r>
      <w:r w:rsidRPr="00DE5E47">
        <w:rPr>
          <w:rFonts w:cs="Times New Roman"/>
          <w:sz w:val="24"/>
          <w:szCs w:val="24"/>
        </w:rPr>
        <w:tab/>
      </w:r>
      <w:r w:rsidRPr="00DE5E47">
        <w:rPr>
          <w:rFonts w:cs="Times New Roman"/>
          <w:sz w:val="24"/>
          <w:szCs w:val="24"/>
        </w:rPr>
        <w:tab/>
        <w:t>[3] 7-10</w:t>
      </w:r>
      <w:r w:rsidRPr="00DE5E47">
        <w:rPr>
          <w:rFonts w:cs="Times New Roman"/>
          <w:sz w:val="24"/>
          <w:szCs w:val="24"/>
        </w:rPr>
        <w:tab/>
      </w:r>
      <w:r w:rsidRPr="00DE5E47">
        <w:rPr>
          <w:rFonts w:cs="Times New Roman"/>
          <w:sz w:val="24"/>
          <w:szCs w:val="24"/>
        </w:rPr>
        <w:tab/>
        <w:t>[4] Over 10</w:t>
      </w:r>
    </w:p>
    <w:p w14:paraId="3AD3745B" w14:textId="77777777" w:rsidR="00221112" w:rsidRPr="00DE5E47" w:rsidRDefault="00C14051">
      <w:pPr>
        <w:spacing w:line="360" w:lineRule="auto"/>
        <w:jc w:val="both"/>
        <w:rPr>
          <w:rFonts w:cs="Times New Roman"/>
          <w:sz w:val="24"/>
          <w:szCs w:val="24"/>
        </w:rPr>
      </w:pPr>
      <w:r w:rsidRPr="00DE5E47">
        <w:rPr>
          <w:rFonts w:cs="Times New Roman"/>
          <w:sz w:val="24"/>
          <w:szCs w:val="24"/>
        </w:rPr>
        <w:t>What is your average monthly income from mud crab-related activities?</w:t>
      </w:r>
    </w:p>
    <w:p w14:paraId="5D239C67" w14:textId="77777777" w:rsidR="00221112" w:rsidRPr="00DE5E47" w:rsidRDefault="00C14051">
      <w:pPr>
        <w:spacing w:line="360" w:lineRule="auto"/>
        <w:jc w:val="both"/>
        <w:rPr>
          <w:rFonts w:cs="Times New Roman"/>
          <w:sz w:val="24"/>
          <w:szCs w:val="24"/>
        </w:rPr>
      </w:pPr>
      <w:r w:rsidRPr="00DE5E47">
        <w:rPr>
          <w:rFonts w:cs="Times New Roman"/>
          <w:sz w:val="24"/>
          <w:szCs w:val="24"/>
        </w:rPr>
        <w:t>[1] Less than $100</w:t>
      </w:r>
      <w:r w:rsidRPr="00DE5E47">
        <w:rPr>
          <w:rFonts w:cs="Times New Roman"/>
          <w:sz w:val="24"/>
          <w:szCs w:val="24"/>
        </w:rPr>
        <w:tab/>
        <w:t>[2] $100-$500</w:t>
      </w:r>
      <w:r w:rsidRPr="00DE5E47">
        <w:rPr>
          <w:rFonts w:cs="Times New Roman"/>
          <w:sz w:val="24"/>
          <w:szCs w:val="24"/>
        </w:rPr>
        <w:tab/>
      </w:r>
      <w:r w:rsidRPr="00DE5E47">
        <w:rPr>
          <w:rFonts w:cs="Times New Roman"/>
          <w:sz w:val="24"/>
          <w:szCs w:val="24"/>
        </w:rPr>
        <w:tab/>
        <w:t>[3] $501-$1000</w:t>
      </w:r>
      <w:r w:rsidRPr="00DE5E47">
        <w:rPr>
          <w:rFonts w:cs="Times New Roman"/>
          <w:sz w:val="24"/>
          <w:szCs w:val="24"/>
        </w:rPr>
        <w:tab/>
      </w:r>
      <w:r w:rsidRPr="00DE5E47">
        <w:rPr>
          <w:rFonts w:cs="Times New Roman"/>
          <w:sz w:val="24"/>
          <w:szCs w:val="24"/>
        </w:rPr>
        <w:tab/>
        <w:t>[4] Over $1000</w:t>
      </w:r>
    </w:p>
    <w:p w14:paraId="3A33F0FD" w14:textId="77777777" w:rsidR="00221112" w:rsidRPr="00DE5E47" w:rsidRDefault="00C14051">
      <w:pPr>
        <w:spacing w:line="360" w:lineRule="auto"/>
        <w:jc w:val="both"/>
        <w:rPr>
          <w:rFonts w:cs="Times New Roman"/>
          <w:sz w:val="24"/>
          <w:szCs w:val="24"/>
        </w:rPr>
      </w:pPr>
      <w:r w:rsidRPr="00DE5E47">
        <w:rPr>
          <w:rFonts w:cs="Times New Roman"/>
          <w:sz w:val="24"/>
          <w:szCs w:val="24"/>
        </w:rPr>
        <w:t>Do you have any other sources of income apart from mud crab fishing?</w:t>
      </w:r>
    </w:p>
    <w:p w14:paraId="75B0DE04"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[2] No</w:t>
      </w:r>
    </w:p>
    <w:p w14:paraId="1D4243EE" w14:textId="77777777" w:rsidR="00221112" w:rsidRPr="00DE5E47" w:rsidRDefault="00C14051">
      <w:pPr>
        <w:spacing w:line="360" w:lineRule="auto"/>
        <w:jc w:val="both"/>
        <w:rPr>
          <w:rFonts w:cs="Times New Roman"/>
          <w:sz w:val="24"/>
          <w:szCs w:val="24"/>
        </w:rPr>
      </w:pPr>
      <w:r w:rsidRPr="00DE5E47">
        <w:rPr>
          <w:rFonts w:cs="Times New Roman"/>
          <w:b/>
          <w:bCs/>
          <w:sz w:val="24"/>
          <w:szCs w:val="24"/>
        </w:rPr>
        <w:t>Knowledge and Skills:</w:t>
      </w:r>
      <w:r w:rsidRPr="00DE5E47">
        <w:rPr>
          <w:rFonts w:cs="Times New Roman"/>
          <w:sz w:val="24"/>
          <w:szCs w:val="24"/>
        </w:rPr>
        <w:t xml:space="preserve"> </w:t>
      </w:r>
    </w:p>
    <w:p w14:paraId="1234BA56" w14:textId="77777777" w:rsidR="00221112" w:rsidRPr="00DE5E47" w:rsidRDefault="00C14051">
      <w:pPr>
        <w:spacing w:line="360" w:lineRule="auto"/>
        <w:jc w:val="both"/>
        <w:rPr>
          <w:rFonts w:cs="Times New Roman"/>
          <w:sz w:val="24"/>
          <w:szCs w:val="24"/>
        </w:rPr>
      </w:pPr>
      <w:r w:rsidRPr="00DE5E47">
        <w:rPr>
          <w:rFonts w:cs="Times New Roman"/>
          <w:sz w:val="24"/>
          <w:szCs w:val="24"/>
        </w:rPr>
        <w:t>How did you acquire your knowledge and skills in mud crab fishing?</w:t>
      </w:r>
    </w:p>
    <w:p w14:paraId="0BDD238D"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Family Tradition </w:t>
      </w:r>
      <w:r w:rsidRPr="00DE5E47">
        <w:rPr>
          <w:rFonts w:cs="Times New Roman"/>
          <w:sz w:val="24"/>
          <w:szCs w:val="24"/>
        </w:rPr>
        <w:tab/>
        <w:t>[2] Community Training</w:t>
      </w:r>
      <w:r w:rsidRPr="00DE5E47">
        <w:rPr>
          <w:rFonts w:cs="Times New Roman"/>
          <w:sz w:val="24"/>
          <w:szCs w:val="24"/>
        </w:rPr>
        <w:tab/>
        <w:t xml:space="preserve">[3] Formal Education </w:t>
      </w:r>
      <w:r w:rsidRPr="00DE5E47">
        <w:rPr>
          <w:rFonts w:cs="Times New Roman"/>
          <w:sz w:val="24"/>
          <w:szCs w:val="24"/>
        </w:rPr>
        <w:tab/>
      </w:r>
      <w:r w:rsidRPr="00DE5E47">
        <w:rPr>
          <w:rFonts w:cs="Times New Roman"/>
          <w:sz w:val="24"/>
          <w:szCs w:val="24"/>
        </w:rPr>
        <w:tab/>
        <w:t>[4] Other (Specify)</w:t>
      </w:r>
    </w:p>
    <w:p w14:paraId="3DA99571" w14:textId="77777777" w:rsidR="00221112" w:rsidRPr="00DE5E47" w:rsidRDefault="00C14051">
      <w:pPr>
        <w:spacing w:line="360" w:lineRule="auto"/>
        <w:jc w:val="both"/>
        <w:rPr>
          <w:rFonts w:cs="Times New Roman"/>
          <w:sz w:val="24"/>
          <w:szCs w:val="24"/>
        </w:rPr>
      </w:pPr>
      <w:r w:rsidRPr="00DE5E47">
        <w:rPr>
          <w:rFonts w:cs="Times New Roman"/>
          <w:sz w:val="24"/>
          <w:szCs w:val="24"/>
        </w:rPr>
        <w:t>Have you undergone any formal training or education related to mud crab fishing?</w:t>
      </w:r>
    </w:p>
    <w:p w14:paraId="2DD6D2E3"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[2] No</w:t>
      </w:r>
    </w:p>
    <w:p w14:paraId="25652934" w14:textId="77777777" w:rsidR="00221112" w:rsidRPr="00DE5E47" w:rsidRDefault="00C14051">
      <w:pPr>
        <w:spacing w:line="360" w:lineRule="auto"/>
        <w:jc w:val="both"/>
        <w:rPr>
          <w:rFonts w:cs="Times New Roman"/>
          <w:b/>
          <w:bCs/>
          <w:sz w:val="24"/>
          <w:szCs w:val="24"/>
        </w:rPr>
      </w:pPr>
      <w:r w:rsidRPr="00DE5E47">
        <w:rPr>
          <w:rFonts w:cs="Times New Roman"/>
          <w:b/>
          <w:bCs/>
          <w:sz w:val="24"/>
          <w:szCs w:val="24"/>
        </w:rPr>
        <w:t>Fishing activities and operations</w:t>
      </w:r>
    </w:p>
    <w:p w14:paraId="34EA8875" w14:textId="77777777" w:rsidR="00221112" w:rsidRPr="00DE5E47" w:rsidRDefault="00C14051">
      <w:pPr>
        <w:spacing w:line="360" w:lineRule="auto"/>
        <w:jc w:val="both"/>
        <w:rPr>
          <w:rFonts w:cs="Times New Roman"/>
          <w:sz w:val="24"/>
          <w:szCs w:val="24"/>
        </w:rPr>
      </w:pPr>
      <w:r w:rsidRPr="00DE5E47">
        <w:rPr>
          <w:rFonts w:cs="Times New Roman"/>
          <w:sz w:val="24"/>
          <w:szCs w:val="24"/>
        </w:rPr>
        <w:t>How much do you catch daily?</w:t>
      </w:r>
    </w:p>
    <w:p w14:paraId="2481BECE"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Less than 1KG </w:t>
      </w:r>
      <w:r w:rsidRPr="00DE5E47">
        <w:rPr>
          <w:rFonts w:cs="Times New Roman"/>
          <w:sz w:val="24"/>
          <w:szCs w:val="24"/>
        </w:rPr>
        <w:tab/>
        <w:t>[2] 2 - 3KG</w:t>
      </w:r>
      <w:r w:rsidRPr="00DE5E47">
        <w:rPr>
          <w:rFonts w:cs="Times New Roman"/>
          <w:sz w:val="24"/>
          <w:szCs w:val="24"/>
        </w:rPr>
        <w:tab/>
        <w:t xml:space="preserve">[3] 4 - 5KG </w:t>
      </w:r>
      <w:r w:rsidRPr="00DE5E47">
        <w:rPr>
          <w:rFonts w:cs="Times New Roman"/>
          <w:sz w:val="24"/>
          <w:szCs w:val="24"/>
        </w:rPr>
        <w:tab/>
        <w:t>[4] 5 - 10KG</w:t>
      </w:r>
      <w:r w:rsidRPr="00DE5E47">
        <w:rPr>
          <w:rFonts w:cs="Times New Roman"/>
          <w:sz w:val="24"/>
          <w:szCs w:val="24"/>
        </w:rPr>
        <w:tab/>
        <w:t>[5] Above 10KG</w:t>
      </w:r>
    </w:p>
    <w:p w14:paraId="2081B78F" w14:textId="77777777" w:rsidR="00221112" w:rsidRPr="00DE5E47" w:rsidRDefault="00C14051">
      <w:pPr>
        <w:spacing w:line="360" w:lineRule="auto"/>
        <w:jc w:val="both"/>
        <w:rPr>
          <w:rFonts w:cs="Times New Roman"/>
          <w:sz w:val="24"/>
          <w:szCs w:val="24"/>
        </w:rPr>
      </w:pPr>
      <w:r w:rsidRPr="00DE5E47">
        <w:rPr>
          <w:rFonts w:cs="Times New Roman"/>
          <w:sz w:val="24"/>
          <w:szCs w:val="24"/>
        </w:rPr>
        <w:t>Out of your catch, how much do you sell (not eaten) (proportion)?</w:t>
      </w:r>
    </w:p>
    <w:p w14:paraId="2B6BB0CF"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Whole </w:t>
      </w:r>
      <w:r w:rsidRPr="00DE5E47">
        <w:rPr>
          <w:rFonts w:cs="Times New Roman"/>
          <w:sz w:val="24"/>
          <w:szCs w:val="24"/>
        </w:rPr>
        <w:tab/>
        <w:t xml:space="preserve">[2] Three - Quarters </w:t>
      </w:r>
      <w:r w:rsidRPr="00DE5E47">
        <w:rPr>
          <w:rFonts w:cs="Times New Roman"/>
          <w:sz w:val="24"/>
          <w:szCs w:val="24"/>
        </w:rPr>
        <w:tab/>
        <w:t xml:space="preserve">[3] Half </w:t>
      </w:r>
      <w:r w:rsidRPr="00DE5E47">
        <w:rPr>
          <w:rFonts w:cs="Times New Roman"/>
          <w:sz w:val="24"/>
          <w:szCs w:val="24"/>
        </w:rPr>
        <w:tab/>
        <w:t>[4] Quarter</w:t>
      </w:r>
      <w:r w:rsidRPr="00DE5E47">
        <w:rPr>
          <w:rFonts w:cs="Times New Roman"/>
          <w:sz w:val="24"/>
          <w:szCs w:val="24"/>
        </w:rPr>
        <w:tab/>
        <w:t>[5] None</w:t>
      </w:r>
    </w:p>
    <w:p w14:paraId="5D6AB017" w14:textId="77777777" w:rsidR="00221112" w:rsidRPr="00DE5E47" w:rsidRDefault="00C14051">
      <w:pPr>
        <w:spacing w:line="360" w:lineRule="auto"/>
        <w:jc w:val="both"/>
        <w:rPr>
          <w:rFonts w:cs="Times New Roman"/>
          <w:sz w:val="24"/>
          <w:szCs w:val="24"/>
        </w:rPr>
      </w:pPr>
      <w:r w:rsidRPr="00DE5E47">
        <w:rPr>
          <w:rFonts w:cs="Times New Roman"/>
          <w:sz w:val="24"/>
          <w:szCs w:val="24"/>
        </w:rPr>
        <w:t>What is the mortality rate per day?</w:t>
      </w:r>
    </w:p>
    <w:p w14:paraId="60F259B7"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500G - 1KG </w:t>
      </w:r>
      <w:r w:rsidRPr="00DE5E47">
        <w:rPr>
          <w:rFonts w:cs="Times New Roman"/>
          <w:sz w:val="24"/>
          <w:szCs w:val="24"/>
        </w:rPr>
        <w:tab/>
        <w:t>[2] 2 - 3KG</w:t>
      </w:r>
      <w:r w:rsidRPr="00DE5E47">
        <w:rPr>
          <w:rFonts w:cs="Times New Roman"/>
          <w:sz w:val="24"/>
          <w:szCs w:val="24"/>
        </w:rPr>
        <w:tab/>
        <w:t>[3] 4 - 5KG</w:t>
      </w:r>
      <w:r w:rsidRPr="00DE5E47">
        <w:rPr>
          <w:rFonts w:cs="Times New Roman"/>
          <w:sz w:val="24"/>
          <w:szCs w:val="24"/>
        </w:rPr>
        <w:tab/>
        <w:t xml:space="preserve"> [4] 5 - 10KG</w:t>
      </w:r>
      <w:r w:rsidRPr="00DE5E47">
        <w:rPr>
          <w:rFonts w:cs="Times New Roman"/>
          <w:sz w:val="24"/>
          <w:szCs w:val="24"/>
        </w:rPr>
        <w:tab/>
      </w:r>
      <w:r w:rsidRPr="00DE5E47">
        <w:rPr>
          <w:rFonts w:cs="Times New Roman"/>
          <w:sz w:val="24"/>
          <w:szCs w:val="24"/>
        </w:rPr>
        <w:tab/>
        <w:t>[5] Above 10KG  6. Other (specify)</w:t>
      </w:r>
    </w:p>
    <w:p w14:paraId="4C68A8E2" w14:textId="77777777" w:rsidR="00221112" w:rsidRPr="00DE5E47" w:rsidRDefault="00C14051">
      <w:pPr>
        <w:spacing w:line="360" w:lineRule="auto"/>
        <w:jc w:val="both"/>
        <w:rPr>
          <w:rFonts w:cs="Times New Roman"/>
          <w:sz w:val="24"/>
          <w:szCs w:val="24"/>
        </w:rPr>
      </w:pPr>
      <w:r w:rsidRPr="00DE5E47">
        <w:rPr>
          <w:rFonts w:cs="Times New Roman"/>
          <w:sz w:val="24"/>
          <w:szCs w:val="24"/>
        </w:rPr>
        <w:lastRenderedPageBreak/>
        <w:t>Do you have licenses for the operation?</w:t>
      </w:r>
    </w:p>
    <w:p w14:paraId="6623B30D"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YES </w:t>
      </w:r>
      <w:r w:rsidRPr="00DE5E47">
        <w:rPr>
          <w:rFonts w:cs="Times New Roman"/>
          <w:sz w:val="24"/>
          <w:szCs w:val="24"/>
        </w:rPr>
        <w:tab/>
        <w:t>[2] NO</w:t>
      </w:r>
    </w:p>
    <w:p w14:paraId="0298E879" w14:textId="77777777" w:rsidR="00221112" w:rsidRPr="00DE5E47" w:rsidRDefault="00C14051">
      <w:pPr>
        <w:spacing w:line="360" w:lineRule="auto"/>
        <w:jc w:val="both"/>
        <w:rPr>
          <w:rFonts w:cs="Times New Roman"/>
          <w:sz w:val="24"/>
          <w:szCs w:val="24"/>
        </w:rPr>
      </w:pPr>
      <w:r w:rsidRPr="00DE5E47">
        <w:rPr>
          <w:rFonts w:cs="Times New Roman"/>
          <w:sz w:val="24"/>
          <w:szCs w:val="24"/>
        </w:rPr>
        <w:t>Which gear do you use?</w:t>
      </w:r>
    </w:p>
    <w:p w14:paraId="3F1B08E7" w14:textId="77777777" w:rsidR="00221112" w:rsidRPr="00DE5E47" w:rsidRDefault="00C14051">
      <w:pPr>
        <w:spacing w:line="360" w:lineRule="auto"/>
        <w:jc w:val="both"/>
        <w:rPr>
          <w:rFonts w:cs="Times New Roman"/>
          <w:sz w:val="24"/>
          <w:szCs w:val="24"/>
        </w:rPr>
      </w:pPr>
      <w:r w:rsidRPr="00DE5E47">
        <w:rPr>
          <w:rFonts w:cs="Times New Roman"/>
          <w:sz w:val="24"/>
          <w:szCs w:val="24"/>
        </w:rPr>
        <w:t>[1] Hand Collection</w:t>
      </w:r>
      <w:r w:rsidRPr="00DE5E47">
        <w:rPr>
          <w:rFonts w:cs="Times New Roman"/>
          <w:sz w:val="24"/>
          <w:szCs w:val="24"/>
        </w:rPr>
        <w:tab/>
        <w:t>[2] Hook and stick</w:t>
      </w:r>
      <w:r w:rsidRPr="00DE5E47">
        <w:rPr>
          <w:rFonts w:cs="Times New Roman"/>
          <w:sz w:val="24"/>
          <w:szCs w:val="24"/>
        </w:rPr>
        <w:tab/>
      </w:r>
      <w:r w:rsidRPr="00DE5E47">
        <w:rPr>
          <w:rFonts w:cs="Times New Roman"/>
          <w:sz w:val="24"/>
          <w:szCs w:val="24"/>
        </w:rPr>
        <w:tab/>
        <w:t>[3] scoop net</w:t>
      </w:r>
      <w:r w:rsidRPr="00DE5E47">
        <w:rPr>
          <w:rFonts w:cs="Times New Roman"/>
          <w:sz w:val="24"/>
          <w:szCs w:val="24"/>
        </w:rPr>
        <w:tab/>
        <w:t>[4] Seine nets</w:t>
      </w:r>
      <w:r w:rsidRPr="00DE5E47">
        <w:rPr>
          <w:rFonts w:cs="Times New Roman"/>
          <w:sz w:val="24"/>
          <w:szCs w:val="24"/>
        </w:rPr>
        <w:tab/>
        <w:t>[5] Mosquito nets</w:t>
      </w:r>
    </w:p>
    <w:p w14:paraId="0B316070" w14:textId="77777777" w:rsidR="00221112" w:rsidRPr="00DE5E47" w:rsidRDefault="00C14051">
      <w:pPr>
        <w:spacing w:line="360" w:lineRule="auto"/>
        <w:jc w:val="both"/>
        <w:rPr>
          <w:rFonts w:cs="Times New Roman"/>
          <w:sz w:val="24"/>
          <w:szCs w:val="24"/>
        </w:rPr>
      </w:pPr>
      <w:r w:rsidRPr="00DE5E47">
        <w:rPr>
          <w:rFonts w:cs="Times New Roman"/>
          <w:sz w:val="24"/>
          <w:szCs w:val="24"/>
        </w:rPr>
        <w:t>How much does the gear cost?</w:t>
      </w:r>
    </w:p>
    <w:p w14:paraId="004D5CFE" w14:textId="77777777" w:rsidR="00221112" w:rsidRPr="00DE5E47" w:rsidRDefault="00C14051">
      <w:pPr>
        <w:spacing w:line="360" w:lineRule="auto"/>
        <w:jc w:val="both"/>
        <w:rPr>
          <w:rFonts w:cs="Times New Roman"/>
          <w:sz w:val="24"/>
          <w:szCs w:val="24"/>
        </w:rPr>
      </w:pPr>
      <w:r w:rsidRPr="00DE5E47">
        <w:rPr>
          <w:rFonts w:cs="Times New Roman"/>
          <w:sz w:val="24"/>
          <w:szCs w:val="24"/>
        </w:rPr>
        <w:t>Where do you buy your fishing gears?</w:t>
      </w:r>
    </w:p>
    <w:p w14:paraId="32F52782" w14:textId="77777777" w:rsidR="00221112" w:rsidRPr="00DE5E47" w:rsidRDefault="00C14051">
      <w:pPr>
        <w:spacing w:line="360" w:lineRule="auto"/>
        <w:jc w:val="both"/>
        <w:rPr>
          <w:rFonts w:cs="Times New Roman"/>
          <w:sz w:val="24"/>
          <w:szCs w:val="24"/>
        </w:rPr>
      </w:pPr>
      <w:r w:rsidRPr="00DE5E47">
        <w:rPr>
          <w:rFonts w:cs="Times New Roman"/>
          <w:sz w:val="24"/>
          <w:szCs w:val="24"/>
        </w:rPr>
        <w:t>[1] Import</w:t>
      </w:r>
      <w:r w:rsidRPr="00DE5E47">
        <w:rPr>
          <w:rFonts w:cs="Times New Roman"/>
          <w:sz w:val="24"/>
          <w:szCs w:val="24"/>
        </w:rPr>
        <w:tab/>
        <w:t xml:space="preserve"> [2] Nairobi</w:t>
      </w:r>
      <w:r w:rsidRPr="00DE5E47">
        <w:rPr>
          <w:rFonts w:cs="Times New Roman"/>
          <w:sz w:val="24"/>
          <w:szCs w:val="24"/>
        </w:rPr>
        <w:tab/>
        <w:t>[3] Mombasa</w:t>
      </w:r>
      <w:r w:rsidRPr="00DE5E47">
        <w:rPr>
          <w:rFonts w:cs="Times New Roman"/>
          <w:sz w:val="24"/>
          <w:szCs w:val="24"/>
        </w:rPr>
        <w:tab/>
        <w:t>[4] Kilifi</w:t>
      </w:r>
      <w:r w:rsidRPr="00DE5E47">
        <w:rPr>
          <w:rFonts w:cs="Times New Roman"/>
          <w:sz w:val="24"/>
          <w:szCs w:val="24"/>
        </w:rPr>
        <w:tab/>
        <w:t>[5] Local Artisans</w:t>
      </w:r>
    </w:p>
    <w:p w14:paraId="01F978A7" w14:textId="77777777" w:rsidR="00221112" w:rsidRPr="00DE5E47" w:rsidRDefault="00C14051">
      <w:pPr>
        <w:spacing w:line="360" w:lineRule="auto"/>
        <w:jc w:val="both"/>
        <w:rPr>
          <w:rFonts w:cs="Times New Roman"/>
          <w:sz w:val="24"/>
          <w:szCs w:val="24"/>
        </w:rPr>
      </w:pPr>
      <w:r w:rsidRPr="00DE5E47">
        <w:rPr>
          <w:rFonts w:cs="Times New Roman"/>
          <w:sz w:val="24"/>
          <w:szCs w:val="24"/>
        </w:rPr>
        <w:t>What is the frequency of loss of fishing gear at sea?</w:t>
      </w:r>
    </w:p>
    <w:p w14:paraId="5A965909" w14:textId="77777777" w:rsidR="00221112" w:rsidRPr="00DE5E47" w:rsidRDefault="00C14051">
      <w:pPr>
        <w:spacing w:line="360" w:lineRule="auto"/>
        <w:jc w:val="both"/>
        <w:rPr>
          <w:rFonts w:cs="Times New Roman"/>
          <w:sz w:val="24"/>
          <w:szCs w:val="24"/>
        </w:rPr>
      </w:pPr>
      <w:r w:rsidRPr="00DE5E47">
        <w:rPr>
          <w:rFonts w:cs="Times New Roman"/>
          <w:sz w:val="24"/>
          <w:szCs w:val="24"/>
        </w:rPr>
        <w:t>[1] Daily</w:t>
      </w:r>
      <w:r w:rsidRPr="00DE5E47">
        <w:rPr>
          <w:rFonts w:cs="Times New Roman"/>
          <w:sz w:val="24"/>
          <w:szCs w:val="24"/>
        </w:rPr>
        <w:tab/>
        <w:t xml:space="preserve"> [2] weekly</w:t>
      </w:r>
      <w:r w:rsidRPr="00DE5E47">
        <w:rPr>
          <w:rFonts w:cs="Times New Roman"/>
          <w:sz w:val="24"/>
          <w:szCs w:val="24"/>
        </w:rPr>
        <w:tab/>
        <w:t>[3] monthly</w:t>
      </w:r>
      <w:r w:rsidRPr="00DE5E47">
        <w:rPr>
          <w:rFonts w:cs="Times New Roman"/>
          <w:sz w:val="24"/>
          <w:szCs w:val="24"/>
        </w:rPr>
        <w:tab/>
        <w:t>[4] yearly</w:t>
      </w:r>
      <w:r w:rsidRPr="00DE5E47">
        <w:rPr>
          <w:rFonts w:cs="Times New Roman"/>
          <w:sz w:val="24"/>
          <w:szCs w:val="24"/>
        </w:rPr>
        <w:tab/>
      </w:r>
    </w:p>
    <w:p w14:paraId="54E29B37" w14:textId="77777777" w:rsidR="00221112" w:rsidRPr="00DE5E47" w:rsidRDefault="00C14051">
      <w:pPr>
        <w:spacing w:line="360" w:lineRule="auto"/>
        <w:jc w:val="both"/>
        <w:rPr>
          <w:rFonts w:cs="Times New Roman"/>
          <w:sz w:val="24"/>
          <w:szCs w:val="24"/>
        </w:rPr>
      </w:pPr>
      <w:r w:rsidRPr="00DE5E47">
        <w:rPr>
          <w:rFonts w:cs="Times New Roman"/>
          <w:sz w:val="24"/>
          <w:szCs w:val="24"/>
        </w:rPr>
        <w:t>Which fishing craft do you use?</w:t>
      </w:r>
    </w:p>
    <w:p w14:paraId="146981DF"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Daily </w:t>
      </w:r>
      <w:r w:rsidRPr="00DE5E47">
        <w:rPr>
          <w:rFonts w:cs="Times New Roman"/>
          <w:sz w:val="24"/>
          <w:szCs w:val="24"/>
        </w:rPr>
        <w:tab/>
        <w:t>[2] weekly</w:t>
      </w:r>
      <w:r w:rsidRPr="00DE5E47">
        <w:rPr>
          <w:rFonts w:cs="Times New Roman"/>
          <w:sz w:val="24"/>
          <w:szCs w:val="24"/>
        </w:rPr>
        <w:tab/>
        <w:t>[3] monthly</w:t>
      </w:r>
      <w:r w:rsidRPr="00DE5E47">
        <w:rPr>
          <w:rFonts w:cs="Times New Roman"/>
          <w:sz w:val="24"/>
          <w:szCs w:val="24"/>
        </w:rPr>
        <w:tab/>
        <w:t>[4] yearly</w:t>
      </w:r>
    </w:p>
    <w:p w14:paraId="2EA80947" w14:textId="77777777" w:rsidR="00221112" w:rsidRPr="00DE5E47" w:rsidRDefault="00C14051">
      <w:pPr>
        <w:spacing w:line="360" w:lineRule="auto"/>
        <w:jc w:val="both"/>
        <w:rPr>
          <w:rFonts w:cs="Times New Roman"/>
          <w:sz w:val="24"/>
          <w:szCs w:val="24"/>
        </w:rPr>
      </w:pPr>
      <w:r w:rsidRPr="00DE5E47">
        <w:rPr>
          <w:rFonts w:cs="Times New Roman"/>
          <w:sz w:val="24"/>
          <w:szCs w:val="24"/>
        </w:rPr>
        <w:t>How much does the fishing craft cost?</w:t>
      </w:r>
    </w:p>
    <w:p w14:paraId="7F78A448" w14:textId="77777777" w:rsidR="00221112" w:rsidRPr="00DE5E47" w:rsidRDefault="00C14051">
      <w:pPr>
        <w:spacing w:line="360" w:lineRule="auto"/>
        <w:jc w:val="both"/>
        <w:rPr>
          <w:rFonts w:cs="Times New Roman"/>
          <w:sz w:val="24"/>
          <w:szCs w:val="24"/>
        </w:rPr>
      </w:pPr>
      <w:r w:rsidRPr="00DE5E47">
        <w:rPr>
          <w:rFonts w:cs="Times New Roman"/>
          <w:sz w:val="24"/>
          <w:szCs w:val="24"/>
        </w:rPr>
        <w:t>[1] below 1000 [2] 1000-3000</w:t>
      </w:r>
      <w:r w:rsidRPr="00DE5E47">
        <w:rPr>
          <w:rFonts w:cs="Times New Roman"/>
          <w:sz w:val="24"/>
          <w:szCs w:val="24"/>
        </w:rPr>
        <w:tab/>
        <w:t>[3] 3000-5000</w:t>
      </w:r>
      <w:r w:rsidRPr="00DE5E47">
        <w:rPr>
          <w:rFonts w:cs="Times New Roman"/>
          <w:sz w:val="24"/>
          <w:szCs w:val="24"/>
        </w:rPr>
        <w:tab/>
      </w:r>
      <w:r w:rsidRPr="00DE5E47">
        <w:rPr>
          <w:rFonts w:cs="Times New Roman"/>
          <w:sz w:val="24"/>
          <w:szCs w:val="24"/>
        </w:rPr>
        <w:tab/>
        <w:t>[4] 5000-10000</w:t>
      </w:r>
      <w:r w:rsidRPr="00DE5E47">
        <w:rPr>
          <w:rFonts w:cs="Times New Roman"/>
          <w:sz w:val="24"/>
          <w:szCs w:val="24"/>
        </w:rPr>
        <w:tab/>
        <w:t>[5] Above 10000</w:t>
      </w:r>
    </w:p>
    <w:p w14:paraId="524366E6" w14:textId="77777777" w:rsidR="00221112" w:rsidRPr="00DE5E47" w:rsidRDefault="00C14051">
      <w:pPr>
        <w:spacing w:line="360" w:lineRule="auto"/>
        <w:jc w:val="both"/>
        <w:rPr>
          <w:rFonts w:cs="Times New Roman"/>
          <w:sz w:val="24"/>
          <w:szCs w:val="24"/>
        </w:rPr>
      </w:pPr>
      <w:r w:rsidRPr="00DE5E47">
        <w:rPr>
          <w:rFonts w:cs="Times New Roman"/>
          <w:sz w:val="24"/>
          <w:szCs w:val="24"/>
        </w:rPr>
        <w:t>What does the maintenance cost? Explain</w:t>
      </w:r>
    </w:p>
    <w:p w14:paraId="7ECF726C" w14:textId="77777777" w:rsidR="00221112" w:rsidRPr="00DE5E47" w:rsidRDefault="00C14051">
      <w:pPr>
        <w:spacing w:line="360" w:lineRule="auto"/>
        <w:jc w:val="both"/>
        <w:rPr>
          <w:rFonts w:cs="Times New Roman"/>
          <w:sz w:val="24"/>
          <w:szCs w:val="24"/>
        </w:rPr>
      </w:pPr>
      <w:r w:rsidRPr="00DE5E47">
        <w:rPr>
          <w:rFonts w:cs="Times New Roman"/>
          <w:sz w:val="24"/>
          <w:szCs w:val="24"/>
        </w:rPr>
        <w:t>[1] below 1000</w:t>
      </w:r>
      <w:r w:rsidRPr="00DE5E47">
        <w:rPr>
          <w:rFonts w:cs="Times New Roman"/>
          <w:sz w:val="24"/>
          <w:szCs w:val="24"/>
        </w:rPr>
        <w:tab/>
        <w:t xml:space="preserve"> [2] 1000-3000</w:t>
      </w:r>
      <w:r w:rsidRPr="00DE5E47">
        <w:rPr>
          <w:rFonts w:cs="Times New Roman"/>
          <w:sz w:val="24"/>
          <w:szCs w:val="24"/>
        </w:rPr>
        <w:tab/>
      </w:r>
      <w:r w:rsidRPr="00DE5E47">
        <w:rPr>
          <w:rFonts w:cs="Times New Roman"/>
          <w:sz w:val="24"/>
          <w:szCs w:val="24"/>
        </w:rPr>
        <w:tab/>
        <w:t>[3] 3000-5000</w:t>
      </w:r>
      <w:r w:rsidRPr="00DE5E47">
        <w:rPr>
          <w:rFonts w:cs="Times New Roman"/>
          <w:sz w:val="24"/>
          <w:szCs w:val="24"/>
        </w:rPr>
        <w:tab/>
        <w:t>[4] 5000-10000</w:t>
      </w:r>
      <w:r w:rsidRPr="00DE5E47">
        <w:rPr>
          <w:rFonts w:cs="Times New Roman"/>
          <w:sz w:val="24"/>
          <w:szCs w:val="24"/>
        </w:rPr>
        <w:tab/>
        <w:t>[5] Above 10000</w:t>
      </w:r>
    </w:p>
    <w:p w14:paraId="77659683" w14:textId="77777777" w:rsidR="00221112" w:rsidRPr="00DE5E47" w:rsidRDefault="00C14051">
      <w:pPr>
        <w:spacing w:line="360" w:lineRule="auto"/>
        <w:jc w:val="both"/>
        <w:rPr>
          <w:rFonts w:cs="Times New Roman"/>
          <w:sz w:val="24"/>
          <w:szCs w:val="24"/>
        </w:rPr>
      </w:pPr>
      <w:r w:rsidRPr="00DE5E47">
        <w:rPr>
          <w:rFonts w:cs="Times New Roman"/>
          <w:sz w:val="24"/>
          <w:szCs w:val="24"/>
        </w:rPr>
        <w:t>Are the crafts equipped to store catch for long periods?</w:t>
      </w:r>
    </w:p>
    <w:p w14:paraId="0F4C1468"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[2] No</w:t>
      </w:r>
    </w:p>
    <w:p w14:paraId="74B79426" w14:textId="77777777" w:rsidR="00221112" w:rsidRPr="00DE5E47" w:rsidRDefault="00C14051">
      <w:pPr>
        <w:spacing w:line="360" w:lineRule="auto"/>
        <w:jc w:val="both"/>
        <w:rPr>
          <w:rFonts w:cs="Times New Roman"/>
          <w:sz w:val="24"/>
          <w:szCs w:val="24"/>
        </w:rPr>
      </w:pPr>
      <w:r w:rsidRPr="00DE5E47">
        <w:rPr>
          <w:rFonts w:cs="Times New Roman"/>
          <w:sz w:val="24"/>
          <w:szCs w:val="24"/>
        </w:rPr>
        <w:t>What is the material of your fishing crafts?</w:t>
      </w:r>
    </w:p>
    <w:p w14:paraId="41BB62C0"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Wood </w:t>
      </w:r>
      <w:r w:rsidRPr="00DE5E47">
        <w:rPr>
          <w:rFonts w:cs="Times New Roman"/>
          <w:sz w:val="24"/>
          <w:szCs w:val="24"/>
        </w:rPr>
        <w:tab/>
        <w:t xml:space="preserve">[2] Iron </w:t>
      </w:r>
      <w:r w:rsidRPr="00DE5E47">
        <w:rPr>
          <w:rFonts w:cs="Times New Roman"/>
          <w:sz w:val="24"/>
          <w:szCs w:val="24"/>
        </w:rPr>
        <w:tab/>
        <w:t>[3] Aluminum</w:t>
      </w:r>
      <w:r w:rsidRPr="00DE5E47">
        <w:rPr>
          <w:rFonts w:cs="Times New Roman"/>
          <w:sz w:val="24"/>
          <w:szCs w:val="24"/>
        </w:rPr>
        <w:tab/>
      </w:r>
      <w:r w:rsidRPr="00DE5E47">
        <w:rPr>
          <w:rFonts w:cs="Times New Roman"/>
          <w:sz w:val="24"/>
          <w:szCs w:val="24"/>
        </w:rPr>
        <w:tab/>
        <w:t xml:space="preserve"> [4] fiberglass</w:t>
      </w:r>
      <w:r w:rsidRPr="00DE5E47">
        <w:rPr>
          <w:rFonts w:cs="Times New Roman"/>
          <w:sz w:val="24"/>
          <w:szCs w:val="24"/>
        </w:rPr>
        <w:tab/>
        <w:t>[5] other (specify)</w:t>
      </w:r>
    </w:p>
    <w:p w14:paraId="4CC83DC9" w14:textId="77777777" w:rsidR="00221112" w:rsidRPr="00DE5E47" w:rsidRDefault="00C14051">
      <w:pPr>
        <w:spacing w:line="360" w:lineRule="auto"/>
        <w:jc w:val="both"/>
        <w:rPr>
          <w:rFonts w:cs="Times New Roman"/>
          <w:sz w:val="24"/>
          <w:szCs w:val="24"/>
        </w:rPr>
      </w:pPr>
      <w:r w:rsidRPr="00DE5E47">
        <w:rPr>
          <w:rFonts w:cs="Times New Roman"/>
          <w:sz w:val="24"/>
          <w:szCs w:val="24"/>
        </w:rPr>
        <w:t>What is the mode of propulsion of fishing craft?</w:t>
      </w:r>
    </w:p>
    <w:p w14:paraId="38F72049" w14:textId="77777777" w:rsidR="00221112" w:rsidRPr="00DE5E47" w:rsidRDefault="00C14051">
      <w:pPr>
        <w:spacing w:line="360" w:lineRule="auto"/>
        <w:jc w:val="both"/>
        <w:rPr>
          <w:rFonts w:cs="Times New Roman"/>
          <w:sz w:val="24"/>
          <w:szCs w:val="24"/>
        </w:rPr>
      </w:pPr>
      <w:r w:rsidRPr="00DE5E47">
        <w:rPr>
          <w:rFonts w:cs="Times New Roman"/>
          <w:sz w:val="24"/>
          <w:szCs w:val="24"/>
        </w:rPr>
        <w:t>[1] Pondo</w:t>
      </w:r>
      <w:r w:rsidRPr="00DE5E47">
        <w:rPr>
          <w:rFonts w:cs="Times New Roman"/>
          <w:sz w:val="24"/>
          <w:szCs w:val="24"/>
        </w:rPr>
        <w:tab/>
        <w:t xml:space="preserve"> [2] Iron </w:t>
      </w:r>
      <w:r w:rsidRPr="00DE5E47">
        <w:rPr>
          <w:rFonts w:cs="Times New Roman"/>
          <w:sz w:val="24"/>
          <w:szCs w:val="24"/>
        </w:rPr>
        <w:tab/>
        <w:t>[3] Tanga</w:t>
      </w:r>
      <w:r w:rsidRPr="00DE5E47">
        <w:rPr>
          <w:rFonts w:cs="Times New Roman"/>
          <w:sz w:val="24"/>
          <w:szCs w:val="24"/>
        </w:rPr>
        <w:tab/>
        <w:t xml:space="preserve"> [4] engine</w:t>
      </w:r>
      <w:r w:rsidRPr="00DE5E47">
        <w:rPr>
          <w:rFonts w:cs="Times New Roman"/>
          <w:sz w:val="24"/>
          <w:szCs w:val="24"/>
        </w:rPr>
        <w:tab/>
        <w:t>[5] other (specify)</w:t>
      </w:r>
    </w:p>
    <w:p w14:paraId="7B9E694E" w14:textId="77777777" w:rsidR="00221112" w:rsidRPr="00DE5E47" w:rsidRDefault="00C14051">
      <w:pPr>
        <w:spacing w:line="360" w:lineRule="auto"/>
        <w:jc w:val="both"/>
        <w:rPr>
          <w:rFonts w:cs="Times New Roman"/>
          <w:sz w:val="24"/>
          <w:szCs w:val="24"/>
        </w:rPr>
      </w:pPr>
      <w:r w:rsidRPr="00DE5E47">
        <w:rPr>
          <w:rFonts w:cs="Times New Roman"/>
          <w:sz w:val="24"/>
          <w:szCs w:val="24"/>
        </w:rPr>
        <w:t>How far offshore do the fishing craft go fishing</w:t>
      </w:r>
    </w:p>
    <w:p w14:paraId="073ADEE8" w14:textId="77777777" w:rsidR="00221112" w:rsidRPr="00DE5E47" w:rsidRDefault="00C14051">
      <w:pPr>
        <w:spacing w:line="360" w:lineRule="auto"/>
        <w:jc w:val="both"/>
        <w:rPr>
          <w:rFonts w:cs="Times New Roman"/>
          <w:sz w:val="24"/>
          <w:szCs w:val="24"/>
        </w:rPr>
      </w:pPr>
      <w:r w:rsidRPr="00DE5E47">
        <w:rPr>
          <w:rFonts w:cs="Times New Roman"/>
          <w:sz w:val="24"/>
          <w:szCs w:val="24"/>
        </w:rPr>
        <w:lastRenderedPageBreak/>
        <w:t>[1] Inshore</w:t>
      </w:r>
      <w:r w:rsidRPr="00DE5E47">
        <w:rPr>
          <w:rFonts w:cs="Times New Roman"/>
          <w:sz w:val="24"/>
          <w:szCs w:val="24"/>
        </w:rPr>
        <w:tab/>
        <w:t xml:space="preserve"> [2] tidal region</w:t>
      </w:r>
      <w:r w:rsidRPr="00DE5E47">
        <w:rPr>
          <w:rFonts w:cs="Times New Roman"/>
          <w:sz w:val="24"/>
          <w:szCs w:val="24"/>
        </w:rPr>
        <w:tab/>
        <w:t>[3] open ocean [4] deep seas</w:t>
      </w:r>
      <w:r w:rsidRPr="00DE5E47">
        <w:rPr>
          <w:rFonts w:cs="Times New Roman"/>
          <w:sz w:val="24"/>
          <w:szCs w:val="24"/>
        </w:rPr>
        <w:tab/>
        <w:t>[5] other (specify)</w:t>
      </w:r>
    </w:p>
    <w:p w14:paraId="788630A3" w14:textId="77777777" w:rsidR="00221112" w:rsidRPr="00DE5E47" w:rsidRDefault="00C14051">
      <w:pPr>
        <w:spacing w:line="360" w:lineRule="auto"/>
        <w:jc w:val="both"/>
        <w:rPr>
          <w:rFonts w:cs="Times New Roman"/>
          <w:sz w:val="24"/>
          <w:szCs w:val="24"/>
        </w:rPr>
      </w:pPr>
      <w:r w:rsidRPr="00DE5E47">
        <w:rPr>
          <w:rFonts w:cs="Times New Roman"/>
          <w:sz w:val="24"/>
          <w:szCs w:val="24"/>
        </w:rPr>
        <w:t>Distance between fishing grounds and the market?</w:t>
      </w:r>
    </w:p>
    <w:p w14:paraId="4F04CC8F" w14:textId="77777777" w:rsidR="00221112" w:rsidRPr="00DE5E47" w:rsidRDefault="00C14051">
      <w:pPr>
        <w:spacing w:line="360" w:lineRule="auto"/>
        <w:jc w:val="both"/>
        <w:rPr>
          <w:rFonts w:cs="Times New Roman"/>
          <w:sz w:val="24"/>
          <w:szCs w:val="24"/>
        </w:rPr>
      </w:pPr>
      <w:r w:rsidRPr="00DE5E47">
        <w:rPr>
          <w:rFonts w:cs="Times New Roman"/>
          <w:sz w:val="24"/>
          <w:szCs w:val="24"/>
        </w:rPr>
        <w:t>[1] 1 km</w:t>
      </w:r>
      <w:r w:rsidRPr="00DE5E47">
        <w:rPr>
          <w:rFonts w:cs="Times New Roman"/>
          <w:sz w:val="24"/>
          <w:szCs w:val="24"/>
        </w:rPr>
        <w:tab/>
        <w:t xml:space="preserve"> [2] 3 km </w:t>
      </w:r>
      <w:r w:rsidRPr="00DE5E47">
        <w:rPr>
          <w:rFonts w:cs="Times New Roman"/>
          <w:sz w:val="24"/>
          <w:szCs w:val="24"/>
        </w:rPr>
        <w:tab/>
        <w:t xml:space="preserve">[3] 5 km </w:t>
      </w:r>
      <w:r w:rsidRPr="00DE5E47">
        <w:rPr>
          <w:rFonts w:cs="Times New Roman"/>
          <w:sz w:val="24"/>
          <w:szCs w:val="24"/>
        </w:rPr>
        <w:tab/>
        <w:t xml:space="preserve">[4] 10 km </w:t>
      </w:r>
      <w:r w:rsidRPr="00DE5E47">
        <w:rPr>
          <w:rFonts w:cs="Times New Roman"/>
          <w:sz w:val="24"/>
          <w:szCs w:val="24"/>
        </w:rPr>
        <w:tab/>
        <w:t>[5] 20 km</w:t>
      </w:r>
    </w:p>
    <w:p w14:paraId="062860CC" w14:textId="77777777" w:rsidR="00221112" w:rsidRPr="00DE5E47" w:rsidRDefault="00C14051">
      <w:pPr>
        <w:spacing w:line="360" w:lineRule="auto"/>
        <w:jc w:val="both"/>
        <w:rPr>
          <w:rFonts w:cs="Times New Roman"/>
          <w:sz w:val="24"/>
          <w:szCs w:val="24"/>
        </w:rPr>
      </w:pPr>
      <w:r w:rsidRPr="00DE5E47">
        <w:rPr>
          <w:rFonts w:cs="Times New Roman"/>
          <w:sz w:val="24"/>
          <w:szCs w:val="24"/>
        </w:rPr>
        <w:t>How long does it take between fishing and market?</w:t>
      </w:r>
    </w:p>
    <w:p w14:paraId="5616133A" w14:textId="77777777" w:rsidR="00221112" w:rsidRPr="00DE5E47" w:rsidRDefault="00C14051">
      <w:pPr>
        <w:spacing w:line="360" w:lineRule="auto"/>
        <w:jc w:val="both"/>
        <w:rPr>
          <w:rFonts w:cs="Times New Roman"/>
          <w:sz w:val="24"/>
          <w:szCs w:val="24"/>
        </w:rPr>
      </w:pPr>
      <w:r w:rsidRPr="00DE5E47">
        <w:rPr>
          <w:rFonts w:cs="Times New Roman"/>
          <w:sz w:val="24"/>
          <w:szCs w:val="24"/>
        </w:rPr>
        <w:t>[1] 1 hour</w:t>
      </w:r>
      <w:r w:rsidRPr="00DE5E47">
        <w:rPr>
          <w:rFonts w:cs="Times New Roman"/>
          <w:sz w:val="24"/>
          <w:szCs w:val="24"/>
        </w:rPr>
        <w:tab/>
        <w:t xml:space="preserve"> [2] 6 hour</w:t>
      </w:r>
      <w:r w:rsidRPr="00DE5E47">
        <w:rPr>
          <w:rFonts w:cs="Times New Roman"/>
          <w:sz w:val="24"/>
          <w:szCs w:val="24"/>
        </w:rPr>
        <w:tab/>
        <w:t xml:space="preserve">[3] </w:t>
      </w:r>
      <w:r w:rsidRPr="00DE5E47">
        <w:rPr>
          <w:rFonts w:cs="Times New Roman"/>
          <w:sz w:val="24"/>
          <w:szCs w:val="24"/>
        </w:rPr>
        <w:tab/>
        <w:t xml:space="preserve">12 hours </w:t>
      </w:r>
      <w:r w:rsidRPr="00DE5E47">
        <w:rPr>
          <w:rFonts w:cs="Times New Roman"/>
          <w:sz w:val="24"/>
          <w:szCs w:val="24"/>
        </w:rPr>
        <w:tab/>
        <w:t>[4] 24 hours</w:t>
      </w:r>
      <w:r w:rsidRPr="00DE5E47">
        <w:rPr>
          <w:rFonts w:cs="Times New Roman"/>
          <w:sz w:val="24"/>
          <w:szCs w:val="24"/>
        </w:rPr>
        <w:tab/>
        <w:t>[5] 48 hours</w:t>
      </w:r>
    </w:p>
    <w:p w14:paraId="27EC7CDA" w14:textId="77777777" w:rsidR="00221112" w:rsidRPr="00DE5E47" w:rsidRDefault="00C14051">
      <w:pPr>
        <w:spacing w:line="360" w:lineRule="auto"/>
        <w:jc w:val="both"/>
        <w:rPr>
          <w:rFonts w:cs="Times New Roman"/>
          <w:b/>
          <w:bCs/>
          <w:sz w:val="24"/>
          <w:szCs w:val="24"/>
        </w:rPr>
      </w:pPr>
      <w:r w:rsidRPr="00DE5E47">
        <w:rPr>
          <w:rFonts w:cs="Times New Roman"/>
          <w:b/>
          <w:bCs/>
          <w:sz w:val="24"/>
          <w:szCs w:val="24"/>
        </w:rPr>
        <w:t>Objective ii: To explore the mud crab fishery actor's functions (at each market node).</w:t>
      </w:r>
    </w:p>
    <w:p w14:paraId="367E7670" w14:textId="77777777" w:rsidR="00221112" w:rsidRPr="00DE5E47" w:rsidRDefault="00C14051">
      <w:pPr>
        <w:spacing w:line="360" w:lineRule="auto"/>
        <w:jc w:val="both"/>
        <w:rPr>
          <w:rFonts w:cs="Times New Roman"/>
          <w:sz w:val="24"/>
          <w:szCs w:val="24"/>
        </w:rPr>
      </w:pPr>
      <w:r w:rsidRPr="00DE5E47">
        <w:rPr>
          <w:rFonts w:cs="Times New Roman"/>
          <w:b/>
          <w:bCs/>
          <w:sz w:val="24"/>
          <w:szCs w:val="24"/>
        </w:rPr>
        <w:t>Supply Chain Functions:</w:t>
      </w:r>
    </w:p>
    <w:p w14:paraId="2C9265DB" w14:textId="77777777" w:rsidR="00221112" w:rsidRPr="00DE5E47" w:rsidRDefault="00C14051">
      <w:pPr>
        <w:spacing w:line="360" w:lineRule="auto"/>
        <w:jc w:val="both"/>
        <w:rPr>
          <w:rFonts w:cs="Times New Roman"/>
          <w:sz w:val="24"/>
          <w:szCs w:val="24"/>
        </w:rPr>
      </w:pPr>
      <w:r w:rsidRPr="00DE5E47">
        <w:rPr>
          <w:rFonts w:cs="Times New Roman"/>
          <w:sz w:val="24"/>
          <w:szCs w:val="24"/>
        </w:rPr>
        <w:t>How do you obtain mud crabs for sale?</w:t>
      </w:r>
    </w:p>
    <w:p w14:paraId="075A3AC2" w14:textId="77777777" w:rsidR="00221112" w:rsidRPr="00DE5E47" w:rsidRDefault="00C14051">
      <w:pPr>
        <w:spacing w:line="360" w:lineRule="auto"/>
        <w:jc w:val="both"/>
        <w:rPr>
          <w:rFonts w:cs="Times New Roman"/>
          <w:sz w:val="24"/>
          <w:szCs w:val="24"/>
        </w:rPr>
      </w:pPr>
      <w:r w:rsidRPr="00DE5E47">
        <w:rPr>
          <w:rFonts w:cs="Times New Roman"/>
          <w:sz w:val="24"/>
          <w:szCs w:val="24"/>
        </w:rPr>
        <w:t>[1] Catching</w:t>
      </w:r>
      <w:r w:rsidRPr="00DE5E47">
        <w:rPr>
          <w:rFonts w:cs="Times New Roman"/>
          <w:sz w:val="24"/>
          <w:szCs w:val="24"/>
        </w:rPr>
        <w:tab/>
      </w:r>
      <w:r w:rsidRPr="00DE5E47">
        <w:rPr>
          <w:rFonts w:cs="Times New Roman"/>
          <w:sz w:val="24"/>
          <w:szCs w:val="24"/>
        </w:rPr>
        <w:tab/>
        <w:t>[2] Purchasing</w:t>
      </w:r>
      <w:r w:rsidRPr="00DE5E47">
        <w:rPr>
          <w:rFonts w:cs="Times New Roman"/>
          <w:sz w:val="24"/>
          <w:szCs w:val="24"/>
        </w:rPr>
        <w:tab/>
      </w:r>
      <w:r w:rsidRPr="00DE5E47">
        <w:rPr>
          <w:rFonts w:cs="Times New Roman"/>
          <w:sz w:val="24"/>
          <w:szCs w:val="24"/>
        </w:rPr>
        <w:tab/>
        <w:t>[3] Both</w:t>
      </w:r>
    </w:p>
    <w:p w14:paraId="2B8CE0CC" w14:textId="77777777" w:rsidR="00221112" w:rsidRPr="00DE5E47" w:rsidRDefault="00C14051">
      <w:pPr>
        <w:spacing w:line="360" w:lineRule="auto"/>
        <w:jc w:val="both"/>
        <w:rPr>
          <w:rFonts w:cs="Times New Roman"/>
          <w:sz w:val="24"/>
          <w:szCs w:val="24"/>
        </w:rPr>
      </w:pPr>
      <w:r w:rsidRPr="00DE5E47">
        <w:rPr>
          <w:rFonts w:cs="Times New Roman"/>
          <w:sz w:val="24"/>
          <w:szCs w:val="24"/>
        </w:rPr>
        <w:t>What are the processes involved in preparing mud crabs for the market?</w:t>
      </w:r>
    </w:p>
    <w:p w14:paraId="5698AE0D" w14:textId="77777777" w:rsidR="00221112" w:rsidRPr="00DE5E47" w:rsidRDefault="00C14051">
      <w:pPr>
        <w:spacing w:line="360" w:lineRule="auto"/>
        <w:jc w:val="both"/>
        <w:rPr>
          <w:rFonts w:cs="Times New Roman"/>
          <w:sz w:val="24"/>
          <w:szCs w:val="24"/>
        </w:rPr>
      </w:pPr>
      <w:r w:rsidRPr="00DE5E47">
        <w:rPr>
          <w:rFonts w:cs="Times New Roman"/>
          <w:sz w:val="24"/>
          <w:szCs w:val="24"/>
        </w:rPr>
        <w:t>[1] Cleaning</w:t>
      </w:r>
      <w:r w:rsidRPr="00DE5E47">
        <w:rPr>
          <w:rFonts w:cs="Times New Roman"/>
          <w:sz w:val="24"/>
          <w:szCs w:val="24"/>
        </w:rPr>
        <w:tab/>
      </w:r>
      <w:r w:rsidRPr="00DE5E47">
        <w:rPr>
          <w:rFonts w:cs="Times New Roman"/>
          <w:sz w:val="24"/>
          <w:szCs w:val="24"/>
        </w:rPr>
        <w:tab/>
        <w:t>[2] Sorting</w:t>
      </w:r>
      <w:r w:rsidRPr="00DE5E47">
        <w:rPr>
          <w:rFonts w:cs="Times New Roman"/>
          <w:sz w:val="24"/>
          <w:szCs w:val="24"/>
        </w:rPr>
        <w:tab/>
        <w:t>[3] Grading</w:t>
      </w:r>
      <w:r w:rsidRPr="00DE5E47">
        <w:rPr>
          <w:rFonts w:cs="Times New Roman"/>
          <w:sz w:val="24"/>
          <w:szCs w:val="24"/>
        </w:rPr>
        <w:tab/>
        <w:t>[4] Other (Specify)</w:t>
      </w:r>
    </w:p>
    <w:p w14:paraId="3A5A0E8D" w14:textId="77777777" w:rsidR="00221112" w:rsidRPr="00DE5E47" w:rsidRDefault="00C14051">
      <w:pPr>
        <w:spacing w:line="360" w:lineRule="auto"/>
        <w:jc w:val="both"/>
        <w:rPr>
          <w:rFonts w:cs="Times New Roman"/>
          <w:sz w:val="24"/>
          <w:szCs w:val="24"/>
        </w:rPr>
      </w:pPr>
      <w:r w:rsidRPr="00DE5E47">
        <w:rPr>
          <w:rFonts w:cs="Times New Roman"/>
          <w:sz w:val="24"/>
          <w:szCs w:val="24"/>
        </w:rPr>
        <w:t>How do you transport mud crabs to the market?</w:t>
      </w:r>
    </w:p>
    <w:p w14:paraId="2BED0B4B" w14:textId="77777777" w:rsidR="00221112" w:rsidRPr="00DE5E47" w:rsidRDefault="00C14051">
      <w:pPr>
        <w:spacing w:line="360" w:lineRule="auto"/>
        <w:jc w:val="both"/>
        <w:rPr>
          <w:rFonts w:cs="Times New Roman"/>
          <w:sz w:val="24"/>
          <w:szCs w:val="24"/>
        </w:rPr>
      </w:pPr>
      <w:r w:rsidRPr="00DE5E47">
        <w:rPr>
          <w:rFonts w:cs="Times New Roman"/>
          <w:sz w:val="24"/>
          <w:szCs w:val="24"/>
        </w:rPr>
        <w:t>[1] Boats</w:t>
      </w:r>
      <w:r w:rsidRPr="00DE5E47">
        <w:rPr>
          <w:rFonts w:cs="Times New Roman"/>
          <w:sz w:val="24"/>
          <w:szCs w:val="24"/>
        </w:rPr>
        <w:tab/>
        <w:t xml:space="preserve">[2] Motorcycles </w:t>
      </w:r>
      <w:r w:rsidRPr="00DE5E47">
        <w:rPr>
          <w:rFonts w:cs="Times New Roman"/>
          <w:sz w:val="24"/>
          <w:szCs w:val="24"/>
        </w:rPr>
        <w:tab/>
        <w:t>[3] Vehicles</w:t>
      </w:r>
      <w:r w:rsidRPr="00DE5E47">
        <w:rPr>
          <w:rFonts w:cs="Times New Roman"/>
          <w:sz w:val="24"/>
          <w:szCs w:val="24"/>
        </w:rPr>
        <w:tab/>
        <w:t>[4]  Foot 5 Air plane</w:t>
      </w:r>
    </w:p>
    <w:p w14:paraId="3FD70E71" w14:textId="77777777" w:rsidR="00221112" w:rsidRPr="00DE5E47" w:rsidRDefault="00C14051">
      <w:pPr>
        <w:spacing w:line="360" w:lineRule="auto"/>
        <w:jc w:val="both"/>
        <w:rPr>
          <w:rFonts w:cs="Times New Roman"/>
          <w:sz w:val="24"/>
          <w:szCs w:val="24"/>
        </w:rPr>
      </w:pPr>
      <w:r w:rsidRPr="00DE5E47">
        <w:rPr>
          <w:rFonts w:cs="Times New Roman"/>
          <w:sz w:val="24"/>
          <w:szCs w:val="24"/>
        </w:rPr>
        <w:t>To whom do you sell your crabs?</w:t>
      </w:r>
    </w:p>
    <w:p w14:paraId="3851E8DB" w14:textId="77777777" w:rsidR="00221112" w:rsidRPr="00DE5E47" w:rsidRDefault="00221112">
      <w:pPr>
        <w:spacing w:line="360" w:lineRule="auto"/>
        <w:jc w:val="both"/>
        <w:rPr>
          <w:rFonts w:cs="Times New Roman"/>
          <w:sz w:val="24"/>
          <w:szCs w:val="24"/>
        </w:rPr>
      </w:pPr>
    </w:p>
    <w:p w14:paraId="395EF14D" w14:textId="77777777" w:rsidR="00221112" w:rsidRPr="00DE5E47" w:rsidRDefault="00C14051">
      <w:pPr>
        <w:spacing w:line="360" w:lineRule="auto"/>
        <w:jc w:val="both"/>
        <w:rPr>
          <w:rFonts w:cs="Times New Roman"/>
          <w:sz w:val="24"/>
          <w:szCs w:val="24"/>
        </w:rPr>
      </w:pPr>
      <w:r w:rsidRPr="00DE5E47">
        <w:rPr>
          <w:rFonts w:cs="Times New Roman"/>
          <w:sz w:val="24"/>
          <w:szCs w:val="24"/>
        </w:rPr>
        <w:t>[1] Crab collectors</w:t>
      </w:r>
      <w:r w:rsidRPr="00DE5E47">
        <w:rPr>
          <w:rFonts w:cs="Times New Roman"/>
          <w:sz w:val="24"/>
          <w:szCs w:val="24"/>
        </w:rPr>
        <w:tab/>
        <w:t>[2] Company agents/middlemen (1st level)</w:t>
      </w:r>
      <w:r w:rsidRPr="00DE5E47">
        <w:rPr>
          <w:rFonts w:cs="Times New Roman"/>
          <w:sz w:val="24"/>
          <w:szCs w:val="24"/>
        </w:rPr>
        <w:tab/>
        <w:t>[3] Company agents/middlemen (2nd level)</w:t>
      </w:r>
      <w:r w:rsidRPr="00DE5E47">
        <w:rPr>
          <w:rFonts w:cs="Times New Roman"/>
          <w:sz w:val="24"/>
          <w:szCs w:val="24"/>
        </w:rPr>
        <w:tab/>
        <w:t>[4] Depot owners</w:t>
      </w:r>
      <w:r w:rsidRPr="00DE5E47">
        <w:rPr>
          <w:rFonts w:cs="Times New Roman"/>
          <w:sz w:val="24"/>
          <w:szCs w:val="24"/>
        </w:rPr>
        <w:tab/>
        <w:t>[5] Exporters</w:t>
      </w:r>
      <w:r w:rsidRPr="00DE5E47">
        <w:rPr>
          <w:rFonts w:cs="Times New Roman"/>
          <w:sz w:val="24"/>
          <w:szCs w:val="24"/>
        </w:rPr>
        <w:tab/>
        <w:t xml:space="preserve">[6] Others </w:t>
      </w:r>
    </w:p>
    <w:p w14:paraId="0A5BE55A" w14:textId="77777777" w:rsidR="00221112" w:rsidRPr="00DE5E47" w:rsidRDefault="00C14051">
      <w:pPr>
        <w:spacing w:line="360" w:lineRule="auto"/>
        <w:jc w:val="both"/>
        <w:rPr>
          <w:rFonts w:cs="Times New Roman"/>
          <w:b/>
          <w:bCs/>
          <w:sz w:val="24"/>
          <w:szCs w:val="24"/>
        </w:rPr>
      </w:pPr>
      <w:r w:rsidRPr="00DE5E47">
        <w:rPr>
          <w:rFonts w:cs="Times New Roman"/>
          <w:b/>
          <w:bCs/>
          <w:sz w:val="24"/>
          <w:szCs w:val="24"/>
        </w:rPr>
        <w:t>Trade of Mud Crabs:</w:t>
      </w:r>
    </w:p>
    <w:p w14:paraId="027A6106" w14:textId="77777777" w:rsidR="00221112" w:rsidRPr="00DE5E47" w:rsidRDefault="00C14051">
      <w:pPr>
        <w:spacing w:line="360" w:lineRule="auto"/>
        <w:jc w:val="both"/>
        <w:rPr>
          <w:rFonts w:cs="Times New Roman"/>
          <w:sz w:val="24"/>
          <w:szCs w:val="24"/>
        </w:rPr>
      </w:pPr>
      <w:r w:rsidRPr="00DE5E47">
        <w:rPr>
          <w:rFonts w:cs="Times New Roman"/>
          <w:sz w:val="24"/>
          <w:szCs w:val="24"/>
        </w:rPr>
        <w:t>How do you source mud crabs for trade?</w:t>
      </w:r>
    </w:p>
    <w:p w14:paraId="2BE8E6EB" w14:textId="77777777" w:rsidR="00221112" w:rsidRPr="00DE5E47" w:rsidRDefault="00C14051">
      <w:pPr>
        <w:spacing w:line="360" w:lineRule="auto"/>
        <w:jc w:val="both"/>
        <w:rPr>
          <w:rFonts w:cs="Times New Roman"/>
          <w:sz w:val="24"/>
          <w:szCs w:val="24"/>
        </w:rPr>
      </w:pPr>
      <w:r w:rsidRPr="00DE5E47">
        <w:rPr>
          <w:rFonts w:cs="Times New Roman"/>
          <w:sz w:val="24"/>
          <w:szCs w:val="24"/>
        </w:rPr>
        <w:t>[1] Catching them personally</w:t>
      </w:r>
      <w:r w:rsidRPr="00DE5E47">
        <w:rPr>
          <w:rFonts w:cs="Times New Roman"/>
          <w:sz w:val="24"/>
          <w:szCs w:val="24"/>
        </w:rPr>
        <w:tab/>
        <w:t>[2] Purchasing from local fishermen</w:t>
      </w:r>
      <w:r w:rsidRPr="00DE5E47">
        <w:rPr>
          <w:rFonts w:cs="Times New Roman"/>
          <w:sz w:val="24"/>
          <w:szCs w:val="24"/>
        </w:rPr>
        <w:tab/>
        <w:t>[3] Buying from middlemen</w:t>
      </w:r>
      <w:r w:rsidRPr="00DE5E47">
        <w:rPr>
          <w:rFonts w:cs="Times New Roman"/>
          <w:sz w:val="24"/>
          <w:szCs w:val="24"/>
        </w:rPr>
        <w:tab/>
        <w:t>[4] Importing from other regions</w:t>
      </w:r>
      <w:r w:rsidRPr="00DE5E47">
        <w:rPr>
          <w:rFonts w:cs="Times New Roman"/>
          <w:sz w:val="24"/>
          <w:szCs w:val="24"/>
        </w:rPr>
        <w:tab/>
        <w:t>[5] Other (please specify)</w:t>
      </w:r>
    </w:p>
    <w:p w14:paraId="20EF80A5" w14:textId="77777777" w:rsidR="00221112" w:rsidRPr="00DE5E47" w:rsidRDefault="00C14051">
      <w:pPr>
        <w:spacing w:line="360" w:lineRule="auto"/>
        <w:jc w:val="both"/>
        <w:rPr>
          <w:rFonts w:cs="Times New Roman"/>
          <w:sz w:val="24"/>
          <w:szCs w:val="24"/>
        </w:rPr>
      </w:pPr>
      <w:bookmarkStart w:id="266" w:name="OLE_LINK1"/>
      <w:r w:rsidRPr="00DE5E47">
        <w:rPr>
          <w:rFonts w:cs="Times New Roman"/>
          <w:sz w:val="24"/>
          <w:szCs w:val="24"/>
        </w:rPr>
        <w:t>What are the primary channels or markets where you sell mud crabs?</w:t>
      </w:r>
    </w:p>
    <w:bookmarkEnd w:id="266"/>
    <w:p w14:paraId="1F26F80F" w14:textId="77777777" w:rsidR="00221112" w:rsidRPr="00DE5E47" w:rsidRDefault="00C14051">
      <w:pPr>
        <w:spacing w:line="360" w:lineRule="auto"/>
        <w:jc w:val="both"/>
        <w:rPr>
          <w:rFonts w:cs="Times New Roman"/>
          <w:sz w:val="24"/>
          <w:szCs w:val="24"/>
        </w:rPr>
      </w:pPr>
      <w:r w:rsidRPr="00DE5E47">
        <w:rPr>
          <w:rFonts w:cs="Times New Roman"/>
          <w:sz w:val="24"/>
          <w:szCs w:val="24"/>
        </w:rPr>
        <w:t>[1] Local markets</w:t>
      </w:r>
      <w:r w:rsidRPr="00DE5E47">
        <w:rPr>
          <w:rFonts w:cs="Times New Roman"/>
          <w:sz w:val="24"/>
          <w:szCs w:val="24"/>
        </w:rPr>
        <w:tab/>
        <w:t>[2] Export markets</w:t>
      </w:r>
      <w:r w:rsidRPr="00DE5E47">
        <w:rPr>
          <w:rFonts w:cs="Times New Roman"/>
          <w:sz w:val="24"/>
          <w:szCs w:val="24"/>
        </w:rPr>
        <w:tab/>
        <w:t>[3] Restaurants and hotels</w:t>
      </w:r>
      <w:r w:rsidRPr="00DE5E47">
        <w:rPr>
          <w:rFonts w:cs="Times New Roman"/>
          <w:sz w:val="24"/>
          <w:szCs w:val="24"/>
        </w:rPr>
        <w:tab/>
        <w:t>[4] Online platforms</w:t>
      </w:r>
      <w:r w:rsidRPr="00DE5E47">
        <w:rPr>
          <w:rFonts w:cs="Times New Roman"/>
          <w:sz w:val="24"/>
          <w:szCs w:val="24"/>
        </w:rPr>
        <w:tab/>
        <w:t>[5] Other (please specify)</w:t>
      </w:r>
    </w:p>
    <w:p w14:paraId="3507212E" w14:textId="77777777" w:rsidR="00221112" w:rsidRPr="00DE5E47" w:rsidRDefault="00C14051">
      <w:pPr>
        <w:spacing w:line="360" w:lineRule="auto"/>
        <w:jc w:val="both"/>
        <w:rPr>
          <w:rFonts w:cs="Times New Roman"/>
          <w:sz w:val="24"/>
          <w:szCs w:val="24"/>
        </w:rPr>
      </w:pPr>
      <w:r w:rsidRPr="00DE5E47">
        <w:rPr>
          <w:rFonts w:cs="Times New Roman"/>
          <w:sz w:val="24"/>
          <w:szCs w:val="24"/>
        </w:rPr>
        <w:t>Do you engage in direct selling or through intermediaries in the trade of mud crabs?</w:t>
      </w:r>
    </w:p>
    <w:p w14:paraId="6D90B15B" w14:textId="77777777" w:rsidR="00221112" w:rsidRPr="00DE5E47" w:rsidRDefault="00C14051">
      <w:pPr>
        <w:spacing w:line="360" w:lineRule="auto"/>
        <w:jc w:val="both"/>
        <w:rPr>
          <w:rFonts w:cs="Times New Roman"/>
          <w:sz w:val="24"/>
          <w:szCs w:val="24"/>
        </w:rPr>
      </w:pPr>
      <w:r w:rsidRPr="00DE5E47">
        <w:rPr>
          <w:rFonts w:cs="Times New Roman"/>
          <w:sz w:val="24"/>
          <w:szCs w:val="24"/>
        </w:rPr>
        <w:lastRenderedPageBreak/>
        <w:t>[1] Direct selling</w:t>
      </w:r>
      <w:r w:rsidRPr="00DE5E47">
        <w:rPr>
          <w:rFonts w:cs="Times New Roman"/>
          <w:sz w:val="24"/>
          <w:szCs w:val="24"/>
        </w:rPr>
        <w:tab/>
        <w:t>[2] Through intermediaries</w:t>
      </w:r>
      <w:r w:rsidRPr="00DE5E47">
        <w:rPr>
          <w:rFonts w:cs="Times New Roman"/>
          <w:sz w:val="24"/>
          <w:szCs w:val="24"/>
        </w:rPr>
        <w:tab/>
        <w:t>[3] Both</w:t>
      </w:r>
      <w:r w:rsidRPr="00DE5E47">
        <w:rPr>
          <w:rFonts w:cs="Times New Roman"/>
          <w:sz w:val="24"/>
          <w:szCs w:val="24"/>
        </w:rPr>
        <w:tab/>
        <w:t>[4] Neither</w:t>
      </w:r>
    </w:p>
    <w:p w14:paraId="62F0F37B" w14:textId="77777777" w:rsidR="00221112" w:rsidRPr="00DE5E47" w:rsidRDefault="00C14051">
      <w:pPr>
        <w:spacing w:line="360" w:lineRule="auto"/>
        <w:jc w:val="both"/>
        <w:rPr>
          <w:rFonts w:cs="Times New Roman"/>
          <w:sz w:val="24"/>
          <w:szCs w:val="24"/>
        </w:rPr>
      </w:pPr>
      <w:r w:rsidRPr="00DE5E47">
        <w:rPr>
          <w:rFonts w:cs="Times New Roman"/>
          <w:sz w:val="24"/>
          <w:szCs w:val="24"/>
        </w:rPr>
        <w:t>How do you ensure the quality and freshness of mud crabs for trade?</w:t>
      </w:r>
    </w:p>
    <w:p w14:paraId="50B9A69A" w14:textId="77777777" w:rsidR="00221112" w:rsidRPr="00DE5E47" w:rsidRDefault="00C14051">
      <w:pPr>
        <w:spacing w:line="360" w:lineRule="auto"/>
        <w:jc w:val="both"/>
        <w:rPr>
          <w:rFonts w:cs="Times New Roman"/>
          <w:sz w:val="24"/>
          <w:szCs w:val="24"/>
        </w:rPr>
      </w:pPr>
      <w:r w:rsidRPr="00DE5E47">
        <w:rPr>
          <w:rFonts w:cs="Times New Roman"/>
          <w:sz w:val="24"/>
          <w:szCs w:val="24"/>
        </w:rPr>
        <w:t>[1] Immediate transportation to market</w:t>
      </w:r>
      <w:r w:rsidRPr="00DE5E47">
        <w:rPr>
          <w:rFonts w:cs="Times New Roman"/>
          <w:sz w:val="24"/>
          <w:szCs w:val="24"/>
        </w:rPr>
        <w:tab/>
      </w:r>
      <w:r w:rsidRPr="00DE5E47">
        <w:rPr>
          <w:rFonts w:cs="Times New Roman"/>
          <w:sz w:val="24"/>
          <w:szCs w:val="24"/>
        </w:rPr>
        <w:tab/>
        <w:t>[2] Proper storage facilities</w:t>
      </w:r>
      <w:r w:rsidRPr="00DE5E47">
        <w:rPr>
          <w:rFonts w:cs="Times New Roman"/>
          <w:sz w:val="24"/>
          <w:szCs w:val="24"/>
        </w:rPr>
        <w:tab/>
        <w:t>[3] Regular quality checks</w:t>
      </w:r>
      <w:r w:rsidRPr="00DE5E47">
        <w:rPr>
          <w:rFonts w:cs="Times New Roman"/>
          <w:sz w:val="24"/>
          <w:szCs w:val="24"/>
        </w:rPr>
        <w:tab/>
      </w:r>
      <w:r w:rsidRPr="00DE5E47">
        <w:rPr>
          <w:rFonts w:cs="Times New Roman"/>
          <w:sz w:val="24"/>
          <w:szCs w:val="24"/>
        </w:rPr>
        <w:tab/>
        <w:t>[4] Quick processing methods</w:t>
      </w:r>
      <w:r w:rsidRPr="00DE5E47">
        <w:rPr>
          <w:rFonts w:cs="Times New Roman"/>
          <w:sz w:val="24"/>
          <w:szCs w:val="24"/>
        </w:rPr>
        <w:tab/>
        <w:t>[5] Other (please specify)</w:t>
      </w:r>
    </w:p>
    <w:p w14:paraId="7D393184" w14:textId="77777777" w:rsidR="00221112" w:rsidRPr="00DE5E47" w:rsidRDefault="00C14051">
      <w:pPr>
        <w:spacing w:line="360" w:lineRule="auto"/>
        <w:jc w:val="both"/>
        <w:rPr>
          <w:rFonts w:cs="Times New Roman"/>
          <w:sz w:val="24"/>
          <w:szCs w:val="24"/>
        </w:rPr>
      </w:pPr>
      <w:r w:rsidRPr="00DE5E47">
        <w:rPr>
          <w:rFonts w:cs="Times New Roman"/>
          <w:sz w:val="24"/>
          <w:szCs w:val="24"/>
        </w:rPr>
        <w:t>What are the main challenges you face in the trade of mud crabs?</w:t>
      </w:r>
    </w:p>
    <w:p w14:paraId="162D9169" w14:textId="77777777" w:rsidR="00221112" w:rsidRPr="00DE5E47" w:rsidRDefault="00C14051">
      <w:pPr>
        <w:spacing w:line="360" w:lineRule="auto"/>
        <w:jc w:val="both"/>
        <w:rPr>
          <w:rFonts w:cs="Times New Roman"/>
          <w:sz w:val="24"/>
          <w:szCs w:val="24"/>
        </w:rPr>
      </w:pPr>
      <w:r w:rsidRPr="00DE5E47">
        <w:rPr>
          <w:rFonts w:cs="Times New Roman"/>
          <w:sz w:val="24"/>
          <w:szCs w:val="24"/>
        </w:rPr>
        <w:t>[1] Seasonal fluctuations in supply</w:t>
      </w:r>
      <w:r w:rsidRPr="00DE5E47">
        <w:rPr>
          <w:rFonts w:cs="Times New Roman"/>
          <w:sz w:val="24"/>
          <w:szCs w:val="24"/>
        </w:rPr>
        <w:tab/>
        <w:t>[2] Competition from other suppliers</w:t>
      </w:r>
      <w:r w:rsidRPr="00DE5E47">
        <w:rPr>
          <w:rFonts w:cs="Times New Roman"/>
          <w:sz w:val="24"/>
          <w:szCs w:val="24"/>
        </w:rPr>
        <w:tab/>
        <w:t>[3] Transportation logistics</w:t>
      </w:r>
      <w:r w:rsidRPr="00DE5E47">
        <w:rPr>
          <w:rFonts w:cs="Times New Roman"/>
          <w:sz w:val="24"/>
          <w:szCs w:val="24"/>
        </w:rPr>
        <w:tab/>
        <w:t>[4] Price volatility</w:t>
      </w:r>
      <w:r w:rsidRPr="00DE5E47">
        <w:rPr>
          <w:rFonts w:cs="Times New Roman"/>
          <w:sz w:val="24"/>
          <w:szCs w:val="24"/>
        </w:rPr>
        <w:tab/>
        <w:t>[5] Other (please specify)</w:t>
      </w:r>
    </w:p>
    <w:p w14:paraId="6D3037BE" w14:textId="77777777" w:rsidR="00221112" w:rsidRPr="00DE5E47" w:rsidRDefault="00C14051">
      <w:pPr>
        <w:spacing w:line="360" w:lineRule="auto"/>
        <w:jc w:val="both"/>
        <w:rPr>
          <w:rFonts w:cs="Times New Roman"/>
          <w:b/>
          <w:bCs/>
          <w:sz w:val="24"/>
          <w:szCs w:val="24"/>
        </w:rPr>
      </w:pPr>
      <w:r w:rsidRPr="00DE5E47">
        <w:rPr>
          <w:rFonts w:cs="Times New Roman"/>
          <w:b/>
          <w:bCs/>
          <w:sz w:val="24"/>
          <w:szCs w:val="24"/>
        </w:rPr>
        <w:t>Grading:</w:t>
      </w:r>
    </w:p>
    <w:p w14:paraId="6DD7629D" w14:textId="77777777" w:rsidR="00221112" w:rsidRPr="00DE5E47" w:rsidRDefault="00C14051">
      <w:pPr>
        <w:spacing w:line="360" w:lineRule="auto"/>
        <w:jc w:val="both"/>
        <w:rPr>
          <w:rFonts w:cs="Times New Roman"/>
          <w:sz w:val="24"/>
          <w:szCs w:val="24"/>
        </w:rPr>
      </w:pPr>
      <w:r w:rsidRPr="00DE5E47">
        <w:rPr>
          <w:rFonts w:cs="Times New Roman"/>
          <w:sz w:val="24"/>
          <w:szCs w:val="24"/>
        </w:rPr>
        <w:t>Do you engage in grading mud crabs before sale?</w:t>
      </w:r>
    </w:p>
    <w:p w14:paraId="7AEF2521"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[2] No</w:t>
      </w:r>
    </w:p>
    <w:p w14:paraId="43706C2F" w14:textId="77777777" w:rsidR="00221112" w:rsidRPr="00DE5E47" w:rsidRDefault="00C14051">
      <w:pPr>
        <w:spacing w:line="360" w:lineRule="auto"/>
        <w:jc w:val="both"/>
        <w:rPr>
          <w:rFonts w:cs="Times New Roman"/>
          <w:sz w:val="24"/>
          <w:szCs w:val="24"/>
        </w:rPr>
      </w:pPr>
      <w:r w:rsidRPr="00DE5E47">
        <w:rPr>
          <w:rFonts w:cs="Times New Roman"/>
          <w:sz w:val="24"/>
          <w:szCs w:val="24"/>
        </w:rPr>
        <w:t>How do you determine the grade or quality of mud crabs for different markets?</w:t>
      </w:r>
    </w:p>
    <w:p w14:paraId="4AF31107" w14:textId="77777777" w:rsidR="00221112" w:rsidRPr="00DE5E47" w:rsidRDefault="00C14051">
      <w:pPr>
        <w:spacing w:line="360" w:lineRule="auto"/>
        <w:jc w:val="both"/>
        <w:rPr>
          <w:rFonts w:cs="Times New Roman"/>
          <w:sz w:val="24"/>
          <w:szCs w:val="24"/>
        </w:rPr>
      </w:pPr>
      <w:r w:rsidRPr="00DE5E47">
        <w:rPr>
          <w:rFonts w:cs="Times New Roman"/>
          <w:sz w:val="24"/>
          <w:szCs w:val="24"/>
        </w:rPr>
        <w:t>[1] Size</w:t>
      </w:r>
      <w:r w:rsidRPr="00DE5E47">
        <w:rPr>
          <w:rFonts w:cs="Times New Roman"/>
          <w:sz w:val="24"/>
          <w:szCs w:val="24"/>
        </w:rPr>
        <w:tab/>
      </w:r>
      <w:r w:rsidRPr="00DE5E47">
        <w:rPr>
          <w:rFonts w:cs="Times New Roman"/>
          <w:sz w:val="24"/>
          <w:szCs w:val="24"/>
        </w:rPr>
        <w:tab/>
        <w:t>[2] Weight</w:t>
      </w:r>
      <w:r w:rsidRPr="00DE5E47">
        <w:rPr>
          <w:rFonts w:cs="Times New Roman"/>
          <w:sz w:val="24"/>
          <w:szCs w:val="24"/>
        </w:rPr>
        <w:tab/>
        <w:t>[3] Shell condition</w:t>
      </w:r>
      <w:r w:rsidRPr="00DE5E47">
        <w:rPr>
          <w:rFonts w:cs="Times New Roman"/>
          <w:sz w:val="24"/>
          <w:szCs w:val="24"/>
        </w:rPr>
        <w:tab/>
        <w:t>[4] Claw size</w:t>
      </w:r>
      <w:r w:rsidRPr="00DE5E47">
        <w:rPr>
          <w:rFonts w:cs="Times New Roman"/>
          <w:sz w:val="24"/>
          <w:szCs w:val="24"/>
        </w:rPr>
        <w:tab/>
        <w:t>[5] Other (please specify)</w:t>
      </w:r>
    </w:p>
    <w:p w14:paraId="69E11E18" w14:textId="77777777" w:rsidR="00221112" w:rsidRPr="00DE5E47" w:rsidRDefault="00C14051">
      <w:pPr>
        <w:spacing w:line="360" w:lineRule="auto"/>
        <w:jc w:val="both"/>
        <w:rPr>
          <w:rFonts w:cs="Times New Roman"/>
          <w:sz w:val="24"/>
          <w:szCs w:val="24"/>
        </w:rPr>
      </w:pPr>
      <w:r w:rsidRPr="00DE5E47">
        <w:rPr>
          <w:rFonts w:cs="Times New Roman"/>
          <w:sz w:val="24"/>
          <w:szCs w:val="24"/>
        </w:rPr>
        <w:t>What factors influence your grading process for mud crabs?</w:t>
      </w:r>
    </w:p>
    <w:p w14:paraId="7C4C75C7" w14:textId="77777777" w:rsidR="00221112" w:rsidRPr="00DE5E47" w:rsidRDefault="00C14051">
      <w:pPr>
        <w:spacing w:line="360" w:lineRule="auto"/>
        <w:jc w:val="both"/>
        <w:rPr>
          <w:rFonts w:cs="Times New Roman"/>
          <w:sz w:val="24"/>
          <w:szCs w:val="24"/>
        </w:rPr>
      </w:pPr>
      <w:r w:rsidRPr="00DE5E47">
        <w:rPr>
          <w:rFonts w:cs="Times New Roman"/>
          <w:sz w:val="24"/>
          <w:szCs w:val="24"/>
        </w:rPr>
        <w:t>[1] Market demand</w:t>
      </w:r>
      <w:r w:rsidRPr="00DE5E47">
        <w:rPr>
          <w:rFonts w:cs="Times New Roman"/>
          <w:sz w:val="24"/>
          <w:szCs w:val="24"/>
        </w:rPr>
        <w:tab/>
        <w:t>[2] Customer preferences</w:t>
      </w:r>
      <w:r w:rsidRPr="00DE5E47">
        <w:rPr>
          <w:rFonts w:cs="Times New Roman"/>
          <w:sz w:val="24"/>
          <w:szCs w:val="24"/>
        </w:rPr>
        <w:tab/>
        <w:t>[3] Regulatory standards</w:t>
      </w:r>
      <w:r w:rsidRPr="00DE5E47">
        <w:rPr>
          <w:rFonts w:cs="Times New Roman"/>
          <w:sz w:val="24"/>
          <w:szCs w:val="24"/>
        </w:rPr>
        <w:tab/>
        <w:t>[4] Appearance</w:t>
      </w:r>
      <w:r w:rsidRPr="00DE5E47">
        <w:rPr>
          <w:rFonts w:cs="Times New Roman"/>
          <w:sz w:val="24"/>
          <w:szCs w:val="24"/>
        </w:rPr>
        <w:tab/>
        <w:t>[5] Other (please specify)</w:t>
      </w:r>
    </w:p>
    <w:p w14:paraId="1C4F4530" w14:textId="77777777" w:rsidR="00221112" w:rsidRPr="00DE5E47" w:rsidRDefault="00C14051">
      <w:pPr>
        <w:spacing w:line="360" w:lineRule="auto"/>
        <w:jc w:val="both"/>
        <w:rPr>
          <w:rFonts w:cs="Times New Roman"/>
          <w:sz w:val="24"/>
          <w:szCs w:val="24"/>
        </w:rPr>
      </w:pPr>
      <w:r w:rsidRPr="00DE5E47">
        <w:rPr>
          <w:rFonts w:cs="Times New Roman"/>
          <w:sz w:val="24"/>
          <w:szCs w:val="24"/>
        </w:rPr>
        <w:t>How many buyers do you sell to</w:t>
      </w:r>
    </w:p>
    <w:tbl>
      <w:tblPr>
        <w:tblStyle w:val="TableGrid"/>
        <w:tblW w:w="0" w:type="auto"/>
        <w:tblLook w:val="04A0" w:firstRow="1" w:lastRow="0" w:firstColumn="1" w:lastColumn="0" w:noHBand="0" w:noVBand="1"/>
      </w:tblPr>
      <w:tblGrid>
        <w:gridCol w:w="2998"/>
        <w:gridCol w:w="3013"/>
        <w:gridCol w:w="3008"/>
      </w:tblGrid>
      <w:tr w:rsidR="00221112" w:rsidRPr="00DE5E47" w14:paraId="4D0EE2E7" w14:textId="77777777">
        <w:tc>
          <w:tcPr>
            <w:tcW w:w="3116" w:type="dxa"/>
          </w:tcPr>
          <w:p w14:paraId="281DF983" w14:textId="77777777" w:rsidR="00221112" w:rsidRPr="00DE5E47" w:rsidRDefault="00C14051">
            <w:pPr>
              <w:spacing w:after="0" w:line="360" w:lineRule="auto"/>
              <w:jc w:val="both"/>
              <w:rPr>
                <w:rFonts w:cs="Times New Roman"/>
                <w:sz w:val="24"/>
                <w:szCs w:val="24"/>
              </w:rPr>
            </w:pPr>
            <w:r w:rsidRPr="00DE5E47">
              <w:rPr>
                <w:rFonts w:cs="Times New Roman"/>
                <w:sz w:val="24"/>
                <w:szCs w:val="24"/>
              </w:rPr>
              <w:t>Name</w:t>
            </w:r>
          </w:p>
        </w:tc>
        <w:tc>
          <w:tcPr>
            <w:tcW w:w="3117" w:type="dxa"/>
          </w:tcPr>
          <w:p w14:paraId="20F9DD79" w14:textId="77777777" w:rsidR="00221112" w:rsidRPr="00DE5E47" w:rsidRDefault="00C14051">
            <w:pPr>
              <w:spacing w:after="0" w:line="360" w:lineRule="auto"/>
              <w:jc w:val="both"/>
              <w:rPr>
                <w:rFonts w:cs="Times New Roman"/>
                <w:sz w:val="24"/>
                <w:szCs w:val="24"/>
              </w:rPr>
            </w:pPr>
            <w:r w:rsidRPr="00DE5E47">
              <w:rPr>
                <w:rFonts w:cs="Times New Roman"/>
                <w:sz w:val="24"/>
                <w:szCs w:val="24"/>
              </w:rPr>
              <w:t>Location</w:t>
            </w:r>
          </w:p>
        </w:tc>
        <w:tc>
          <w:tcPr>
            <w:tcW w:w="3117" w:type="dxa"/>
          </w:tcPr>
          <w:p w14:paraId="2CB23E5B" w14:textId="77777777" w:rsidR="00221112" w:rsidRPr="00DE5E47" w:rsidRDefault="00C14051">
            <w:pPr>
              <w:spacing w:after="0" w:line="360" w:lineRule="auto"/>
              <w:jc w:val="both"/>
              <w:rPr>
                <w:rFonts w:cs="Times New Roman"/>
                <w:sz w:val="24"/>
                <w:szCs w:val="24"/>
              </w:rPr>
            </w:pPr>
            <w:r w:rsidRPr="00DE5E47">
              <w:rPr>
                <w:rFonts w:cs="Times New Roman"/>
                <w:sz w:val="24"/>
                <w:szCs w:val="24"/>
              </w:rPr>
              <w:t>Contact</w:t>
            </w:r>
          </w:p>
        </w:tc>
      </w:tr>
      <w:tr w:rsidR="00221112" w:rsidRPr="00DE5E47" w14:paraId="6538FBE8" w14:textId="77777777">
        <w:tc>
          <w:tcPr>
            <w:tcW w:w="3116" w:type="dxa"/>
          </w:tcPr>
          <w:p w14:paraId="4F239A73" w14:textId="77777777" w:rsidR="00221112" w:rsidRPr="00DE5E47" w:rsidRDefault="00221112">
            <w:pPr>
              <w:spacing w:after="0" w:line="360" w:lineRule="auto"/>
              <w:jc w:val="both"/>
              <w:rPr>
                <w:rFonts w:cs="Times New Roman"/>
                <w:sz w:val="24"/>
                <w:szCs w:val="24"/>
              </w:rPr>
            </w:pPr>
          </w:p>
        </w:tc>
        <w:tc>
          <w:tcPr>
            <w:tcW w:w="3117" w:type="dxa"/>
          </w:tcPr>
          <w:p w14:paraId="23E90226" w14:textId="77777777" w:rsidR="00221112" w:rsidRPr="00DE5E47" w:rsidRDefault="00221112">
            <w:pPr>
              <w:spacing w:after="0" w:line="360" w:lineRule="auto"/>
              <w:jc w:val="both"/>
              <w:rPr>
                <w:rFonts w:cs="Times New Roman"/>
                <w:sz w:val="24"/>
                <w:szCs w:val="24"/>
              </w:rPr>
            </w:pPr>
          </w:p>
        </w:tc>
        <w:tc>
          <w:tcPr>
            <w:tcW w:w="3117" w:type="dxa"/>
          </w:tcPr>
          <w:p w14:paraId="3D043383" w14:textId="77777777" w:rsidR="00221112" w:rsidRPr="00DE5E47" w:rsidRDefault="00221112">
            <w:pPr>
              <w:spacing w:after="0" w:line="360" w:lineRule="auto"/>
              <w:jc w:val="both"/>
              <w:rPr>
                <w:rFonts w:cs="Times New Roman"/>
                <w:sz w:val="24"/>
                <w:szCs w:val="24"/>
              </w:rPr>
            </w:pPr>
          </w:p>
        </w:tc>
      </w:tr>
      <w:tr w:rsidR="00221112" w:rsidRPr="00DE5E47" w14:paraId="47F05B66" w14:textId="77777777">
        <w:tc>
          <w:tcPr>
            <w:tcW w:w="3116" w:type="dxa"/>
          </w:tcPr>
          <w:p w14:paraId="5624F2E2" w14:textId="77777777" w:rsidR="00221112" w:rsidRPr="00DE5E47" w:rsidRDefault="00221112">
            <w:pPr>
              <w:spacing w:after="0" w:line="360" w:lineRule="auto"/>
              <w:jc w:val="both"/>
              <w:rPr>
                <w:rFonts w:cs="Times New Roman"/>
                <w:sz w:val="24"/>
                <w:szCs w:val="24"/>
              </w:rPr>
            </w:pPr>
          </w:p>
        </w:tc>
        <w:tc>
          <w:tcPr>
            <w:tcW w:w="3117" w:type="dxa"/>
          </w:tcPr>
          <w:p w14:paraId="6286AEC0" w14:textId="77777777" w:rsidR="00221112" w:rsidRPr="00DE5E47" w:rsidRDefault="00221112">
            <w:pPr>
              <w:spacing w:after="0" w:line="360" w:lineRule="auto"/>
              <w:jc w:val="both"/>
              <w:rPr>
                <w:rFonts w:cs="Times New Roman"/>
                <w:sz w:val="24"/>
                <w:szCs w:val="24"/>
              </w:rPr>
            </w:pPr>
          </w:p>
        </w:tc>
        <w:tc>
          <w:tcPr>
            <w:tcW w:w="3117" w:type="dxa"/>
          </w:tcPr>
          <w:p w14:paraId="63EAF61B" w14:textId="77777777" w:rsidR="00221112" w:rsidRPr="00DE5E47" w:rsidRDefault="00221112">
            <w:pPr>
              <w:spacing w:after="0" w:line="360" w:lineRule="auto"/>
              <w:jc w:val="both"/>
              <w:rPr>
                <w:rFonts w:cs="Times New Roman"/>
                <w:sz w:val="24"/>
                <w:szCs w:val="24"/>
              </w:rPr>
            </w:pPr>
          </w:p>
        </w:tc>
      </w:tr>
      <w:tr w:rsidR="00221112" w:rsidRPr="00DE5E47" w14:paraId="13A3C303" w14:textId="77777777">
        <w:tc>
          <w:tcPr>
            <w:tcW w:w="3116" w:type="dxa"/>
          </w:tcPr>
          <w:p w14:paraId="6AEF3FFA" w14:textId="77777777" w:rsidR="00221112" w:rsidRPr="00DE5E47" w:rsidRDefault="00221112">
            <w:pPr>
              <w:spacing w:after="0" w:line="360" w:lineRule="auto"/>
              <w:jc w:val="both"/>
              <w:rPr>
                <w:rFonts w:cs="Times New Roman"/>
                <w:sz w:val="24"/>
                <w:szCs w:val="24"/>
              </w:rPr>
            </w:pPr>
          </w:p>
        </w:tc>
        <w:tc>
          <w:tcPr>
            <w:tcW w:w="3117" w:type="dxa"/>
          </w:tcPr>
          <w:p w14:paraId="7776578C" w14:textId="77777777" w:rsidR="00221112" w:rsidRPr="00DE5E47" w:rsidRDefault="00221112">
            <w:pPr>
              <w:spacing w:after="0" w:line="360" w:lineRule="auto"/>
              <w:jc w:val="both"/>
              <w:rPr>
                <w:rFonts w:cs="Times New Roman"/>
                <w:sz w:val="24"/>
                <w:szCs w:val="24"/>
              </w:rPr>
            </w:pPr>
          </w:p>
        </w:tc>
        <w:tc>
          <w:tcPr>
            <w:tcW w:w="3117" w:type="dxa"/>
          </w:tcPr>
          <w:p w14:paraId="12098E46" w14:textId="77777777" w:rsidR="00221112" w:rsidRPr="00DE5E47" w:rsidRDefault="00221112">
            <w:pPr>
              <w:spacing w:after="0" w:line="360" w:lineRule="auto"/>
              <w:jc w:val="both"/>
              <w:rPr>
                <w:rFonts w:cs="Times New Roman"/>
                <w:sz w:val="24"/>
                <w:szCs w:val="24"/>
              </w:rPr>
            </w:pPr>
          </w:p>
        </w:tc>
      </w:tr>
    </w:tbl>
    <w:p w14:paraId="0C7D0AAE" w14:textId="77777777" w:rsidR="00221112" w:rsidRPr="00DE5E47" w:rsidRDefault="00221112">
      <w:pPr>
        <w:spacing w:line="360" w:lineRule="auto"/>
        <w:jc w:val="both"/>
        <w:rPr>
          <w:rFonts w:cs="Times New Roman"/>
          <w:sz w:val="24"/>
          <w:szCs w:val="24"/>
        </w:rPr>
      </w:pPr>
    </w:p>
    <w:p w14:paraId="340F7EB7" w14:textId="77777777" w:rsidR="00221112" w:rsidRPr="00DE5E47" w:rsidRDefault="00C14051">
      <w:pPr>
        <w:spacing w:line="360" w:lineRule="auto"/>
        <w:jc w:val="both"/>
        <w:rPr>
          <w:rFonts w:cs="Times New Roman"/>
          <w:sz w:val="24"/>
          <w:szCs w:val="24"/>
          <w:highlight w:val="green"/>
        </w:rPr>
      </w:pPr>
      <w:r w:rsidRPr="00DE5E47">
        <w:rPr>
          <w:rFonts w:cs="Times New Roman"/>
          <w:sz w:val="24"/>
          <w:szCs w:val="24"/>
        </w:rPr>
        <w:t xml:space="preserve">How much do you sell your mud crabs for? (Remind that that all answers will be kept confidential, and we will aggregate data). </w:t>
      </w:r>
    </w:p>
    <w:tbl>
      <w:tblPr>
        <w:tblStyle w:val="TableGrid"/>
        <w:tblW w:w="5000" w:type="pct"/>
        <w:jc w:val="center"/>
        <w:tblLayout w:type="fixed"/>
        <w:tblLook w:val="04A0" w:firstRow="1" w:lastRow="0" w:firstColumn="1" w:lastColumn="0" w:noHBand="0" w:noVBand="1"/>
      </w:tblPr>
      <w:tblGrid>
        <w:gridCol w:w="2524"/>
        <w:gridCol w:w="3958"/>
        <w:gridCol w:w="1209"/>
        <w:gridCol w:w="1328"/>
      </w:tblGrid>
      <w:tr w:rsidR="00221112" w:rsidRPr="00DE5E47" w14:paraId="5D91F66F" w14:textId="77777777">
        <w:trPr>
          <w:tblHeader/>
          <w:jc w:val="center"/>
        </w:trPr>
        <w:tc>
          <w:tcPr>
            <w:tcW w:w="3024" w:type="dxa"/>
            <w:tcMar>
              <w:top w:w="20" w:type="dxa"/>
              <w:left w:w="30" w:type="dxa"/>
              <w:bottom w:w="20" w:type="dxa"/>
              <w:right w:w="30" w:type="dxa"/>
            </w:tcMar>
            <w:vAlign w:val="center"/>
          </w:tcPr>
          <w:p w14:paraId="517D1396" w14:textId="77777777" w:rsidR="00221112" w:rsidRPr="00DE5E47" w:rsidRDefault="00C14051">
            <w:pPr>
              <w:spacing w:after="0" w:line="240" w:lineRule="auto"/>
              <w:jc w:val="both"/>
              <w:rPr>
                <w:rFonts w:cs="Times New Roman"/>
                <w:b/>
                <w:sz w:val="24"/>
                <w:szCs w:val="24"/>
              </w:rPr>
            </w:pPr>
            <w:r w:rsidRPr="00DE5E47">
              <w:rPr>
                <w:rFonts w:cs="Times New Roman"/>
                <w:b/>
                <w:sz w:val="24"/>
                <w:szCs w:val="24"/>
              </w:rPr>
              <w:t>Price (KSh)</w:t>
            </w:r>
          </w:p>
        </w:tc>
        <w:tc>
          <w:tcPr>
            <w:tcW w:w="4752" w:type="dxa"/>
            <w:tcMar>
              <w:top w:w="20" w:type="dxa"/>
              <w:left w:w="30" w:type="dxa"/>
              <w:bottom w:w="20" w:type="dxa"/>
              <w:right w:w="30" w:type="dxa"/>
            </w:tcMar>
            <w:vAlign w:val="center"/>
          </w:tcPr>
          <w:p w14:paraId="46654AEB" w14:textId="77777777" w:rsidR="00221112" w:rsidRPr="00DE5E47" w:rsidRDefault="00C14051">
            <w:pPr>
              <w:spacing w:after="0" w:line="240" w:lineRule="auto"/>
              <w:jc w:val="both"/>
              <w:rPr>
                <w:rFonts w:cs="Times New Roman"/>
                <w:b/>
                <w:sz w:val="24"/>
                <w:szCs w:val="24"/>
              </w:rPr>
            </w:pPr>
            <w:r w:rsidRPr="00DE5E47">
              <w:rPr>
                <w:rFonts w:cs="Times New Roman"/>
                <w:b/>
                <w:sz w:val="24"/>
                <w:szCs w:val="24"/>
              </w:rPr>
              <w:t>Specify Unit: kg/bundle/individual</w:t>
            </w:r>
          </w:p>
        </w:tc>
        <w:tc>
          <w:tcPr>
            <w:tcW w:w="1440" w:type="dxa"/>
            <w:tcMar>
              <w:top w:w="20" w:type="dxa"/>
              <w:left w:w="30" w:type="dxa"/>
              <w:bottom w:w="20" w:type="dxa"/>
              <w:right w:w="30" w:type="dxa"/>
            </w:tcMar>
            <w:vAlign w:val="center"/>
          </w:tcPr>
          <w:p w14:paraId="36F7E2A7" w14:textId="77777777" w:rsidR="00221112" w:rsidRPr="00DE5E47" w:rsidRDefault="00C14051">
            <w:pPr>
              <w:spacing w:after="0" w:line="240" w:lineRule="auto"/>
              <w:jc w:val="both"/>
              <w:rPr>
                <w:rFonts w:cs="Times New Roman"/>
                <w:b/>
                <w:sz w:val="24"/>
                <w:szCs w:val="24"/>
              </w:rPr>
            </w:pPr>
            <w:r w:rsidRPr="00DE5E47">
              <w:rPr>
                <w:rFonts w:cs="Times New Roman"/>
                <w:b/>
                <w:sz w:val="24"/>
                <w:szCs w:val="24"/>
              </w:rPr>
              <w:t>Size of crab(s): L, M, S</w:t>
            </w:r>
          </w:p>
        </w:tc>
        <w:tc>
          <w:tcPr>
            <w:tcW w:w="1584" w:type="dxa"/>
            <w:tcMar>
              <w:top w:w="20" w:type="dxa"/>
              <w:left w:w="30" w:type="dxa"/>
              <w:bottom w:w="20" w:type="dxa"/>
              <w:right w:w="30" w:type="dxa"/>
            </w:tcMar>
            <w:vAlign w:val="center"/>
          </w:tcPr>
          <w:p w14:paraId="5EBEECDE" w14:textId="77777777" w:rsidR="00221112" w:rsidRPr="00DE5E47" w:rsidRDefault="00C14051">
            <w:pPr>
              <w:spacing w:after="0" w:line="240" w:lineRule="auto"/>
              <w:jc w:val="both"/>
              <w:rPr>
                <w:rFonts w:cs="Times New Roman"/>
                <w:b/>
                <w:sz w:val="24"/>
                <w:szCs w:val="24"/>
              </w:rPr>
            </w:pPr>
            <w:r w:rsidRPr="00DE5E47">
              <w:rPr>
                <w:rFonts w:cs="Times New Roman"/>
                <w:b/>
                <w:sz w:val="24"/>
                <w:szCs w:val="24"/>
              </w:rPr>
              <w:t>Grade of crab A, B, C</w:t>
            </w:r>
          </w:p>
        </w:tc>
      </w:tr>
      <w:tr w:rsidR="00221112" w:rsidRPr="00DE5E47" w14:paraId="54CC82D4" w14:textId="77777777">
        <w:trPr>
          <w:jc w:val="center"/>
        </w:trPr>
        <w:tc>
          <w:tcPr>
            <w:tcW w:w="3024" w:type="dxa"/>
            <w:tcMar>
              <w:top w:w="20" w:type="dxa"/>
              <w:left w:w="30" w:type="dxa"/>
              <w:bottom w:w="20" w:type="dxa"/>
              <w:right w:w="30" w:type="dxa"/>
            </w:tcMar>
            <w:vAlign w:val="center"/>
          </w:tcPr>
          <w:p w14:paraId="43A7EED8" w14:textId="77777777" w:rsidR="00221112" w:rsidRPr="00DE5E47" w:rsidRDefault="00221112">
            <w:pPr>
              <w:spacing w:after="0" w:line="240" w:lineRule="auto"/>
              <w:jc w:val="both"/>
              <w:rPr>
                <w:rFonts w:cs="Times New Roman"/>
                <w:sz w:val="24"/>
                <w:szCs w:val="24"/>
              </w:rPr>
            </w:pPr>
          </w:p>
        </w:tc>
        <w:tc>
          <w:tcPr>
            <w:tcW w:w="4752" w:type="dxa"/>
            <w:tcMar>
              <w:top w:w="20" w:type="dxa"/>
              <w:left w:w="30" w:type="dxa"/>
              <w:bottom w:w="20" w:type="dxa"/>
              <w:right w:w="30" w:type="dxa"/>
            </w:tcMar>
            <w:vAlign w:val="center"/>
          </w:tcPr>
          <w:p w14:paraId="1C82AB3D" w14:textId="77777777" w:rsidR="00221112" w:rsidRPr="00DE5E47" w:rsidRDefault="00221112">
            <w:pPr>
              <w:spacing w:after="0" w:line="240" w:lineRule="auto"/>
              <w:jc w:val="both"/>
              <w:rPr>
                <w:rFonts w:cs="Times New Roman"/>
                <w:sz w:val="24"/>
                <w:szCs w:val="24"/>
              </w:rPr>
            </w:pPr>
          </w:p>
        </w:tc>
        <w:tc>
          <w:tcPr>
            <w:tcW w:w="1440" w:type="dxa"/>
            <w:tcMar>
              <w:top w:w="20" w:type="dxa"/>
              <w:left w:w="30" w:type="dxa"/>
              <w:bottom w:w="20" w:type="dxa"/>
              <w:right w:w="30" w:type="dxa"/>
            </w:tcMar>
            <w:vAlign w:val="center"/>
          </w:tcPr>
          <w:p w14:paraId="5BF003AC" w14:textId="77777777" w:rsidR="00221112" w:rsidRPr="00DE5E47" w:rsidRDefault="00221112">
            <w:pPr>
              <w:spacing w:after="0" w:line="240" w:lineRule="auto"/>
              <w:jc w:val="both"/>
              <w:rPr>
                <w:rFonts w:cs="Times New Roman"/>
                <w:sz w:val="24"/>
                <w:szCs w:val="24"/>
              </w:rPr>
            </w:pPr>
          </w:p>
        </w:tc>
        <w:tc>
          <w:tcPr>
            <w:tcW w:w="1584" w:type="dxa"/>
            <w:tcMar>
              <w:top w:w="20" w:type="dxa"/>
              <w:left w:w="30" w:type="dxa"/>
              <w:bottom w:w="20" w:type="dxa"/>
              <w:right w:w="30" w:type="dxa"/>
            </w:tcMar>
            <w:vAlign w:val="center"/>
          </w:tcPr>
          <w:p w14:paraId="21C9C663" w14:textId="77777777" w:rsidR="00221112" w:rsidRPr="00DE5E47" w:rsidRDefault="00221112">
            <w:pPr>
              <w:spacing w:after="0" w:line="240" w:lineRule="auto"/>
              <w:jc w:val="both"/>
              <w:rPr>
                <w:rFonts w:cs="Times New Roman"/>
                <w:sz w:val="24"/>
                <w:szCs w:val="24"/>
              </w:rPr>
            </w:pPr>
          </w:p>
        </w:tc>
      </w:tr>
      <w:tr w:rsidR="00221112" w:rsidRPr="00DE5E47" w14:paraId="62E33E78" w14:textId="77777777">
        <w:trPr>
          <w:jc w:val="center"/>
        </w:trPr>
        <w:tc>
          <w:tcPr>
            <w:tcW w:w="3024" w:type="dxa"/>
            <w:tcMar>
              <w:top w:w="20" w:type="dxa"/>
              <w:left w:w="30" w:type="dxa"/>
              <w:bottom w:w="20" w:type="dxa"/>
              <w:right w:w="30" w:type="dxa"/>
            </w:tcMar>
            <w:vAlign w:val="center"/>
          </w:tcPr>
          <w:p w14:paraId="44C3E811" w14:textId="77777777" w:rsidR="00221112" w:rsidRPr="00DE5E47" w:rsidRDefault="00221112">
            <w:pPr>
              <w:spacing w:after="0" w:line="240" w:lineRule="auto"/>
              <w:jc w:val="both"/>
              <w:rPr>
                <w:rFonts w:cs="Times New Roman"/>
                <w:sz w:val="24"/>
                <w:szCs w:val="24"/>
              </w:rPr>
            </w:pPr>
          </w:p>
        </w:tc>
        <w:tc>
          <w:tcPr>
            <w:tcW w:w="4752" w:type="dxa"/>
            <w:tcMar>
              <w:top w:w="20" w:type="dxa"/>
              <w:left w:w="30" w:type="dxa"/>
              <w:bottom w:w="20" w:type="dxa"/>
              <w:right w:w="30" w:type="dxa"/>
            </w:tcMar>
            <w:vAlign w:val="center"/>
          </w:tcPr>
          <w:p w14:paraId="2AAAA0FB" w14:textId="77777777" w:rsidR="00221112" w:rsidRPr="00DE5E47" w:rsidRDefault="00221112">
            <w:pPr>
              <w:spacing w:after="0" w:line="240" w:lineRule="auto"/>
              <w:jc w:val="both"/>
              <w:rPr>
                <w:rFonts w:cs="Times New Roman"/>
                <w:sz w:val="24"/>
                <w:szCs w:val="24"/>
              </w:rPr>
            </w:pPr>
          </w:p>
        </w:tc>
        <w:tc>
          <w:tcPr>
            <w:tcW w:w="1440" w:type="dxa"/>
            <w:tcMar>
              <w:top w:w="20" w:type="dxa"/>
              <w:left w:w="30" w:type="dxa"/>
              <w:bottom w:w="20" w:type="dxa"/>
              <w:right w:w="30" w:type="dxa"/>
            </w:tcMar>
            <w:vAlign w:val="center"/>
          </w:tcPr>
          <w:p w14:paraId="6EEE77A0" w14:textId="77777777" w:rsidR="00221112" w:rsidRPr="00DE5E47" w:rsidRDefault="00221112">
            <w:pPr>
              <w:spacing w:after="0" w:line="240" w:lineRule="auto"/>
              <w:jc w:val="both"/>
              <w:rPr>
                <w:rFonts w:cs="Times New Roman"/>
                <w:sz w:val="24"/>
                <w:szCs w:val="24"/>
              </w:rPr>
            </w:pPr>
          </w:p>
        </w:tc>
        <w:tc>
          <w:tcPr>
            <w:tcW w:w="1584" w:type="dxa"/>
            <w:tcMar>
              <w:top w:w="20" w:type="dxa"/>
              <w:left w:w="30" w:type="dxa"/>
              <w:bottom w:w="20" w:type="dxa"/>
              <w:right w:w="30" w:type="dxa"/>
            </w:tcMar>
            <w:vAlign w:val="center"/>
          </w:tcPr>
          <w:p w14:paraId="4D70290A" w14:textId="77777777" w:rsidR="00221112" w:rsidRPr="00DE5E47" w:rsidRDefault="00221112">
            <w:pPr>
              <w:spacing w:after="0" w:line="240" w:lineRule="auto"/>
              <w:jc w:val="both"/>
              <w:rPr>
                <w:rFonts w:cs="Times New Roman"/>
                <w:sz w:val="24"/>
                <w:szCs w:val="24"/>
              </w:rPr>
            </w:pPr>
          </w:p>
        </w:tc>
      </w:tr>
      <w:tr w:rsidR="00221112" w:rsidRPr="00DE5E47" w14:paraId="7ADBA719" w14:textId="77777777">
        <w:trPr>
          <w:jc w:val="center"/>
        </w:trPr>
        <w:tc>
          <w:tcPr>
            <w:tcW w:w="3024" w:type="dxa"/>
            <w:tcMar>
              <w:top w:w="20" w:type="dxa"/>
              <w:left w:w="30" w:type="dxa"/>
              <w:bottom w:w="20" w:type="dxa"/>
              <w:right w:w="30" w:type="dxa"/>
            </w:tcMar>
            <w:vAlign w:val="center"/>
          </w:tcPr>
          <w:p w14:paraId="42E079A1" w14:textId="77777777" w:rsidR="00221112" w:rsidRPr="00DE5E47" w:rsidRDefault="00221112">
            <w:pPr>
              <w:spacing w:after="0" w:line="240" w:lineRule="auto"/>
              <w:jc w:val="both"/>
              <w:rPr>
                <w:rFonts w:cs="Times New Roman"/>
                <w:sz w:val="24"/>
                <w:szCs w:val="24"/>
              </w:rPr>
            </w:pPr>
          </w:p>
        </w:tc>
        <w:tc>
          <w:tcPr>
            <w:tcW w:w="4752" w:type="dxa"/>
            <w:tcMar>
              <w:top w:w="20" w:type="dxa"/>
              <w:left w:w="30" w:type="dxa"/>
              <w:bottom w:w="20" w:type="dxa"/>
              <w:right w:w="30" w:type="dxa"/>
            </w:tcMar>
            <w:vAlign w:val="center"/>
          </w:tcPr>
          <w:p w14:paraId="38A6EEE1" w14:textId="77777777" w:rsidR="00221112" w:rsidRPr="00DE5E47" w:rsidRDefault="00221112">
            <w:pPr>
              <w:spacing w:after="0" w:line="240" w:lineRule="auto"/>
              <w:jc w:val="both"/>
              <w:rPr>
                <w:rFonts w:cs="Times New Roman"/>
                <w:sz w:val="24"/>
                <w:szCs w:val="24"/>
              </w:rPr>
            </w:pPr>
          </w:p>
        </w:tc>
        <w:tc>
          <w:tcPr>
            <w:tcW w:w="1440" w:type="dxa"/>
            <w:tcMar>
              <w:top w:w="20" w:type="dxa"/>
              <w:left w:w="30" w:type="dxa"/>
              <w:bottom w:w="20" w:type="dxa"/>
              <w:right w:w="30" w:type="dxa"/>
            </w:tcMar>
            <w:vAlign w:val="center"/>
          </w:tcPr>
          <w:p w14:paraId="7726FBF6" w14:textId="77777777" w:rsidR="00221112" w:rsidRPr="00DE5E47" w:rsidRDefault="00221112">
            <w:pPr>
              <w:spacing w:after="0" w:line="240" w:lineRule="auto"/>
              <w:jc w:val="both"/>
              <w:rPr>
                <w:rFonts w:cs="Times New Roman"/>
                <w:sz w:val="24"/>
                <w:szCs w:val="24"/>
              </w:rPr>
            </w:pPr>
          </w:p>
        </w:tc>
        <w:tc>
          <w:tcPr>
            <w:tcW w:w="1584" w:type="dxa"/>
            <w:tcMar>
              <w:top w:w="20" w:type="dxa"/>
              <w:left w:w="30" w:type="dxa"/>
              <w:bottom w:w="20" w:type="dxa"/>
              <w:right w:w="30" w:type="dxa"/>
            </w:tcMar>
            <w:vAlign w:val="center"/>
          </w:tcPr>
          <w:p w14:paraId="2D9CFE7C" w14:textId="77777777" w:rsidR="00221112" w:rsidRPr="00DE5E47" w:rsidRDefault="00221112">
            <w:pPr>
              <w:spacing w:after="0" w:line="240" w:lineRule="auto"/>
              <w:jc w:val="both"/>
              <w:rPr>
                <w:rFonts w:cs="Times New Roman"/>
                <w:sz w:val="24"/>
                <w:szCs w:val="24"/>
              </w:rPr>
            </w:pPr>
          </w:p>
        </w:tc>
      </w:tr>
      <w:tr w:rsidR="00221112" w:rsidRPr="00DE5E47" w14:paraId="05FBA8C8" w14:textId="77777777">
        <w:trPr>
          <w:jc w:val="center"/>
        </w:trPr>
        <w:tc>
          <w:tcPr>
            <w:tcW w:w="3024" w:type="dxa"/>
            <w:tcMar>
              <w:top w:w="20" w:type="dxa"/>
              <w:left w:w="30" w:type="dxa"/>
              <w:bottom w:w="20" w:type="dxa"/>
              <w:right w:w="30" w:type="dxa"/>
            </w:tcMar>
            <w:vAlign w:val="center"/>
          </w:tcPr>
          <w:p w14:paraId="57A651EE" w14:textId="77777777" w:rsidR="00221112" w:rsidRPr="00DE5E47" w:rsidRDefault="00221112">
            <w:pPr>
              <w:spacing w:after="0" w:line="240" w:lineRule="auto"/>
              <w:jc w:val="both"/>
              <w:rPr>
                <w:rFonts w:cs="Times New Roman"/>
                <w:sz w:val="24"/>
                <w:szCs w:val="24"/>
              </w:rPr>
            </w:pPr>
          </w:p>
        </w:tc>
        <w:tc>
          <w:tcPr>
            <w:tcW w:w="4752" w:type="dxa"/>
            <w:tcMar>
              <w:top w:w="20" w:type="dxa"/>
              <w:left w:w="30" w:type="dxa"/>
              <w:bottom w:w="20" w:type="dxa"/>
              <w:right w:w="30" w:type="dxa"/>
            </w:tcMar>
            <w:vAlign w:val="center"/>
          </w:tcPr>
          <w:p w14:paraId="22A20E60" w14:textId="77777777" w:rsidR="00221112" w:rsidRPr="00DE5E47" w:rsidRDefault="00221112">
            <w:pPr>
              <w:spacing w:after="0" w:line="240" w:lineRule="auto"/>
              <w:jc w:val="both"/>
              <w:rPr>
                <w:rFonts w:cs="Times New Roman"/>
                <w:sz w:val="24"/>
                <w:szCs w:val="24"/>
              </w:rPr>
            </w:pPr>
          </w:p>
        </w:tc>
        <w:tc>
          <w:tcPr>
            <w:tcW w:w="1440" w:type="dxa"/>
            <w:tcMar>
              <w:top w:w="20" w:type="dxa"/>
              <w:left w:w="30" w:type="dxa"/>
              <w:bottom w:w="20" w:type="dxa"/>
              <w:right w:w="30" w:type="dxa"/>
            </w:tcMar>
            <w:vAlign w:val="center"/>
          </w:tcPr>
          <w:p w14:paraId="3E0E3677" w14:textId="77777777" w:rsidR="00221112" w:rsidRPr="00DE5E47" w:rsidRDefault="00221112">
            <w:pPr>
              <w:spacing w:after="0" w:line="240" w:lineRule="auto"/>
              <w:jc w:val="both"/>
              <w:rPr>
                <w:rFonts w:cs="Times New Roman"/>
                <w:sz w:val="24"/>
                <w:szCs w:val="24"/>
              </w:rPr>
            </w:pPr>
          </w:p>
        </w:tc>
        <w:tc>
          <w:tcPr>
            <w:tcW w:w="1584" w:type="dxa"/>
            <w:tcMar>
              <w:top w:w="20" w:type="dxa"/>
              <w:left w:w="30" w:type="dxa"/>
              <w:bottom w:w="20" w:type="dxa"/>
              <w:right w:w="30" w:type="dxa"/>
            </w:tcMar>
            <w:vAlign w:val="center"/>
          </w:tcPr>
          <w:p w14:paraId="424C58E9" w14:textId="77777777" w:rsidR="00221112" w:rsidRPr="00DE5E47" w:rsidRDefault="00221112">
            <w:pPr>
              <w:spacing w:after="0" w:line="240" w:lineRule="auto"/>
              <w:jc w:val="both"/>
              <w:rPr>
                <w:rFonts w:cs="Times New Roman"/>
                <w:sz w:val="24"/>
                <w:szCs w:val="24"/>
              </w:rPr>
            </w:pPr>
          </w:p>
        </w:tc>
      </w:tr>
      <w:tr w:rsidR="00221112" w:rsidRPr="00DE5E47" w14:paraId="7D0DC767" w14:textId="77777777">
        <w:trPr>
          <w:jc w:val="center"/>
        </w:trPr>
        <w:tc>
          <w:tcPr>
            <w:tcW w:w="3024" w:type="dxa"/>
            <w:tcMar>
              <w:top w:w="20" w:type="dxa"/>
              <w:left w:w="30" w:type="dxa"/>
              <w:bottom w:w="20" w:type="dxa"/>
              <w:right w:w="30" w:type="dxa"/>
            </w:tcMar>
            <w:vAlign w:val="center"/>
          </w:tcPr>
          <w:p w14:paraId="2286B4BC" w14:textId="77777777" w:rsidR="00221112" w:rsidRPr="00DE5E47" w:rsidRDefault="00221112">
            <w:pPr>
              <w:spacing w:after="0" w:line="240" w:lineRule="auto"/>
              <w:jc w:val="both"/>
              <w:rPr>
                <w:rFonts w:cs="Times New Roman"/>
                <w:sz w:val="24"/>
                <w:szCs w:val="24"/>
              </w:rPr>
            </w:pPr>
          </w:p>
        </w:tc>
        <w:tc>
          <w:tcPr>
            <w:tcW w:w="4752" w:type="dxa"/>
            <w:tcMar>
              <w:top w:w="20" w:type="dxa"/>
              <w:left w:w="30" w:type="dxa"/>
              <w:bottom w:w="20" w:type="dxa"/>
              <w:right w:w="30" w:type="dxa"/>
            </w:tcMar>
            <w:vAlign w:val="center"/>
          </w:tcPr>
          <w:p w14:paraId="24D04CFE" w14:textId="77777777" w:rsidR="00221112" w:rsidRPr="00DE5E47" w:rsidRDefault="00221112">
            <w:pPr>
              <w:spacing w:after="0" w:line="240" w:lineRule="auto"/>
              <w:jc w:val="both"/>
              <w:rPr>
                <w:rFonts w:cs="Times New Roman"/>
                <w:sz w:val="24"/>
                <w:szCs w:val="24"/>
              </w:rPr>
            </w:pPr>
          </w:p>
        </w:tc>
        <w:tc>
          <w:tcPr>
            <w:tcW w:w="1440" w:type="dxa"/>
            <w:tcMar>
              <w:top w:w="20" w:type="dxa"/>
              <w:left w:w="30" w:type="dxa"/>
              <w:bottom w:w="20" w:type="dxa"/>
              <w:right w:w="30" w:type="dxa"/>
            </w:tcMar>
            <w:vAlign w:val="center"/>
          </w:tcPr>
          <w:p w14:paraId="662664B1" w14:textId="77777777" w:rsidR="00221112" w:rsidRPr="00DE5E47" w:rsidRDefault="00221112">
            <w:pPr>
              <w:spacing w:after="0" w:line="240" w:lineRule="auto"/>
              <w:jc w:val="both"/>
              <w:rPr>
                <w:rFonts w:cs="Times New Roman"/>
                <w:sz w:val="24"/>
                <w:szCs w:val="24"/>
              </w:rPr>
            </w:pPr>
          </w:p>
        </w:tc>
        <w:tc>
          <w:tcPr>
            <w:tcW w:w="1584" w:type="dxa"/>
            <w:tcMar>
              <w:top w:w="20" w:type="dxa"/>
              <w:left w:w="30" w:type="dxa"/>
              <w:bottom w:w="20" w:type="dxa"/>
              <w:right w:w="30" w:type="dxa"/>
            </w:tcMar>
            <w:vAlign w:val="center"/>
          </w:tcPr>
          <w:p w14:paraId="69F1D1E2" w14:textId="77777777" w:rsidR="00221112" w:rsidRPr="00DE5E47" w:rsidRDefault="00221112">
            <w:pPr>
              <w:spacing w:after="0" w:line="240" w:lineRule="auto"/>
              <w:jc w:val="both"/>
              <w:rPr>
                <w:rFonts w:cs="Times New Roman"/>
                <w:sz w:val="24"/>
                <w:szCs w:val="24"/>
              </w:rPr>
            </w:pPr>
          </w:p>
        </w:tc>
      </w:tr>
    </w:tbl>
    <w:p w14:paraId="14A7C7BC" w14:textId="77777777" w:rsidR="00221112" w:rsidRPr="00DE5E47" w:rsidRDefault="00221112">
      <w:pPr>
        <w:spacing w:line="360" w:lineRule="auto"/>
        <w:jc w:val="both"/>
        <w:rPr>
          <w:rFonts w:cs="Times New Roman"/>
          <w:sz w:val="24"/>
          <w:szCs w:val="24"/>
        </w:rPr>
      </w:pPr>
    </w:p>
    <w:p w14:paraId="03A640F5" w14:textId="77777777" w:rsidR="00221112" w:rsidRPr="00DE5E47" w:rsidRDefault="00C14051">
      <w:pPr>
        <w:spacing w:line="360" w:lineRule="auto"/>
        <w:jc w:val="both"/>
        <w:rPr>
          <w:rFonts w:cs="Times New Roman"/>
          <w:b/>
          <w:bCs/>
          <w:sz w:val="24"/>
          <w:szCs w:val="24"/>
        </w:rPr>
      </w:pPr>
      <w:r w:rsidRPr="00DE5E47">
        <w:rPr>
          <w:rFonts w:cs="Times New Roman"/>
          <w:b/>
          <w:bCs/>
          <w:sz w:val="24"/>
          <w:szCs w:val="24"/>
        </w:rPr>
        <w:t>Mud Crab Size:</w:t>
      </w:r>
    </w:p>
    <w:p w14:paraId="1C169953" w14:textId="77777777" w:rsidR="00221112" w:rsidRPr="00DE5E47" w:rsidRDefault="00C14051">
      <w:pPr>
        <w:spacing w:line="360" w:lineRule="auto"/>
        <w:jc w:val="both"/>
        <w:rPr>
          <w:rFonts w:cs="Times New Roman"/>
          <w:sz w:val="24"/>
          <w:szCs w:val="24"/>
        </w:rPr>
      </w:pPr>
      <w:r w:rsidRPr="00DE5E47">
        <w:rPr>
          <w:rFonts w:cs="Times New Roman"/>
          <w:sz w:val="24"/>
          <w:szCs w:val="24"/>
        </w:rPr>
        <w:t>How do you determine the size of mud crabs before selling them?</w:t>
      </w:r>
    </w:p>
    <w:p w14:paraId="2A04BFF9" w14:textId="77777777" w:rsidR="00221112" w:rsidRPr="00DE5E47" w:rsidRDefault="00C14051">
      <w:pPr>
        <w:spacing w:line="360" w:lineRule="auto"/>
        <w:jc w:val="both"/>
        <w:rPr>
          <w:rFonts w:cs="Times New Roman"/>
          <w:sz w:val="24"/>
          <w:szCs w:val="24"/>
        </w:rPr>
      </w:pPr>
      <w:r w:rsidRPr="00DE5E47">
        <w:rPr>
          <w:rFonts w:cs="Times New Roman"/>
          <w:sz w:val="24"/>
          <w:szCs w:val="24"/>
        </w:rPr>
        <w:t>[1] Weight measurement</w:t>
      </w:r>
      <w:r w:rsidRPr="00DE5E47">
        <w:rPr>
          <w:rFonts w:cs="Times New Roman"/>
          <w:sz w:val="24"/>
          <w:szCs w:val="24"/>
        </w:rPr>
        <w:tab/>
        <w:t>[2] Carapace width measurement</w:t>
      </w:r>
      <w:r w:rsidRPr="00DE5E47">
        <w:rPr>
          <w:rFonts w:cs="Times New Roman"/>
          <w:sz w:val="24"/>
          <w:szCs w:val="24"/>
        </w:rPr>
        <w:tab/>
        <w:t>[3] Visual inspection</w:t>
      </w:r>
      <w:r w:rsidRPr="00DE5E47">
        <w:rPr>
          <w:rFonts w:cs="Times New Roman"/>
          <w:sz w:val="24"/>
          <w:szCs w:val="24"/>
        </w:rPr>
        <w:tab/>
        <w:t>[4] Other (please specify)</w:t>
      </w:r>
    </w:p>
    <w:p w14:paraId="13457D7D" w14:textId="77777777" w:rsidR="00221112" w:rsidRPr="00DE5E47" w:rsidRDefault="00C14051">
      <w:pPr>
        <w:spacing w:line="360" w:lineRule="auto"/>
        <w:jc w:val="both"/>
        <w:rPr>
          <w:rFonts w:cs="Times New Roman"/>
          <w:b/>
          <w:bCs/>
          <w:sz w:val="24"/>
          <w:szCs w:val="24"/>
        </w:rPr>
      </w:pPr>
      <w:r w:rsidRPr="00DE5E47">
        <w:rPr>
          <w:rFonts w:cs="Times New Roman"/>
          <w:b/>
          <w:bCs/>
          <w:sz w:val="24"/>
          <w:szCs w:val="24"/>
        </w:rPr>
        <w:t>Pricing for All Actors in Kenya:</w:t>
      </w:r>
    </w:p>
    <w:p w14:paraId="6BEBE991" w14:textId="77777777" w:rsidR="00221112" w:rsidRPr="00DE5E47" w:rsidRDefault="00C14051">
      <w:pPr>
        <w:spacing w:line="360" w:lineRule="auto"/>
        <w:jc w:val="both"/>
        <w:rPr>
          <w:rFonts w:cs="Times New Roman"/>
          <w:sz w:val="24"/>
          <w:szCs w:val="24"/>
        </w:rPr>
      </w:pPr>
      <w:r w:rsidRPr="00DE5E47">
        <w:rPr>
          <w:rFonts w:cs="Times New Roman"/>
          <w:sz w:val="24"/>
          <w:szCs w:val="24"/>
        </w:rPr>
        <w:t>How do you determine the price of mud crabs for sale?</w:t>
      </w:r>
    </w:p>
    <w:p w14:paraId="546C529D" w14:textId="77777777" w:rsidR="00221112" w:rsidRPr="00DE5E47" w:rsidRDefault="00C14051">
      <w:pPr>
        <w:spacing w:line="360" w:lineRule="auto"/>
        <w:jc w:val="both"/>
        <w:rPr>
          <w:rFonts w:cs="Times New Roman"/>
          <w:sz w:val="24"/>
          <w:szCs w:val="24"/>
        </w:rPr>
      </w:pPr>
      <w:r w:rsidRPr="00DE5E47">
        <w:rPr>
          <w:rFonts w:cs="Times New Roman"/>
          <w:sz w:val="24"/>
          <w:szCs w:val="24"/>
        </w:rPr>
        <w:t>[1] Market demand</w:t>
      </w:r>
      <w:r w:rsidRPr="00DE5E47">
        <w:rPr>
          <w:rFonts w:cs="Times New Roman"/>
          <w:sz w:val="24"/>
          <w:szCs w:val="24"/>
        </w:rPr>
        <w:tab/>
      </w:r>
      <w:r w:rsidRPr="00DE5E47">
        <w:rPr>
          <w:rFonts w:cs="Times New Roman"/>
          <w:sz w:val="24"/>
          <w:szCs w:val="24"/>
        </w:rPr>
        <w:tab/>
        <w:t>[2] Cost of production</w:t>
      </w:r>
      <w:r w:rsidRPr="00DE5E47">
        <w:rPr>
          <w:rFonts w:cs="Times New Roman"/>
          <w:sz w:val="24"/>
          <w:szCs w:val="24"/>
        </w:rPr>
        <w:tab/>
      </w:r>
      <w:r w:rsidRPr="00DE5E47">
        <w:rPr>
          <w:rFonts w:cs="Times New Roman"/>
          <w:sz w:val="24"/>
          <w:szCs w:val="24"/>
        </w:rPr>
        <w:tab/>
        <w:t>[3] Competition</w:t>
      </w:r>
      <w:r w:rsidRPr="00DE5E47">
        <w:rPr>
          <w:rFonts w:cs="Times New Roman"/>
          <w:sz w:val="24"/>
          <w:szCs w:val="24"/>
        </w:rPr>
        <w:tab/>
      </w:r>
      <w:r w:rsidRPr="00DE5E47">
        <w:rPr>
          <w:rFonts w:cs="Times New Roman"/>
          <w:sz w:val="24"/>
          <w:szCs w:val="24"/>
        </w:rPr>
        <w:tab/>
        <w:t>[4] Quality of crabs</w:t>
      </w:r>
      <w:r w:rsidRPr="00DE5E47">
        <w:rPr>
          <w:rFonts w:cs="Times New Roman"/>
          <w:sz w:val="24"/>
          <w:szCs w:val="24"/>
        </w:rPr>
        <w:tab/>
      </w:r>
      <w:r w:rsidRPr="00DE5E47">
        <w:rPr>
          <w:rFonts w:cs="Times New Roman"/>
          <w:sz w:val="24"/>
          <w:szCs w:val="24"/>
        </w:rPr>
        <w:tab/>
        <w:t>[5] Other (please specify)</w:t>
      </w:r>
    </w:p>
    <w:p w14:paraId="5AAA4373" w14:textId="77777777" w:rsidR="00221112" w:rsidRPr="00DE5E47" w:rsidRDefault="00C14051">
      <w:pPr>
        <w:spacing w:line="360" w:lineRule="auto"/>
        <w:jc w:val="both"/>
        <w:rPr>
          <w:rFonts w:cs="Times New Roman"/>
          <w:sz w:val="24"/>
          <w:szCs w:val="24"/>
        </w:rPr>
      </w:pPr>
      <w:r w:rsidRPr="00DE5E47">
        <w:rPr>
          <w:rFonts w:cs="Times New Roman"/>
          <w:sz w:val="24"/>
          <w:szCs w:val="24"/>
        </w:rPr>
        <w:t>Are there standard pricing mechanisms or guidelines followed by all actors in the mud crab trade?</w:t>
      </w:r>
    </w:p>
    <w:p w14:paraId="50EA7AA1"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[2] No</w:t>
      </w:r>
    </w:p>
    <w:p w14:paraId="4E6F42E3" w14:textId="77777777" w:rsidR="00221112" w:rsidRPr="00DE5E47" w:rsidRDefault="00C14051">
      <w:pPr>
        <w:spacing w:line="360" w:lineRule="auto"/>
        <w:jc w:val="both"/>
        <w:rPr>
          <w:rFonts w:cs="Times New Roman"/>
          <w:sz w:val="24"/>
          <w:szCs w:val="24"/>
        </w:rPr>
      </w:pPr>
      <w:r w:rsidRPr="00DE5E47">
        <w:rPr>
          <w:rFonts w:cs="Times New Roman"/>
          <w:sz w:val="24"/>
          <w:szCs w:val="24"/>
        </w:rPr>
        <w:t>What factors influence fluctuations in mud crab prices?</w:t>
      </w:r>
    </w:p>
    <w:p w14:paraId="1D65D47C" w14:textId="77777777" w:rsidR="00221112" w:rsidRPr="00DE5E47" w:rsidRDefault="00C14051">
      <w:pPr>
        <w:spacing w:line="360" w:lineRule="auto"/>
        <w:jc w:val="both"/>
        <w:rPr>
          <w:rFonts w:cs="Times New Roman"/>
          <w:sz w:val="24"/>
          <w:szCs w:val="24"/>
        </w:rPr>
      </w:pPr>
      <w:r w:rsidRPr="00DE5E47">
        <w:rPr>
          <w:rFonts w:cs="Times New Roman"/>
          <w:sz w:val="24"/>
          <w:szCs w:val="24"/>
        </w:rPr>
        <w:t>[1] Seasonal variations</w:t>
      </w:r>
      <w:r w:rsidRPr="00DE5E47">
        <w:rPr>
          <w:rFonts w:cs="Times New Roman"/>
          <w:sz w:val="24"/>
          <w:szCs w:val="24"/>
        </w:rPr>
        <w:tab/>
      </w:r>
      <w:r w:rsidRPr="00DE5E47">
        <w:rPr>
          <w:rFonts w:cs="Times New Roman"/>
          <w:sz w:val="24"/>
          <w:szCs w:val="24"/>
        </w:rPr>
        <w:tab/>
        <w:t>[2] Weather conditions</w:t>
      </w:r>
      <w:r w:rsidRPr="00DE5E47">
        <w:rPr>
          <w:rFonts w:cs="Times New Roman"/>
          <w:sz w:val="24"/>
          <w:szCs w:val="24"/>
        </w:rPr>
        <w:tab/>
      </w:r>
      <w:r w:rsidRPr="00DE5E47">
        <w:rPr>
          <w:rFonts w:cs="Times New Roman"/>
          <w:sz w:val="24"/>
          <w:szCs w:val="24"/>
        </w:rPr>
        <w:tab/>
        <w:t>[3] Economic factors</w:t>
      </w:r>
      <w:r w:rsidRPr="00DE5E47">
        <w:rPr>
          <w:rFonts w:cs="Times New Roman"/>
          <w:sz w:val="24"/>
          <w:szCs w:val="24"/>
        </w:rPr>
        <w:tab/>
      </w:r>
      <w:r w:rsidRPr="00DE5E47">
        <w:rPr>
          <w:rFonts w:cs="Times New Roman"/>
          <w:sz w:val="24"/>
          <w:szCs w:val="24"/>
        </w:rPr>
        <w:tab/>
        <w:t>[4] Regulatory changes</w:t>
      </w:r>
      <w:r w:rsidRPr="00DE5E47">
        <w:rPr>
          <w:rFonts w:cs="Times New Roman"/>
          <w:sz w:val="24"/>
          <w:szCs w:val="24"/>
        </w:rPr>
        <w:tab/>
      </w:r>
      <w:r w:rsidRPr="00DE5E47">
        <w:rPr>
          <w:rFonts w:cs="Times New Roman"/>
          <w:sz w:val="24"/>
          <w:szCs w:val="24"/>
        </w:rPr>
        <w:tab/>
        <w:t>[5] Other (please specify)</w:t>
      </w:r>
    </w:p>
    <w:p w14:paraId="6695609A" w14:textId="77777777" w:rsidR="00221112" w:rsidRPr="00DE5E47" w:rsidRDefault="00C14051">
      <w:pPr>
        <w:spacing w:line="360" w:lineRule="auto"/>
        <w:jc w:val="both"/>
        <w:rPr>
          <w:rFonts w:cs="Times New Roman"/>
          <w:sz w:val="24"/>
          <w:szCs w:val="24"/>
        </w:rPr>
      </w:pPr>
      <w:r w:rsidRPr="00DE5E47">
        <w:rPr>
          <w:rFonts w:cs="Times New Roman"/>
          <w:sz w:val="24"/>
          <w:szCs w:val="24"/>
        </w:rPr>
        <w:t>Have you observed any disparities in pricing among different actors in the mud crab trade?</w:t>
      </w:r>
    </w:p>
    <w:p w14:paraId="0BA7DFB2"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[2] No</w:t>
      </w:r>
    </w:p>
    <w:p w14:paraId="423D6AC8" w14:textId="77777777" w:rsidR="00221112" w:rsidRPr="00DE5E47" w:rsidRDefault="00C14051">
      <w:pPr>
        <w:spacing w:line="360" w:lineRule="auto"/>
        <w:jc w:val="both"/>
        <w:rPr>
          <w:rFonts w:cs="Times New Roman"/>
          <w:sz w:val="24"/>
          <w:szCs w:val="24"/>
        </w:rPr>
      </w:pPr>
      <w:r w:rsidRPr="00DE5E47">
        <w:rPr>
          <w:rFonts w:cs="Times New Roman"/>
          <w:sz w:val="24"/>
          <w:szCs w:val="24"/>
        </w:rPr>
        <w:t>Are there any regulatory or market factors that affect pricing consistency in the mud crab trade?</w:t>
      </w:r>
    </w:p>
    <w:p w14:paraId="4936608F"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[2] No</w:t>
      </w:r>
    </w:p>
    <w:p w14:paraId="462328FD" w14:textId="77777777" w:rsidR="00221112" w:rsidRPr="00DE5E47" w:rsidRDefault="00C14051">
      <w:pPr>
        <w:spacing w:line="360" w:lineRule="auto"/>
        <w:jc w:val="both"/>
        <w:rPr>
          <w:rFonts w:cs="Times New Roman"/>
          <w:sz w:val="24"/>
          <w:szCs w:val="24"/>
        </w:rPr>
      </w:pPr>
      <w:r w:rsidRPr="00DE5E47">
        <w:rPr>
          <w:rFonts w:cs="Times New Roman"/>
          <w:b/>
          <w:bCs/>
          <w:sz w:val="24"/>
          <w:szCs w:val="24"/>
        </w:rPr>
        <w:t>Marketing Strategies:</w:t>
      </w:r>
      <w:r w:rsidRPr="00DE5E47">
        <w:rPr>
          <w:rFonts w:cs="Times New Roman"/>
          <w:sz w:val="24"/>
          <w:szCs w:val="24"/>
        </w:rPr>
        <w:t xml:space="preserve"> </w:t>
      </w:r>
    </w:p>
    <w:p w14:paraId="4DE83FFC" w14:textId="77777777" w:rsidR="00221112" w:rsidRPr="00DE5E47" w:rsidRDefault="00C14051">
      <w:pPr>
        <w:spacing w:line="360" w:lineRule="auto"/>
        <w:jc w:val="both"/>
        <w:rPr>
          <w:rFonts w:cs="Times New Roman"/>
          <w:sz w:val="24"/>
          <w:szCs w:val="24"/>
        </w:rPr>
      </w:pPr>
      <w:r w:rsidRPr="00DE5E47">
        <w:rPr>
          <w:rFonts w:cs="Times New Roman"/>
          <w:sz w:val="24"/>
          <w:szCs w:val="24"/>
        </w:rPr>
        <w:t>How do you promote your mud crabs to potential buyers?</w:t>
      </w:r>
    </w:p>
    <w:p w14:paraId="61EB8AB9" w14:textId="77777777" w:rsidR="00221112" w:rsidRPr="00DE5E47" w:rsidRDefault="00C14051">
      <w:pPr>
        <w:spacing w:line="360" w:lineRule="auto"/>
        <w:jc w:val="both"/>
        <w:rPr>
          <w:rFonts w:cs="Times New Roman"/>
          <w:sz w:val="24"/>
          <w:szCs w:val="24"/>
        </w:rPr>
      </w:pPr>
      <w:r w:rsidRPr="00DE5E47">
        <w:rPr>
          <w:rFonts w:cs="Times New Roman"/>
          <w:sz w:val="24"/>
          <w:szCs w:val="24"/>
        </w:rPr>
        <w:t>[1] Social media</w:t>
      </w:r>
      <w:r w:rsidRPr="00DE5E47">
        <w:rPr>
          <w:rFonts w:cs="Times New Roman"/>
          <w:sz w:val="24"/>
          <w:szCs w:val="24"/>
        </w:rPr>
        <w:tab/>
        <w:t>[2] Local Events</w:t>
      </w:r>
      <w:r w:rsidRPr="00DE5E47">
        <w:rPr>
          <w:rFonts w:cs="Times New Roman"/>
          <w:sz w:val="24"/>
          <w:szCs w:val="24"/>
        </w:rPr>
        <w:tab/>
        <w:t>[3] Flyers/Brochures</w:t>
      </w:r>
      <w:r w:rsidRPr="00DE5E47">
        <w:rPr>
          <w:rFonts w:cs="Times New Roman"/>
          <w:sz w:val="24"/>
          <w:szCs w:val="24"/>
        </w:rPr>
        <w:tab/>
      </w:r>
      <w:r w:rsidRPr="00DE5E47">
        <w:rPr>
          <w:rFonts w:cs="Times New Roman"/>
          <w:sz w:val="24"/>
          <w:szCs w:val="24"/>
        </w:rPr>
        <w:tab/>
        <w:t>[4] Other (Specify)</w:t>
      </w:r>
    </w:p>
    <w:p w14:paraId="2435D5CB" w14:textId="77777777" w:rsidR="00221112" w:rsidRPr="00DE5E47" w:rsidRDefault="00C14051">
      <w:pPr>
        <w:spacing w:line="360" w:lineRule="auto"/>
        <w:jc w:val="both"/>
        <w:rPr>
          <w:rFonts w:cs="Times New Roman"/>
          <w:sz w:val="24"/>
          <w:szCs w:val="24"/>
        </w:rPr>
      </w:pPr>
      <w:r w:rsidRPr="00DE5E47">
        <w:rPr>
          <w:rFonts w:cs="Times New Roman"/>
          <w:sz w:val="24"/>
          <w:szCs w:val="24"/>
        </w:rPr>
        <w:lastRenderedPageBreak/>
        <w:t>Do you participate in any marketing events or trade fairs?</w:t>
      </w:r>
    </w:p>
    <w:p w14:paraId="40578684"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[2] No</w:t>
      </w:r>
    </w:p>
    <w:p w14:paraId="78D05183" w14:textId="77777777" w:rsidR="00221112" w:rsidRPr="00DE5E47" w:rsidRDefault="00C14051">
      <w:pPr>
        <w:spacing w:line="360" w:lineRule="auto"/>
        <w:jc w:val="both"/>
        <w:rPr>
          <w:rFonts w:cs="Times New Roman"/>
          <w:sz w:val="24"/>
          <w:szCs w:val="24"/>
        </w:rPr>
      </w:pPr>
      <w:r w:rsidRPr="00DE5E47">
        <w:rPr>
          <w:rFonts w:cs="Times New Roman"/>
          <w:sz w:val="24"/>
          <w:szCs w:val="24"/>
        </w:rPr>
        <w:t>How do you set prices for your mud crabs?</w:t>
      </w:r>
    </w:p>
    <w:p w14:paraId="6AD40D71" w14:textId="77777777" w:rsidR="00221112" w:rsidRPr="00DE5E47" w:rsidRDefault="00C14051">
      <w:pPr>
        <w:spacing w:line="360" w:lineRule="auto"/>
        <w:jc w:val="both"/>
        <w:rPr>
          <w:rFonts w:cs="Times New Roman"/>
          <w:sz w:val="24"/>
          <w:szCs w:val="24"/>
        </w:rPr>
      </w:pPr>
      <w:r w:rsidRPr="00DE5E47">
        <w:rPr>
          <w:rFonts w:cs="Times New Roman"/>
          <w:sz w:val="24"/>
          <w:szCs w:val="24"/>
        </w:rPr>
        <w:t>[1] Fixed Pricing</w:t>
      </w:r>
      <w:r w:rsidRPr="00DE5E47">
        <w:rPr>
          <w:rFonts w:cs="Times New Roman"/>
          <w:sz w:val="24"/>
          <w:szCs w:val="24"/>
        </w:rPr>
        <w:tab/>
        <w:t>[2] Negotiable</w:t>
      </w:r>
      <w:r w:rsidRPr="00DE5E47">
        <w:rPr>
          <w:rFonts w:cs="Times New Roman"/>
          <w:sz w:val="24"/>
          <w:szCs w:val="24"/>
        </w:rPr>
        <w:tab/>
      </w:r>
      <w:r w:rsidRPr="00DE5E47">
        <w:rPr>
          <w:rFonts w:cs="Times New Roman"/>
          <w:sz w:val="24"/>
          <w:szCs w:val="24"/>
        </w:rPr>
        <w:tab/>
        <w:t>[3] Competitive Pricing</w:t>
      </w:r>
      <w:r w:rsidRPr="00DE5E47">
        <w:rPr>
          <w:rFonts w:cs="Times New Roman"/>
          <w:sz w:val="24"/>
          <w:szCs w:val="24"/>
        </w:rPr>
        <w:tab/>
      </w:r>
      <w:r w:rsidRPr="00DE5E47">
        <w:rPr>
          <w:rFonts w:cs="Times New Roman"/>
          <w:sz w:val="24"/>
          <w:szCs w:val="24"/>
        </w:rPr>
        <w:tab/>
        <w:t>[4] Other (Specify)</w:t>
      </w:r>
    </w:p>
    <w:p w14:paraId="641495D2" w14:textId="77777777" w:rsidR="00221112" w:rsidRPr="00DE5E47" w:rsidRDefault="00C14051">
      <w:pPr>
        <w:spacing w:line="360" w:lineRule="auto"/>
        <w:jc w:val="both"/>
        <w:rPr>
          <w:rFonts w:cs="Times New Roman"/>
          <w:sz w:val="24"/>
          <w:szCs w:val="24"/>
        </w:rPr>
      </w:pPr>
      <w:r w:rsidRPr="00DE5E47">
        <w:rPr>
          <w:rFonts w:cs="Times New Roman"/>
          <w:b/>
          <w:bCs/>
          <w:sz w:val="24"/>
          <w:szCs w:val="24"/>
        </w:rPr>
        <w:t>Relationships with Intermediaries:</w:t>
      </w:r>
      <w:r w:rsidRPr="00DE5E47">
        <w:rPr>
          <w:rFonts w:cs="Times New Roman"/>
          <w:sz w:val="24"/>
          <w:szCs w:val="24"/>
        </w:rPr>
        <w:t xml:space="preserve">  - same</w:t>
      </w:r>
    </w:p>
    <w:p w14:paraId="04C4772E" w14:textId="77777777" w:rsidR="00221112" w:rsidRPr="00DE5E47" w:rsidRDefault="00C14051">
      <w:pPr>
        <w:spacing w:line="360" w:lineRule="auto"/>
        <w:jc w:val="both"/>
        <w:rPr>
          <w:rFonts w:cs="Times New Roman"/>
          <w:sz w:val="24"/>
          <w:szCs w:val="24"/>
        </w:rPr>
      </w:pPr>
      <w:r w:rsidRPr="00DE5E47">
        <w:rPr>
          <w:rFonts w:cs="Times New Roman"/>
          <w:sz w:val="24"/>
          <w:szCs w:val="24"/>
        </w:rPr>
        <w:t>Do you work with any intermediaries or middlemen in the marketing process?</w:t>
      </w:r>
    </w:p>
    <w:p w14:paraId="001CC3AE"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[2] No</w:t>
      </w:r>
    </w:p>
    <w:p w14:paraId="6A8BA4E1" w14:textId="77777777" w:rsidR="00221112" w:rsidRPr="00DE5E47" w:rsidRDefault="00C14051">
      <w:pPr>
        <w:spacing w:line="360" w:lineRule="auto"/>
        <w:jc w:val="both"/>
        <w:rPr>
          <w:rFonts w:cs="Times New Roman"/>
          <w:sz w:val="24"/>
          <w:szCs w:val="24"/>
        </w:rPr>
      </w:pPr>
      <w:r w:rsidRPr="00DE5E47">
        <w:rPr>
          <w:rFonts w:cs="Times New Roman"/>
          <w:sz w:val="24"/>
          <w:szCs w:val="24"/>
        </w:rPr>
        <w:t>What role do these intermediaries play in your supply chain?</w:t>
      </w:r>
    </w:p>
    <w:p w14:paraId="0A412E33" w14:textId="77777777" w:rsidR="00221112" w:rsidRPr="00DE5E47" w:rsidRDefault="00C14051">
      <w:pPr>
        <w:spacing w:line="360" w:lineRule="auto"/>
        <w:jc w:val="both"/>
        <w:rPr>
          <w:rFonts w:cs="Times New Roman"/>
          <w:sz w:val="24"/>
          <w:szCs w:val="24"/>
        </w:rPr>
      </w:pPr>
      <w:r w:rsidRPr="00DE5E47">
        <w:rPr>
          <w:rFonts w:cs="Times New Roman"/>
          <w:sz w:val="24"/>
          <w:szCs w:val="24"/>
        </w:rPr>
        <w:t>[1] Transportation</w:t>
      </w:r>
      <w:r w:rsidRPr="00DE5E47">
        <w:rPr>
          <w:rFonts w:cs="Times New Roman"/>
          <w:sz w:val="24"/>
          <w:szCs w:val="24"/>
        </w:rPr>
        <w:tab/>
        <w:t>[2] Negotiation</w:t>
      </w:r>
      <w:r w:rsidRPr="00DE5E47">
        <w:rPr>
          <w:rFonts w:cs="Times New Roman"/>
          <w:sz w:val="24"/>
          <w:szCs w:val="24"/>
        </w:rPr>
        <w:tab/>
      </w:r>
      <w:r w:rsidRPr="00DE5E47">
        <w:rPr>
          <w:rFonts w:cs="Times New Roman"/>
          <w:sz w:val="24"/>
          <w:szCs w:val="24"/>
        </w:rPr>
        <w:tab/>
        <w:t>[3] Marketing</w:t>
      </w:r>
      <w:r w:rsidRPr="00DE5E47">
        <w:rPr>
          <w:rFonts w:cs="Times New Roman"/>
          <w:sz w:val="24"/>
          <w:szCs w:val="24"/>
        </w:rPr>
        <w:tab/>
      </w:r>
      <w:r w:rsidRPr="00DE5E47">
        <w:rPr>
          <w:rFonts w:cs="Times New Roman"/>
          <w:sz w:val="24"/>
          <w:szCs w:val="24"/>
        </w:rPr>
        <w:tab/>
        <w:t>[4] Other (Specify)</w:t>
      </w:r>
    </w:p>
    <w:p w14:paraId="01960FF5" w14:textId="77777777" w:rsidR="00221112" w:rsidRPr="00DE5E47" w:rsidRDefault="00C14051">
      <w:pPr>
        <w:spacing w:line="360" w:lineRule="auto"/>
        <w:jc w:val="both"/>
        <w:rPr>
          <w:rFonts w:cs="Times New Roman"/>
          <w:sz w:val="24"/>
          <w:szCs w:val="24"/>
        </w:rPr>
      </w:pPr>
      <w:r w:rsidRPr="00DE5E47">
        <w:rPr>
          <w:rFonts w:cs="Times New Roman"/>
          <w:sz w:val="24"/>
          <w:szCs w:val="24"/>
        </w:rPr>
        <w:t>How do you negotiate prices and terms with intermediaries?</w:t>
      </w:r>
    </w:p>
    <w:p w14:paraId="74EECAAB" w14:textId="77777777" w:rsidR="00221112" w:rsidRPr="00DE5E47" w:rsidRDefault="00C14051">
      <w:pPr>
        <w:spacing w:line="360" w:lineRule="auto"/>
        <w:jc w:val="both"/>
        <w:rPr>
          <w:rFonts w:cs="Times New Roman"/>
          <w:sz w:val="24"/>
          <w:szCs w:val="24"/>
        </w:rPr>
      </w:pPr>
      <w:r w:rsidRPr="00DE5E47">
        <w:rPr>
          <w:rFonts w:cs="Times New Roman"/>
          <w:sz w:val="24"/>
          <w:szCs w:val="24"/>
        </w:rPr>
        <w:t>[1] Fixed Terms</w:t>
      </w:r>
      <w:r w:rsidRPr="00DE5E47">
        <w:rPr>
          <w:rFonts w:cs="Times New Roman"/>
          <w:sz w:val="24"/>
          <w:szCs w:val="24"/>
        </w:rPr>
        <w:tab/>
      </w:r>
      <w:r w:rsidRPr="00DE5E47">
        <w:rPr>
          <w:rFonts w:cs="Times New Roman"/>
          <w:sz w:val="24"/>
          <w:szCs w:val="24"/>
        </w:rPr>
        <w:tab/>
        <w:t>[2] Flexible Terms</w:t>
      </w:r>
      <w:r w:rsidRPr="00DE5E47">
        <w:rPr>
          <w:rFonts w:cs="Times New Roman"/>
          <w:sz w:val="24"/>
          <w:szCs w:val="24"/>
        </w:rPr>
        <w:tab/>
        <w:t>[3] Competitive Bidding</w:t>
      </w:r>
    </w:p>
    <w:p w14:paraId="07E209D2" w14:textId="77777777" w:rsidR="00221112" w:rsidRPr="00DE5E47" w:rsidRDefault="00C14051">
      <w:pPr>
        <w:spacing w:line="360" w:lineRule="auto"/>
        <w:jc w:val="both"/>
        <w:rPr>
          <w:rFonts w:cs="Times New Roman"/>
          <w:sz w:val="24"/>
          <w:szCs w:val="24"/>
        </w:rPr>
      </w:pPr>
      <w:r w:rsidRPr="00DE5E47">
        <w:rPr>
          <w:rFonts w:cs="Times New Roman"/>
          <w:b/>
          <w:bCs/>
          <w:sz w:val="24"/>
          <w:szCs w:val="24"/>
        </w:rPr>
        <w:t>Product Quality Control:</w:t>
      </w:r>
      <w:r w:rsidRPr="00DE5E47">
        <w:rPr>
          <w:rFonts w:cs="Times New Roman"/>
          <w:sz w:val="24"/>
          <w:szCs w:val="24"/>
        </w:rPr>
        <w:t xml:space="preserve"> </w:t>
      </w:r>
    </w:p>
    <w:p w14:paraId="059F7A82"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How do you ensure the quality of mud crabs before they reach the market? </w:t>
      </w:r>
    </w:p>
    <w:p w14:paraId="522B9010"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Regular Inspections </w:t>
      </w:r>
      <w:r w:rsidRPr="00DE5E47">
        <w:rPr>
          <w:rFonts w:cs="Times New Roman"/>
          <w:sz w:val="24"/>
          <w:szCs w:val="24"/>
        </w:rPr>
        <w:tab/>
      </w:r>
      <w:r w:rsidRPr="00DE5E47">
        <w:rPr>
          <w:rFonts w:cs="Times New Roman"/>
          <w:sz w:val="24"/>
          <w:szCs w:val="24"/>
        </w:rPr>
        <w:tab/>
        <w:t>[2] Certification</w:t>
      </w:r>
      <w:r w:rsidRPr="00DE5E47">
        <w:rPr>
          <w:rFonts w:cs="Times New Roman"/>
          <w:sz w:val="24"/>
          <w:szCs w:val="24"/>
        </w:rPr>
        <w:tab/>
      </w:r>
      <w:r w:rsidRPr="00DE5E47">
        <w:rPr>
          <w:rFonts w:cs="Times New Roman"/>
          <w:sz w:val="24"/>
          <w:szCs w:val="24"/>
        </w:rPr>
        <w:tab/>
        <w:t xml:space="preserve">[3] Packaging Standards </w:t>
      </w:r>
      <w:r w:rsidRPr="00DE5E47">
        <w:rPr>
          <w:rFonts w:cs="Times New Roman"/>
          <w:sz w:val="24"/>
          <w:szCs w:val="24"/>
        </w:rPr>
        <w:tab/>
        <w:t xml:space="preserve">[4] Other (Specify) </w:t>
      </w:r>
    </w:p>
    <w:p w14:paraId="6C42908C"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Do you implement any quality control measures during processing and handling? </w:t>
      </w:r>
    </w:p>
    <w:p w14:paraId="50B049CA"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Yes </w:t>
      </w:r>
      <w:r w:rsidRPr="00DE5E47">
        <w:rPr>
          <w:rFonts w:cs="Times New Roman"/>
          <w:sz w:val="24"/>
          <w:szCs w:val="24"/>
        </w:rPr>
        <w:tab/>
      </w:r>
      <w:r w:rsidRPr="00DE5E47">
        <w:rPr>
          <w:rFonts w:cs="Times New Roman"/>
          <w:sz w:val="24"/>
          <w:szCs w:val="24"/>
        </w:rPr>
        <w:tab/>
        <w:t>[2] No</w:t>
      </w:r>
    </w:p>
    <w:p w14:paraId="160B98D6" w14:textId="77777777" w:rsidR="00221112" w:rsidRPr="00DE5E47" w:rsidRDefault="00C14051">
      <w:pPr>
        <w:spacing w:line="360" w:lineRule="auto"/>
        <w:jc w:val="both"/>
        <w:rPr>
          <w:rFonts w:cs="Times New Roman"/>
          <w:sz w:val="24"/>
          <w:szCs w:val="24"/>
        </w:rPr>
      </w:pPr>
      <w:r w:rsidRPr="00DE5E47">
        <w:rPr>
          <w:rFonts w:cs="Times New Roman"/>
          <w:b/>
          <w:bCs/>
          <w:sz w:val="24"/>
          <w:szCs w:val="24"/>
        </w:rPr>
        <w:t>Market Research:</w:t>
      </w:r>
      <w:r w:rsidRPr="00DE5E47">
        <w:rPr>
          <w:rFonts w:cs="Times New Roman"/>
          <w:sz w:val="24"/>
          <w:szCs w:val="24"/>
        </w:rPr>
        <w:t xml:space="preserve"> </w:t>
      </w:r>
    </w:p>
    <w:p w14:paraId="55F30409" w14:textId="77777777" w:rsidR="00221112" w:rsidRPr="00DE5E47" w:rsidRDefault="00C14051">
      <w:pPr>
        <w:spacing w:line="360" w:lineRule="auto"/>
        <w:jc w:val="both"/>
        <w:rPr>
          <w:rFonts w:cs="Times New Roman"/>
          <w:sz w:val="24"/>
          <w:szCs w:val="24"/>
        </w:rPr>
      </w:pPr>
      <w:r w:rsidRPr="00DE5E47">
        <w:rPr>
          <w:rFonts w:cs="Times New Roman"/>
          <w:sz w:val="24"/>
          <w:szCs w:val="24"/>
        </w:rPr>
        <w:t>Do you conduct any market research to understand consumer preferences and market trends?</w:t>
      </w:r>
    </w:p>
    <w:p w14:paraId="66EEB33F"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Yes </w:t>
      </w:r>
      <w:r w:rsidRPr="00DE5E47">
        <w:rPr>
          <w:rFonts w:cs="Times New Roman"/>
          <w:sz w:val="24"/>
          <w:szCs w:val="24"/>
        </w:rPr>
        <w:tab/>
      </w:r>
      <w:r w:rsidRPr="00DE5E47">
        <w:rPr>
          <w:rFonts w:cs="Times New Roman"/>
          <w:sz w:val="24"/>
          <w:szCs w:val="24"/>
        </w:rPr>
        <w:tab/>
        <w:t>[2] No</w:t>
      </w:r>
    </w:p>
    <w:p w14:paraId="6E5F59E4"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How do you utilize market research findings to improve your marketing strategies? </w:t>
      </w:r>
    </w:p>
    <w:p w14:paraId="5B087025"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Adjust Marketing Strategies </w:t>
      </w:r>
      <w:r w:rsidRPr="00DE5E47">
        <w:rPr>
          <w:rFonts w:cs="Times New Roman"/>
          <w:sz w:val="24"/>
          <w:szCs w:val="24"/>
        </w:rPr>
        <w:tab/>
      </w:r>
      <w:r w:rsidRPr="00DE5E47">
        <w:rPr>
          <w:rFonts w:cs="Times New Roman"/>
          <w:sz w:val="24"/>
          <w:szCs w:val="24"/>
        </w:rPr>
        <w:tab/>
        <w:t xml:space="preserve">[2] Improve Product Quality </w:t>
      </w:r>
      <w:r w:rsidRPr="00DE5E47">
        <w:rPr>
          <w:rFonts w:cs="Times New Roman"/>
          <w:sz w:val="24"/>
          <w:szCs w:val="24"/>
        </w:rPr>
        <w:tab/>
        <w:t xml:space="preserve">[3] Explore New Markets </w:t>
      </w:r>
      <w:r w:rsidRPr="00DE5E47">
        <w:rPr>
          <w:rFonts w:cs="Times New Roman"/>
          <w:sz w:val="24"/>
          <w:szCs w:val="24"/>
        </w:rPr>
        <w:tab/>
        <w:t>[4] Other (Specify)</w:t>
      </w:r>
    </w:p>
    <w:p w14:paraId="6DC32011" w14:textId="77777777" w:rsidR="00221112" w:rsidRPr="00DE5E47" w:rsidRDefault="00C14051">
      <w:pPr>
        <w:spacing w:line="360" w:lineRule="auto"/>
        <w:jc w:val="both"/>
        <w:rPr>
          <w:rFonts w:cs="Times New Roman"/>
          <w:sz w:val="24"/>
          <w:szCs w:val="24"/>
        </w:rPr>
      </w:pPr>
      <w:r w:rsidRPr="00DE5E47">
        <w:rPr>
          <w:rFonts w:cs="Times New Roman"/>
          <w:b/>
          <w:bCs/>
          <w:sz w:val="24"/>
          <w:szCs w:val="24"/>
        </w:rPr>
        <w:t>Technology Adoption:</w:t>
      </w:r>
    </w:p>
    <w:p w14:paraId="71B22A34" w14:textId="77777777" w:rsidR="00221112" w:rsidRPr="00DE5E47" w:rsidRDefault="00C14051">
      <w:pPr>
        <w:spacing w:line="360" w:lineRule="auto"/>
        <w:jc w:val="both"/>
        <w:rPr>
          <w:rFonts w:cs="Times New Roman"/>
          <w:sz w:val="24"/>
          <w:szCs w:val="24"/>
        </w:rPr>
      </w:pPr>
      <w:r w:rsidRPr="00DE5E47">
        <w:rPr>
          <w:rFonts w:cs="Times New Roman"/>
          <w:sz w:val="24"/>
          <w:szCs w:val="24"/>
        </w:rPr>
        <w:lastRenderedPageBreak/>
        <w:t>Have you adopted any technology or modern equipment to enhance your mud crab fishing and marketing activities?</w:t>
      </w:r>
    </w:p>
    <w:p w14:paraId="5B09FACF"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Yes </w:t>
      </w:r>
      <w:r w:rsidRPr="00DE5E47">
        <w:rPr>
          <w:rFonts w:cs="Times New Roman"/>
          <w:sz w:val="24"/>
          <w:szCs w:val="24"/>
        </w:rPr>
        <w:tab/>
      </w:r>
      <w:r w:rsidRPr="00DE5E47">
        <w:rPr>
          <w:rFonts w:cs="Times New Roman"/>
          <w:sz w:val="24"/>
          <w:szCs w:val="24"/>
        </w:rPr>
        <w:tab/>
        <w:t xml:space="preserve">[2] No </w:t>
      </w:r>
    </w:p>
    <w:p w14:paraId="28E7C306"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How has technology adoption influenced your efficiency and productivity in the mud crab fishery? </w:t>
      </w:r>
    </w:p>
    <w:p w14:paraId="5E317F44"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Increased Efficiency </w:t>
      </w:r>
      <w:r w:rsidRPr="00DE5E47">
        <w:rPr>
          <w:rFonts w:cs="Times New Roman"/>
          <w:sz w:val="24"/>
          <w:szCs w:val="24"/>
        </w:rPr>
        <w:tab/>
        <w:t xml:space="preserve">[2] No Significant Change </w:t>
      </w:r>
      <w:r w:rsidRPr="00DE5E47">
        <w:rPr>
          <w:rFonts w:cs="Times New Roman"/>
          <w:sz w:val="24"/>
          <w:szCs w:val="24"/>
        </w:rPr>
        <w:tab/>
        <w:t>[3] Decreased Efficiency</w:t>
      </w:r>
    </w:p>
    <w:p w14:paraId="2BEC357C" w14:textId="77777777" w:rsidR="00221112" w:rsidRPr="00DE5E47" w:rsidRDefault="00C14051">
      <w:pPr>
        <w:autoSpaceDE w:val="0"/>
        <w:autoSpaceDN w:val="0"/>
        <w:adjustRightInd w:val="0"/>
        <w:spacing w:line="360" w:lineRule="auto"/>
        <w:jc w:val="both"/>
        <w:rPr>
          <w:rFonts w:eastAsia="Calibri" w:cs="Times New Roman"/>
          <w:b/>
          <w:bCs/>
          <w:spacing w:val="-3"/>
          <w:sz w:val="24"/>
          <w:szCs w:val="24"/>
          <w:lang w:bidi="en-US"/>
        </w:rPr>
      </w:pPr>
      <w:r w:rsidRPr="00DE5E47">
        <w:rPr>
          <w:rFonts w:eastAsia="Calibri" w:cs="Times New Roman"/>
          <w:b/>
          <w:bCs/>
          <w:spacing w:val="-3"/>
          <w:sz w:val="24"/>
          <w:szCs w:val="24"/>
          <w:lang w:bidi="en-US"/>
        </w:rPr>
        <w:t>Consumer Behavior and Preferences</w:t>
      </w:r>
    </w:p>
    <w:p w14:paraId="1FCCB176" w14:textId="77777777" w:rsidR="00221112" w:rsidRPr="00DE5E47" w:rsidRDefault="00C14051">
      <w:pPr>
        <w:autoSpaceDE w:val="0"/>
        <w:autoSpaceDN w:val="0"/>
        <w:adjustRightInd w:val="0"/>
        <w:spacing w:after="0" w:line="360" w:lineRule="auto"/>
        <w:jc w:val="both"/>
        <w:rPr>
          <w:rFonts w:cs="Times New Roman"/>
          <w:w w:val="110"/>
          <w:sz w:val="24"/>
          <w:szCs w:val="24"/>
          <w:lang w:bidi="en-US"/>
        </w:rPr>
      </w:pPr>
      <w:r w:rsidRPr="00DE5E47">
        <w:rPr>
          <w:rFonts w:cs="Times New Roman"/>
          <w:w w:val="110"/>
          <w:sz w:val="24"/>
          <w:szCs w:val="24"/>
          <w:lang w:bidi="en-US"/>
        </w:rPr>
        <w:t>What</w:t>
      </w:r>
      <w:r w:rsidRPr="00DE5E47">
        <w:rPr>
          <w:rFonts w:cs="Times New Roman"/>
          <w:spacing w:val="-4"/>
          <w:w w:val="110"/>
          <w:sz w:val="24"/>
          <w:szCs w:val="24"/>
          <w:lang w:bidi="en-US"/>
        </w:rPr>
        <w:t xml:space="preserve"> </w:t>
      </w:r>
      <w:r w:rsidRPr="00DE5E47">
        <w:rPr>
          <w:rFonts w:cs="Times New Roman"/>
          <w:w w:val="110"/>
          <w:sz w:val="24"/>
          <w:szCs w:val="24"/>
          <w:lang w:bidi="en-US"/>
        </w:rPr>
        <w:t>would</w:t>
      </w:r>
      <w:r w:rsidRPr="00DE5E47">
        <w:rPr>
          <w:rFonts w:cs="Times New Roman"/>
          <w:spacing w:val="-3"/>
          <w:w w:val="110"/>
          <w:sz w:val="24"/>
          <w:szCs w:val="24"/>
          <w:lang w:bidi="en-US"/>
        </w:rPr>
        <w:t xml:space="preserve"> </w:t>
      </w:r>
      <w:r w:rsidRPr="00DE5E47">
        <w:rPr>
          <w:rFonts w:cs="Times New Roman"/>
          <w:w w:val="110"/>
          <w:sz w:val="24"/>
          <w:szCs w:val="24"/>
          <w:lang w:bidi="en-US"/>
        </w:rPr>
        <w:t>you</w:t>
      </w:r>
      <w:r w:rsidRPr="00DE5E47">
        <w:rPr>
          <w:rFonts w:cs="Times New Roman"/>
          <w:spacing w:val="-4"/>
          <w:w w:val="110"/>
          <w:sz w:val="24"/>
          <w:szCs w:val="24"/>
          <w:lang w:bidi="en-US"/>
        </w:rPr>
        <w:t xml:space="preserve"> </w:t>
      </w:r>
      <w:r w:rsidRPr="00DE5E47">
        <w:rPr>
          <w:rFonts w:cs="Times New Roman"/>
          <w:w w:val="110"/>
          <w:sz w:val="24"/>
          <w:szCs w:val="24"/>
          <w:lang w:bidi="en-US"/>
        </w:rPr>
        <w:t>say</w:t>
      </w:r>
      <w:r w:rsidRPr="00DE5E47">
        <w:rPr>
          <w:rFonts w:cs="Times New Roman"/>
          <w:spacing w:val="-3"/>
          <w:w w:val="110"/>
          <w:sz w:val="24"/>
          <w:szCs w:val="24"/>
          <w:lang w:bidi="en-US"/>
        </w:rPr>
        <w:t xml:space="preserve"> </w:t>
      </w:r>
      <w:r w:rsidRPr="00DE5E47">
        <w:rPr>
          <w:rFonts w:cs="Times New Roman"/>
          <w:w w:val="110"/>
          <w:sz w:val="24"/>
          <w:szCs w:val="24"/>
          <w:lang w:bidi="en-US"/>
        </w:rPr>
        <w:t>is</w:t>
      </w:r>
      <w:r w:rsidRPr="00DE5E47">
        <w:rPr>
          <w:rFonts w:cs="Times New Roman"/>
          <w:spacing w:val="-3"/>
          <w:w w:val="110"/>
          <w:sz w:val="24"/>
          <w:szCs w:val="24"/>
          <w:lang w:bidi="en-US"/>
        </w:rPr>
        <w:t xml:space="preserve"> </w:t>
      </w:r>
      <w:r w:rsidRPr="00DE5E47">
        <w:rPr>
          <w:rFonts w:cs="Times New Roman"/>
          <w:w w:val="110"/>
          <w:sz w:val="24"/>
          <w:szCs w:val="24"/>
          <w:lang w:bidi="en-US"/>
        </w:rPr>
        <w:t>yours/</w:t>
      </w:r>
      <w:r w:rsidRPr="00DE5E47">
        <w:rPr>
          <w:rFonts w:cs="Times New Roman"/>
          <w:spacing w:val="-4"/>
          <w:w w:val="110"/>
          <w:sz w:val="24"/>
          <w:szCs w:val="24"/>
          <w:lang w:bidi="en-US"/>
        </w:rPr>
        <w:t xml:space="preserve"> </w:t>
      </w:r>
      <w:r w:rsidRPr="00DE5E47">
        <w:rPr>
          <w:rFonts w:cs="Times New Roman"/>
          <w:w w:val="110"/>
          <w:sz w:val="24"/>
          <w:szCs w:val="24"/>
          <w:lang w:bidi="en-US"/>
        </w:rPr>
        <w:t>your</w:t>
      </w:r>
      <w:r w:rsidRPr="00DE5E47">
        <w:rPr>
          <w:rFonts w:cs="Times New Roman"/>
          <w:spacing w:val="-3"/>
          <w:w w:val="110"/>
          <w:sz w:val="24"/>
          <w:szCs w:val="24"/>
          <w:lang w:bidi="en-US"/>
        </w:rPr>
        <w:t xml:space="preserve"> </w:t>
      </w:r>
      <w:r w:rsidRPr="00DE5E47">
        <w:rPr>
          <w:rFonts w:cs="Times New Roman"/>
          <w:w w:val="110"/>
          <w:sz w:val="24"/>
          <w:szCs w:val="24"/>
          <w:lang w:bidi="en-US"/>
        </w:rPr>
        <w:t>household's</w:t>
      </w:r>
      <w:r w:rsidRPr="00DE5E47">
        <w:rPr>
          <w:rFonts w:cs="Times New Roman"/>
          <w:spacing w:val="-3"/>
          <w:w w:val="110"/>
          <w:sz w:val="24"/>
          <w:szCs w:val="24"/>
          <w:lang w:bidi="en-US"/>
        </w:rPr>
        <w:t xml:space="preserve"> </w:t>
      </w:r>
      <w:r w:rsidRPr="00DE5E47">
        <w:rPr>
          <w:rFonts w:cs="Times New Roman"/>
          <w:w w:val="110"/>
          <w:sz w:val="24"/>
          <w:szCs w:val="24"/>
          <w:lang w:bidi="en-US"/>
        </w:rPr>
        <w:t>most</w:t>
      </w:r>
      <w:r w:rsidRPr="00DE5E47">
        <w:rPr>
          <w:rFonts w:cs="Times New Roman"/>
          <w:spacing w:val="-4"/>
          <w:w w:val="110"/>
          <w:sz w:val="24"/>
          <w:szCs w:val="24"/>
          <w:lang w:bidi="en-US"/>
        </w:rPr>
        <w:t xml:space="preserve"> </w:t>
      </w:r>
      <w:r w:rsidRPr="00DE5E47">
        <w:rPr>
          <w:rFonts w:cs="Times New Roman"/>
          <w:w w:val="110"/>
          <w:sz w:val="24"/>
          <w:szCs w:val="24"/>
          <w:lang w:bidi="en-US"/>
        </w:rPr>
        <w:t>important</w:t>
      </w:r>
      <w:r w:rsidRPr="00DE5E47">
        <w:rPr>
          <w:rFonts w:cs="Times New Roman"/>
          <w:spacing w:val="-3"/>
          <w:w w:val="110"/>
          <w:sz w:val="24"/>
          <w:szCs w:val="24"/>
          <w:lang w:bidi="en-US"/>
        </w:rPr>
        <w:t xml:space="preserve"> </w:t>
      </w:r>
      <w:r w:rsidRPr="00DE5E47">
        <w:rPr>
          <w:rFonts w:cs="Times New Roman"/>
          <w:w w:val="110"/>
          <w:sz w:val="24"/>
          <w:szCs w:val="24"/>
          <w:lang w:bidi="en-US"/>
        </w:rPr>
        <w:t>source</w:t>
      </w:r>
      <w:r w:rsidRPr="00DE5E47">
        <w:rPr>
          <w:rFonts w:cs="Times New Roman"/>
          <w:spacing w:val="-4"/>
          <w:w w:val="110"/>
          <w:sz w:val="24"/>
          <w:szCs w:val="24"/>
          <w:lang w:bidi="en-US"/>
        </w:rPr>
        <w:t xml:space="preserve"> </w:t>
      </w:r>
      <w:r w:rsidRPr="00DE5E47">
        <w:rPr>
          <w:rFonts w:cs="Times New Roman"/>
          <w:w w:val="110"/>
          <w:sz w:val="24"/>
          <w:szCs w:val="24"/>
          <w:lang w:bidi="en-US"/>
        </w:rPr>
        <w:t>of</w:t>
      </w:r>
      <w:r w:rsidRPr="00DE5E47">
        <w:rPr>
          <w:rFonts w:cs="Times New Roman"/>
          <w:spacing w:val="-3"/>
          <w:w w:val="110"/>
          <w:sz w:val="24"/>
          <w:szCs w:val="24"/>
          <w:lang w:bidi="en-US"/>
        </w:rPr>
        <w:t xml:space="preserve"> </w:t>
      </w:r>
      <w:r w:rsidRPr="00DE5E47">
        <w:rPr>
          <w:rFonts w:cs="Times New Roman"/>
          <w:w w:val="110"/>
          <w:sz w:val="24"/>
          <w:szCs w:val="24"/>
          <w:lang w:bidi="en-US"/>
        </w:rPr>
        <w:t>protein?</w:t>
      </w:r>
    </w:p>
    <w:p w14:paraId="0AC0C66D" w14:textId="77777777" w:rsidR="00221112" w:rsidRPr="00DE5E47" w:rsidRDefault="00C14051">
      <w:pPr>
        <w:spacing w:line="360" w:lineRule="auto"/>
        <w:jc w:val="both"/>
        <w:rPr>
          <w:rFonts w:cs="Times New Roman"/>
          <w:sz w:val="24"/>
          <w:szCs w:val="24"/>
        </w:rPr>
      </w:pPr>
      <w:r w:rsidRPr="00DE5E47">
        <w:rPr>
          <w:rFonts w:eastAsia="Calibri" w:cs="Times New Roman"/>
          <w:sz w:val="24"/>
          <w:szCs w:val="24"/>
        </w:rPr>
        <w:t>[1]</w:t>
      </w:r>
      <w:r w:rsidRPr="00DE5E47">
        <w:rPr>
          <w:rFonts w:cs="Times New Roman"/>
          <w:sz w:val="24"/>
          <w:szCs w:val="24"/>
        </w:rPr>
        <w:t xml:space="preserve"> Mudcrab </w:t>
      </w:r>
      <w:r w:rsidRPr="00DE5E47">
        <w:rPr>
          <w:rFonts w:eastAsia="Calibri" w:cs="Times New Roman"/>
          <w:sz w:val="24"/>
          <w:szCs w:val="24"/>
        </w:rPr>
        <w:tab/>
        <w:t xml:space="preserve">[2] </w:t>
      </w:r>
      <w:r w:rsidRPr="00DE5E47">
        <w:rPr>
          <w:rFonts w:cs="Times New Roman"/>
          <w:sz w:val="24"/>
          <w:szCs w:val="24"/>
        </w:rPr>
        <w:t>Chicken</w:t>
      </w:r>
      <w:r w:rsidRPr="00DE5E47">
        <w:rPr>
          <w:rFonts w:eastAsia="Calibri" w:cs="Times New Roman"/>
          <w:sz w:val="24"/>
          <w:szCs w:val="24"/>
        </w:rPr>
        <w:tab/>
        <w:t xml:space="preserve">[3] </w:t>
      </w:r>
      <w:r w:rsidRPr="00DE5E47">
        <w:rPr>
          <w:rFonts w:cs="Times New Roman"/>
          <w:sz w:val="24"/>
          <w:szCs w:val="24"/>
        </w:rPr>
        <w:t xml:space="preserve">beef </w:t>
      </w:r>
      <w:r w:rsidRPr="00DE5E47">
        <w:rPr>
          <w:rFonts w:eastAsia="Calibri" w:cs="Times New Roman"/>
          <w:sz w:val="24"/>
          <w:szCs w:val="24"/>
        </w:rPr>
        <w:tab/>
        <w:t xml:space="preserve">[4] </w:t>
      </w:r>
      <w:r w:rsidRPr="00DE5E47">
        <w:rPr>
          <w:rFonts w:cs="Times New Roman"/>
          <w:sz w:val="24"/>
          <w:szCs w:val="24"/>
        </w:rPr>
        <w:t xml:space="preserve">Fish </w:t>
      </w:r>
      <w:r w:rsidRPr="00DE5E47">
        <w:rPr>
          <w:rFonts w:cs="Times New Roman"/>
          <w:sz w:val="24"/>
          <w:szCs w:val="24"/>
        </w:rPr>
        <w:tab/>
      </w:r>
      <w:r w:rsidRPr="00DE5E47">
        <w:rPr>
          <w:rFonts w:eastAsia="Calibri" w:cs="Times New Roman"/>
          <w:sz w:val="24"/>
          <w:szCs w:val="24"/>
        </w:rPr>
        <w:t xml:space="preserve">[5] </w:t>
      </w:r>
      <w:r w:rsidRPr="00DE5E47">
        <w:rPr>
          <w:rFonts w:cs="Times New Roman"/>
          <w:sz w:val="24"/>
          <w:szCs w:val="24"/>
        </w:rPr>
        <w:t>Liver</w:t>
      </w:r>
      <w:r w:rsidRPr="00DE5E47">
        <w:rPr>
          <w:rFonts w:cs="Times New Roman"/>
          <w:sz w:val="24"/>
          <w:szCs w:val="24"/>
        </w:rPr>
        <w:tab/>
      </w:r>
      <w:r w:rsidRPr="00DE5E47">
        <w:rPr>
          <w:rFonts w:cs="Times New Roman"/>
          <w:sz w:val="24"/>
          <w:szCs w:val="24"/>
        </w:rPr>
        <w:tab/>
      </w:r>
      <w:r w:rsidRPr="00DE5E47">
        <w:rPr>
          <w:rFonts w:eastAsia="Calibri" w:cs="Times New Roman"/>
          <w:sz w:val="24"/>
          <w:szCs w:val="24"/>
        </w:rPr>
        <w:t xml:space="preserve">[6] </w:t>
      </w:r>
      <w:r w:rsidRPr="00DE5E47">
        <w:rPr>
          <w:rFonts w:cs="Times New Roman"/>
          <w:sz w:val="24"/>
          <w:szCs w:val="24"/>
        </w:rPr>
        <w:t>Goat/sheep meat</w:t>
      </w:r>
    </w:p>
    <w:p w14:paraId="2088ECCF" w14:textId="77777777" w:rsidR="00221112" w:rsidRPr="00DE5E47" w:rsidRDefault="00C14051">
      <w:pPr>
        <w:spacing w:line="360" w:lineRule="auto"/>
        <w:jc w:val="both"/>
        <w:rPr>
          <w:rFonts w:cs="Times New Roman"/>
          <w:b/>
          <w:bCs/>
          <w:sz w:val="24"/>
          <w:szCs w:val="24"/>
        </w:rPr>
      </w:pPr>
      <w:r w:rsidRPr="00DE5E47">
        <w:rPr>
          <w:rFonts w:cs="Times New Roman"/>
          <w:b/>
          <w:bCs/>
          <w:sz w:val="24"/>
          <w:szCs w:val="24"/>
        </w:rPr>
        <w:t>Product Handling and Transportation</w:t>
      </w:r>
    </w:p>
    <w:p w14:paraId="3FF1974B" w14:textId="77777777" w:rsidR="00221112" w:rsidRPr="00DE5E47" w:rsidRDefault="00C14051">
      <w:pPr>
        <w:spacing w:line="360" w:lineRule="auto"/>
        <w:jc w:val="both"/>
        <w:rPr>
          <w:rFonts w:cs="Times New Roman"/>
          <w:sz w:val="24"/>
          <w:szCs w:val="24"/>
        </w:rPr>
      </w:pPr>
      <w:r w:rsidRPr="00DE5E47">
        <w:rPr>
          <w:rFonts w:cs="Times New Roman"/>
          <w:sz w:val="24"/>
          <w:szCs w:val="24"/>
        </w:rPr>
        <w:t>How do you package crabs for transportation?</w:t>
      </w:r>
    </w:p>
    <w:p w14:paraId="3245E6C6" w14:textId="77777777" w:rsidR="00221112" w:rsidRPr="00DE5E47" w:rsidRDefault="00C14051">
      <w:pPr>
        <w:spacing w:line="360" w:lineRule="auto"/>
        <w:jc w:val="both"/>
        <w:rPr>
          <w:rFonts w:cs="Times New Roman"/>
          <w:sz w:val="24"/>
          <w:szCs w:val="24"/>
        </w:rPr>
      </w:pPr>
      <w:r w:rsidRPr="00DE5E47">
        <w:rPr>
          <w:rFonts w:cs="Times New Roman"/>
          <w:sz w:val="24"/>
          <w:szCs w:val="24"/>
        </w:rPr>
        <w:t>[1] cool boxes</w:t>
      </w:r>
      <w:r w:rsidRPr="00DE5E47">
        <w:rPr>
          <w:rFonts w:cs="Times New Roman"/>
          <w:sz w:val="24"/>
          <w:szCs w:val="24"/>
        </w:rPr>
        <w:tab/>
        <w:t xml:space="preserve"> [2] sacks </w:t>
      </w:r>
      <w:r w:rsidRPr="00DE5E47">
        <w:rPr>
          <w:rFonts w:cs="Times New Roman"/>
          <w:sz w:val="24"/>
          <w:szCs w:val="24"/>
        </w:rPr>
        <w:tab/>
        <w:t xml:space="preserve">[3] </w:t>
      </w:r>
      <w:r w:rsidRPr="00DE5E47">
        <w:rPr>
          <w:rFonts w:cs="Times New Roman"/>
          <w:sz w:val="24"/>
          <w:szCs w:val="24"/>
        </w:rPr>
        <w:tab/>
        <w:t xml:space="preserve">polyethene bags </w:t>
      </w:r>
      <w:r w:rsidRPr="00DE5E47">
        <w:rPr>
          <w:rFonts w:cs="Times New Roman"/>
          <w:sz w:val="24"/>
          <w:szCs w:val="24"/>
        </w:rPr>
        <w:tab/>
        <w:t>[4] plastic containers</w:t>
      </w:r>
      <w:r w:rsidRPr="00DE5E47">
        <w:rPr>
          <w:rFonts w:cs="Times New Roman"/>
          <w:sz w:val="24"/>
          <w:szCs w:val="24"/>
        </w:rPr>
        <w:tab/>
        <w:t>[5] other(specify)</w:t>
      </w:r>
    </w:p>
    <w:p w14:paraId="3EB2FB31" w14:textId="77777777" w:rsidR="00221112" w:rsidRPr="00DE5E47" w:rsidRDefault="00C14051">
      <w:pPr>
        <w:spacing w:line="360" w:lineRule="auto"/>
        <w:jc w:val="both"/>
        <w:rPr>
          <w:rFonts w:cs="Times New Roman"/>
          <w:sz w:val="24"/>
          <w:szCs w:val="24"/>
        </w:rPr>
      </w:pPr>
      <w:r w:rsidRPr="00DE5E47">
        <w:rPr>
          <w:rFonts w:cs="Times New Roman"/>
          <w:sz w:val="24"/>
          <w:szCs w:val="24"/>
        </w:rPr>
        <w:t>Do you preserve crab/process your crab? If yes detail</w:t>
      </w:r>
    </w:p>
    <w:p w14:paraId="735B68A8" w14:textId="77777777" w:rsidR="00221112" w:rsidRPr="00DE5E47" w:rsidRDefault="00C14051">
      <w:pPr>
        <w:spacing w:line="360" w:lineRule="auto"/>
        <w:jc w:val="both"/>
        <w:rPr>
          <w:rFonts w:cs="Times New Roman"/>
          <w:sz w:val="24"/>
          <w:szCs w:val="24"/>
        </w:rPr>
      </w:pPr>
      <w:r w:rsidRPr="00DE5E47">
        <w:rPr>
          <w:rFonts w:cs="Times New Roman"/>
          <w:sz w:val="24"/>
          <w:szCs w:val="24"/>
        </w:rPr>
        <w:tab/>
        <w:t xml:space="preserve"> [1] YES (Specify) [2] NO</w:t>
      </w:r>
    </w:p>
    <w:p w14:paraId="14CAD76A" w14:textId="77777777" w:rsidR="00221112" w:rsidRPr="00DE5E47" w:rsidRDefault="00C14051">
      <w:pPr>
        <w:spacing w:line="360" w:lineRule="auto"/>
        <w:jc w:val="both"/>
        <w:rPr>
          <w:rFonts w:cs="Times New Roman"/>
          <w:sz w:val="24"/>
          <w:szCs w:val="24"/>
        </w:rPr>
      </w:pPr>
      <w:r w:rsidRPr="00DE5E47">
        <w:rPr>
          <w:rFonts w:cs="Times New Roman"/>
          <w:sz w:val="24"/>
          <w:szCs w:val="24"/>
        </w:rPr>
        <w:t>What is the approximate income from the fishery?</w:t>
      </w:r>
    </w:p>
    <w:p w14:paraId="44B6C404" w14:textId="77777777" w:rsidR="00221112" w:rsidRPr="00DE5E47" w:rsidRDefault="00C14051">
      <w:pPr>
        <w:spacing w:line="360" w:lineRule="auto"/>
        <w:jc w:val="both"/>
        <w:rPr>
          <w:rFonts w:cs="Times New Roman"/>
          <w:sz w:val="24"/>
          <w:szCs w:val="24"/>
        </w:rPr>
      </w:pPr>
      <w:r w:rsidRPr="00DE5E47">
        <w:rPr>
          <w:rFonts w:cs="Times New Roman"/>
          <w:sz w:val="24"/>
          <w:szCs w:val="24"/>
        </w:rPr>
        <w:t>[1] 1000-5000</w:t>
      </w:r>
      <w:r w:rsidRPr="00DE5E47">
        <w:rPr>
          <w:rFonts w:cs="Times New Roman"/>
          <w:sz w:val="24"/>
          <w:szCs w:val="24"/>
        </w:rPr>
        <w:tab/>
        <w:t xml:space="preserve"> [2] 5000-10000</w:t>
      </w:r>
      <w:r w:rsidRPr="00DE5E47">
        <w:rPr>
          <w:rFonts w:cs="Times New Roman"/>
          <w:sz w:val="24"/>
          <w:szCs w:val="24"/>
        </w:rPr>
        <w:tab/>
        <w:t xml:space="preserve">[3] </w:t>
      </w:r>
      <w:r w:rsidRPr="00DE5E47">
        <w:rPr>
          <w:rFonts w:cs="Times New Roman"/>
          <w:sz w:val="24"/>
          <w:szCs w:val="24"/>
        </w:rPr>
        <w:tab/>
        <w:t>10000-15000</w:t>
      </w:r>
      <w:r w:rsidRPr="00DE5E47">
        <w:rPr>
          <w:rFonts w:cs="Times New Roman"/>
          <w:sz w:val="24"/>
          <w:szCs w:val="24"/>
        </w:rPr>
        <w:tab/>
        <w:t>[4] 15000-20000</w:t>
      </w:r>
    </w:p>
    <w:p w14:paraId="328AA45F" w14:textId="77777777" w:rsidR="00221112" w:rsidRPr="00DE5E47" w:rsidRDefault="00C14051">
      <w:pPr>
        <w:spacing w:line="360" w:lineRule="auto"/>
        <w:jc w:val="both"/>
        <w:rPr>
          <w:rFonts w:cs="Times New Roman"/>
          <w:sz w:val="24"/>
          <w:szCs w:val="24"/>
        </w:rPr>
      </w:pPr>
      <w:r w:rsidRPr="00DE5E47">
        <w:rPr>
          <w:rFonts w:cs="Times New Roman"/>
          <w:sz w:val="24"/>
          <w:szCs w:val="24"/>
        </w:rPr>
        <w:t>Do you practice value addition?</w:t>
      </w:r>
    </w:p>
    <w:p w14:paraId="0BD09EF7"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[2] No</w:t>
      </w:r>
    </w:p>
    <w:p w14:paraId="5D6F2406" w14:textId="77777777" w:rsidR="00221112" w:rsidRPr="00DE5E47" w:rsidRDefault="00221112">
      <w:pPr>
        <w:spacing w:line="360" w:lineRule="auto"/>
        <w:jc w:val="both"/>
        <w:rPr>
          <w:rFonts w:cs="Times New Roman"/>
          <w:sz w:val="24"/>
          <w:szCs w:val="24"/>
        </w:rPr>
      </w:pPr>
    </w:p>
    <w:p w14:paraId="0BC5E029" w14:textId="77777777" w:rsidR="00221112" w:rsidRPr="00DE5E47" w:rsidRDefault="00221112">
      <w:pPr>
        <w:spacing w:line="360" w:lineRule="auto"/>
        <w:jc w:val="both"/>
        <w:rPr>
          <w:rFonts w:cs="Times New Roman"/>
          <w:sz w:val="24"/>
          <w:szCs w:val="24"/>
        </w:rPr>
      </w:pPr>
    </w:p>
    <w:p w14:paraId="4135408A" w14:textId="77777777" w:rsidR="00221112" w:rsidRPr="00DE5E47" w:rsidRDefault="00C14051">
      <w:pPr>
        <w:spacing w:line="360" w:lineRule="auto"/>
        <w:jc w:val="both"/>
        <w:rPr>
          <w:rFonts w:cs="Times New Roman"/>
          <w:b/>
          <w:bCs/>
          <w:sz w:val="24"/>
          <w:szCs w:val="24"/>
        </w:rPr>
      </w:pPr>
      <w:r w:rsidRPr="00DE5E47">
        <w:rPr>
          <w:rFonts w:cs="Times New Roman"/>
          <w:b/>
          <w:bCs/>
          <w:sz w:val="24"/>
          <w:szCs w:val="24"/>
        </w:rPr>
        <w:t>Objective iii: To determine the link between the characteristics and functions of mud crab actors.</w:t>
      </w:r>
    </w:p>
    <w:p w14:paraId="32F9B817" w14:textId="77777777" w:rsidR="00221112" w:rsidRPr="00DE5E47" w:rsidRDefault="00C14051">
      <w:pPr>
        <w:spacing w:line="360" w:lineRule="auto"/>
        <w:jc w:val="both"/>
        <w:rPr>
          <w:rFonts w:cs="Times New Roman"/>
          <w:b/>
          <w:bCs/>
          <w:sz w:val="24"/>
          <w:szCs w:val="24"/>
        </w:rPr>
      </w:pPr>
      <w:r w:rsidRPr="00DE5E47">
        <w:rPr>
          <w:rFonts w:cs="Times New Roman"/>
          <w:b/>
          <w:bCs/>
          <w:sz w:val="24"/>
          <w:szCs w:val="24"/>
        </w:rPr>
        <w:t>Objective iv: To assess the constraints and opportunities prevalent in the mud fishery by crab actor category.</w:t>
      </w:r>
    </w:p>
    <w:p w14:paraId="3118088C" w14:textId="77777777" w:rsidR="00221112" w:rsidRPr="00DE5E47" w:rsidRDefault="00C14051">
      <w:pPr>
        <w:spacing w:line="360" w:lineRule="auto"/>
        <w:jc w:val="both"/>
        <w:rPr>
          <w:rFonts w:cs="Times New Roman"/>
          <w:sz w:val="24"/>
          <w:szCs w:val="24"/>
        </w:rPr>
      </w:pPr>
      <w:r w:rsidRPr="00DE5E47">
        <w:rPr>
          <w:rFonts w:cs="Times New Roman"/>
          <w:b/>
          <w:bCs/>
          <w:sz w:val="24"/>
          <w:szCs w:val="24"/>
        </w:rPr>
        <w:lastRenderedPageBreak/>
        <w:t>Constraints in Marketing:</w:t>
      </w:r>
    </w:p>
    <w:p w14:paraId="020CB390" w14:textId="77777777" w:rsidR="00221112" w:rsidRPr="00DE5E47" w:rsidRDefault="00C14051">
      <w:pPr>
        <w:spacing w:line="360" w:lineRule="auto"/>
        <w:jc w:val="both"/>
        <w:rPr>
          <w:rFonts w:cs="Times New Roman"/>
          <w:sz w:val="24"/>
          <w:szCs w:val="24"/>
        </w:rPr>
      </w:pPr>
      <w:r w:rsidRPr="00DE5E47">
        <w:rPr>
          <w:rFonts w:cs="Times New Roman"/>
          <w:sz w:val="24"/>
          <w:szCs w:val="24"/>
        </w:rPr>
        <w:t>What are the main challenges you face in marketing mud crabs?</w:t>
      </w:r>
    </w:p>
    <w:p w14:paraId="3C51407A" w14:textId="77777777" w:rsidR="00221112" w:rsidRPr="00DE5E47" w:rsidRDefault="00C14051">
      <w:pPr>
        <w:spacing w:line="360" w:lineRule="auto"/>
        <w:jc w:val="both"/>
        <w:rPr>
          <w:rFonts w:cs="Times New Roman"/>
          <w:sz w:val="24"/>
          <w:szCs w:val="24"/>
        </w:rPr>
      </w:pPr>
      <w:r w:rsidRPr="00DE5E47">
        <w:rPr>
          <w:rFonts w:cs="Times New Roman"/>
          <w:sz w:val="24"/>
          <w:szCs w:val="24"/>
        </w:rPr>
        <w:t>[1] Limited Market Access</w:t>
      </w:r>
      <w:r w:rsidRPr="00DE5E47">
        <w:rPr>
          <w:rFonts w:cs="Times New Roman"/>
          <w:sz w:val="24"/>
          <w:szCs w:val="24"/>
        </w:rPr>
        <w:tab/>
        <w:t>[2] Quality Control Issues</w:t>
      </w:r>
      <w:r w:rsidRPr="00DE5E47">
        <w:rPr>
          <w:rFonts w:cs="Times New Roman"/>
          <w:sz w:val="24"/>
          <w:szCs w:val="24"/>
        </w:rPr>
        <w:tab/>
        <w:t>[3] Price Fluctuations</w:t>
      </w:r>
      <w:r w:rsidRPr="00DE5E47">
        <w:rPr>
          <w:rFonts w:cs="Times New Roman"/>
          <w:sz w:val="24"/>
          <w:szCs w:val="24"/>
        </w:rPr>
        <w:tab/>
        <w:t>[4] Other (Specify)</w:t>
      </w:r>
    </w:p>
    <w:p w14:paraId="142365C3" w14:textId="77777777" w:rsidR="00221112" w:rsidRPr="00DE5E47" w:rsidRDefault="00C14051">
      <w:pPr>
        <w:spacing w:line="360" w:lineRule="auto"/>
        <w:jc w:val="both"/>
        <w:rPr>
          <w:rFonts w:cs="Times New Roman"/>
          <w:sz w:val="24"/>
          <w:szCs w:val="24"/>
        </w:rPr>
      </w:pPr>
      <w:r w:rsidRPr="00DE5E47">
        <w:rPr>
          <w:rFonts w:cs="Times New Roman"/>
          <w:sz w:val="24"/>
          <w:szCs w:val="24"/>
        </w:rPr>
        <w:t>Are there any regulatory or legal constraints affecting your marketing activities?</w:t>
      </w:r>
    </w:p>
    <w:p w14:paraId="2D03A15D"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Yes </w:t>
      </w:r>
      <w:r w:rsidRPr="00DE5E47">
        <w:rPr>
          <w:rFonts w:cs="Times New Roman"/>
          <w:sz w:val="24"/>
          <w:szCs w:val="24"/>
        </w:rPr>
        <w:tab/>
      </w:r>
      <w:r w:rsidRPr="00DE5E47">
        <w:rPr>
          <w:rFonts w:cs="Times New Roman"/>
          <w:sz w:val="24"/>
          <w:szCs w:val="24"/>
        </w:rPr>
        <w:tab/>
        <w:t>[2] No</w:t>
      </w:r>
    </w:p>
    <w:p w14:paraId="7F52371C" w14:textId="77777777" w:rsidR="00221112" w:rsidRPr="00DE5E47" w:rsidRDefault="00C14051">
      <w:pPr>
        <w:spacing w:line="360" w:lineRule="auto"/>
        <w:jc w:val="both"/>
        <w:rPr>
          <w:rFonts w:cs="Times New Roman"/>
          <w:b/>
          <w:bCs/>
          <w:sz w:val="24"/>
          <w:szCs w:val="24"/>
        </w:rPr>
      </w:pPr>
      <w:r w:rsidRPr="00DE5E47">
        <w:rPr>
          <w:rFonts w:cs="Times New Roman"/>
          <w:b/>
          <w:bCs/>
          <w:sz w:val="24"/>
          <w:szCs w:val="24"/>
        </w:rPr>
        <w:t>Market Structure and Integration Assessment</w:t>
      </w:r>
    </w:p>
    <w:p w14:paraId="10193492" w14:textId="77777777" w:rsidR="00221112" w:rsidRPr="00DE5E47" w:rsidRDefault="00C14051">
      <w:pPr>
        <w:spacing w:line="360" w:lineRule="auto"/>
        <w:jc w:val="both"/>
        <w:rPr>
          <w:rFonts w:cs="Times New Roman"/>
          <w:sz w:val="24"/>
          <w:szCs w:val="24"/>
        </w:rPr>
      </w:pPr>
      <w:bookmarkStart w:id="267" w:name="OLE_LINK2"/>
      <w:r w:rsidRPr="00DE5E47">
        <w:rPr>
          <w:rFonts w:cs="Times New Roman"/>
          <w:sz w:val="24"/>
          <w:szCs w:val="24"/>
        </w:rPr>
        <w:t>Do you feel the crab market is well structured (level-ground) for all actors?</w:t>
      </w:r>
    </w:p>
    <w:bookmarkEnd w:id="267"/>
    <w:p w14:paraId="32028135"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Strongly Disagree </w:t>
      </w:r>
      <w:r w:rsidRPr="00DE5E47">
        <w:rPr>
          <w:rFonts w:cs="Times New Roman"/>
          <w:sz w:val="24"/>
          <w:szCs w:val="24"/>
        </w:rPr>
        <w:tab/>
        <w:t xml:space="preserve">[2] Disagree </w:t>
      </w:r>
      <w:r w:rsidRPr="00DE5E47">
        <w:rPr>
          <w:rFonts w:cs="Times New Roman"/>
          <w:sz w:val="24"/>
          <w:szCs w:val="24"/>
        </w:rPr>
        <w:tab/>
        <w:t xml:space="preserve">[3] Neutral </w:t>
      </w:r>
      <w:r w:rsidRPr="00DE5E47">
        <w:rPr>
          <w:rFonts w:cs="Times New Roman"/>
          <w:sz w:val="24"/>
          <w:szCs w:val="24"/>
        </w:rPr>
        <w:tab/>
        <w:t>[4] Agree</w:t>
      </w:r>
      <w:r w:rsidRPr="00DE5E47">
        <w:rPr>
          <w:rFonts w:cs="Times New Roman"/>
          <w:sz w:val="24"/>
          <w:szCs w:val="24"/>
        </w:rPr>
        <w:tab/>
        <w:t xml:space="preserve"> [5] Strongly Agree</w:t>
      </w:r>
    </w:p>
    <w:p w14:paraId="2523A2A0" w14:textId="77777777" w:rsidR="00221112" w:rsidRPr="00DE5E47" w:rsidRDefault="00C14051">
      <w:pPr>
        <w:spacing w:line="360" w:lineRule="auto"/>
        <w:jc w:val="both"/>
        <w:rPr>
          <w:rFonts w:cs="Times New Roman"/>
          <w:sz w:val="24"/>
          <w:szCs w:val="24"/>
        </w:rPr>
      </w:pPr>
      <w:r w:rsidRPr="00DE5E47">
        <w:rPr>
          <w:rFonts w:cs="Times New Roman"/>
          <w:sz w:val="24"/>
          <w:szCs w:val="24"/>
        </w:rPr>
        <w:t>Is the target crab species well integrated into the other species' marketing structures from this area?</w:t>
      </w:r>
    </w:p>
    <w:p w14:paraId="63229BD4" w14:textId="77777777" w:rsidR="00221112" w:rsidRPr="00DE5E47" w:rsidRDefault="00C14051">
      <w:pPr>
        <w:spacing w:line="360" w:lineRule="auto"/>
        <w:jc w:val="both"/>
        <w:rPr>
          <w:rFonts w:cs="Times New Roman"/>
          <w:sz w:val="24"/>
          <w:szCs w:val="24"/>
        </w:rPr>
      </w:pPr>
      <w:r w:rsidRPr="00DE5E47">
        <w:rPr>
          <w:rFonts w:cs="Times New Roman"/>
          <w:sz w:val="24"/>
          <w:szCs w:val="24"/>
        </w:rPr>
        <w:t>[1] Strongly Disagree</w:t>
      </w:r>
      <w:r w:rsidRPr="00DE5E47">
        <w:rPr>
          <w:rFonts w:cs="Times New Roman"/>
          <w:sz w:val="24"/>
          <w:szCs w:val="24"/>
        </w:rPr>
        <w:tab/>
        <w:t xml:space="preserve"> [2] Disagree </w:t>
      </w:r>
      <w:r w:rsidRPr="00DE5E47">
        <w:rPr>
          <w:rFonts w:cs="Times New Roman"/>
          <w:sz w:val="24"/>
          <w:szCs w:val="24"/>
        </w:rPr>
        <w:tab/>
        <w:t>[3] Neutral</w:t>
      </w:r>
      <w:r w:rsidRPr="00DE5E47">
        <w:rPr>
          <w:rFonts w:cs="Times New Roman"/>
          <w:sz w:val="24"/>
          <w:szCs w:val="24"/>
        </w:rPr>
        <w:tab/>
        <w:t xml:space="preserve"> [4] Agree </w:t>
      </w:r>
      <w:r w:rsidRPr="00DE5E47">
        <w:rPr>
          <w:rFonts w:cs="Times New Roman"/>
          <w:sz w:val="24"/>
          <w:szCs w:val="24"/>
        </w:rPr>
        <w:tab/>
        <w:t>[5] Strongly Agree</w:t>
      </w:r>
    </w:p>
    <w:p w14:paraId="41C10DB3" w14:textId="77777777" w:rsidR="00221112" w:rsidRPr="00DE5E47" w:rsidRDefault="00C14051">
      <w:pPr>
        <w:spacing w:line="360" w:lineRule="auto"/>
        <w:jc w:val="both"/>
        <w:rPr>
          <w:rFonts w:cs="Times New Roman"/>
          <w:sz w:val="24"/>
          <w:szCs w:val="24"/>
        </w:rPr>
      </w:pPr>
      <w:r w:rsidRPr="00DE5E47">
        <w:rPr>
          <w:rFonts w:cs="Times New Roman"/>
          <w:sz w:val="24"/>
          <w:szCs w:val="24"/>
        </w:rPr>
        <w:t>Do you know any policy framework for enhancing crab markets in this area currently?</w:t>
      </w:r>
    </w:p>
    <w:p w14:paraId="26376545"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Strongly Disagree </w:t>
      </w:r>
      <w:r w:rsidRPr="00DE5E47">
        <w:rPr>
          <w:rFonts w:cs="Times New Roman"/>
          <w:sz w:val="24"/>
          <w:szCs w:val="24"/>
        </w:rPr>
        <w:tab/>
      </w:r>
      <w:r w:rsidRPr="00DE5E47">
        <w:rPr>
          <w:rFonts w:cs="Times New Roman"/>
          <w:sz w:val="24"/>
          <w:szCs w:val="24"/>
        </w:rPr>
        <w:tab/>
        <w:t xml:space="preserve">[2] Disagree </w:t>
      </w:r>
      <w:r w:rsidRPr="00DE5E47">
        <w:rPr>
          <w:rFonts w:cs="Times New Roman"/>
          <w:sz w:val="24"/>
          <w:szCs w:val="24"/>
        </w:rPr>
        <w:tab/>
        <w:t xml:space="preserve">[3] Neutral </w:t>
      </w:r>
      <w:r w:rsidRPr="00DE5E47">
        <w:rPr>
          <w:rFonts w:cs="Times New Roman"/>
          <w:sz w:val="24"/>
          <w:szCs w:val="24"/>
        </w:rPr>
        <w:tab/>
        <w:t xml:space="preserve">[4] Agree </w:t>
      </w:r>
      <w:r w:rsidRPr="00DE5E47">
        <w:rPr>
          <w:rFonts w:cs="Times New Roman"/>
          <w:sz w:val="24"/>
          <w:szCs w:val="24"/>
        </w:rPr>
        <w:tab/>
        <w:t>[5] Strongly Agree</w:t>
      </w:r>
    </w:p>
    <w:p w14:paraId="3634C85B" w14:textId="77777777" w:rsidR="00221112" w:rsidRPr="00DE5E47" w:rsidRDefault="00C14051">
      <w:pPr>
        <w:spacing w:line="360" w:lineRule="auto"/>
        <w:jc w:val="both"/>
        <w:rPr>
          <w:rFonts w:cs="Times New Roman"/>
          <w:b/>
          <w:bCs/>
          <w:sz w:val="24"/>
          <w:szCs w:val="24"/>
        </w:rPr>
      </w:pPr>
      <w:r w:rsidRPr="00DE5E47">
        <w:rPr>
          <w:rFonts w:cs="Times New Roman"/>
          <w:b/>
          <w:bCs/>
          <w:sz w:val="24"/>
          <w:szCs w:val="24"/>
        </w:rPr>
        <w:t>Access to Credit and Financial Practices</w:t>
      </w:r>
    </w:p>
    <w:p w14:paraId="21F71F0E" w14:textId="77777777" w:rsidR="00221112" w:rsidRPr="00DE5E47" w:rsidRDefault="00C14051">
      <w:pPr>
        <w:spacing w:line="360" w:lineRule="auto"/>
        <w:jc w:val="both"/>
        <w:rPr>
          <w:rFonts w:cs="Times New Roman"/>
          <w:sz w:val="24"/>
          <w:szCs w:val="24"/>
        </w:rPr>
      </w:pPr>
      <w:r w:rsidRPr="00DE5E47">
        <w:rPr>
          <w:rFonts w:cs="Times New Roman"/>
          <w:sz w:val="24"/>
          <w:szCs w:val="24"/>
        </w:rPr>
        <w:t>Do you take loans to facilitate business?</w:t>
      </w:r>
    </w:p>
    <w:p w14:paraId="206F2751"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 xml:space="preserve"> [2] No (Specify)</w:t>
      </w:r>
    </w:p>
    <w:p w14:paraId="63440FFC" w14:textId="77777777" w:rsidR="00221112" w:rsidRPr="00DE5E47" w:rsidRDefault="00C14051">
      <w:pPr>
        <w:spacing w:line="360" w:lineRule="auto"/>
        <w:jc w:val="both"/>
        <w:rPr>
          <w:rFonts w:cs="Times New Roman"/>
          <w:sz w:val="24"/>
          <w:szCs w:val="24"/>
        </w:rPr>
      </w:pPr>
      <w:r w:rsidRPr="00DE5E47">
        <w:rPr>
          <w:rFonts w:cs="Times New Roman"/>
          <w:sz w:val="24"/>
          <w:szCs w:val="24"/>
        </w:rPr>
        <w:t>Whom do you borrow loans for crab business?</w:t>
      </w:r>
    </w:p>
    <w:p w14:paraId="45263447" w14:textId="77777777" w:rsidR="00221112" w:rsidRPr="00DE5E47" w:rsidRDefault="00C14051">
      <w:pPr>
        <w:spacing w:line="360" w:lineRule="auto"/>
        <w:ind w:left="720" w:hanging="720"/>
        <w:jc w:val="both"/>
        <w:rPr>
          <w:rFonts w:cs="Times New Roman"/>
          <w:sz w:val="24"/>
          <w:szCs w:val="24"/>
        </w:rPr>
      </w:pPr>
      <w:r w:rsidRPr="00DE5E47">
        <w:rPr>
          <w:rFonts w:cs="Times New Roman"/>
          <w:sz w:val="24"/>
          <w:szCs w:val="24"/>
        </w:rPr>
        <w:t xml:space="preserve">[1] Borrowing from Money Lenders </w:t>
      </w:r>
      <w:r w:rsidRPr="00DE5E47">
        <w:rPr>
          <w:rFonts w:cs="Times New Roman"/>
          <w:sz w:val="24"/>
          <w:szCs w:val="24"/>
        </w:rPr>
        <w:tab/>
        <w:t xml:space="preserve">[2] Borrow from middlemen </w:t>
      </w:r>
      <w:r w:rsidRPr="00DE5E47">
        <w:rPr>
          <w:rFonts w:cs="Times New Roman"/>
          <w:sz w:val="24"/>
          <w:szCs w:val="24"/>
        </w:rPr>
        <w:tab/>
        <w:t>[3] Borrowing from exporters [4] Formal Institutions – Bank, Cooperatives,Sacco etc</w:t>
      </w:r>
      <w:r w:rsidRPr="00DE5E47">
        <w:rPr>
          <w:rFonts w:cs="Times New Roman"/>
          <w:sz w:val="24"/>
          <w:szCs w:val="24"/>
        </w:rPr>
        <w:tab/>
        <w:t xml:space="preserve"> [5] Combination of above sources and any other source other – specify 6. Other (specify)</w:t>
      </w:r>
    </w:p>
    <w:p w14:paraId="65B059B0" w14:textId="77777777" w:rsidR="00221112" w:rsidRPr="00DE5E47" w:rsidRDefault="00C14051">
      <w:pPr>
        <w:spacing w:line="360" w:lineRule="auto"/>
        <w:jc w:val="both"/>
        <w:rPr>
          <w:rFonts w:cs="Times New Roman"/>
          <w:sz w:val="24"/>
          <w:szCs w:val="24"/>
        </w:rPr>
      </w:pPr>
      <w:r w:rsidRPr="00DE5E47">
        <w:rPr>
          <w:rFonts w:cs="Times New Roman"/>
          <w:b/>
          <w:bCs/>
          <w:sz w:val="24"/>
          <w:szCs w:val="24"/>
        </w:rPr>
        <w:t>Mode of Payment</w:t>
      </w:r>
      <w:r w:rsidRPr="00DE5E47">
        <w:rPr>
          <w:rFonts w:cs="Times New Roman"/>
          <w:sz w:val="24"/>
          <w:szCs w:val="24"/>
        </w:rPr>
        <w:t>: How do you get your payments?</w:t>
      </w:r>
    </w:p>
    <w:p w14:paraId="396DA33C" w14:textId="77777777" w:rsidR="00221112" w:rsidRPr="00DE5E47" w:rsidRDefault="00C14051">
      <w:pPr>
        <w:spacing w:line="360" w:lineRule="auto"/>
        <w:jc w:val="both"/>
        <w:rPr>
          <w:rFonts w:cs="Times New Roman"/>
          <w:sz w:val="24"/>
          <w:szCs w:val="24"/>
        </w:rPr>
      </w:pPr>
      <w:r w:rsidRPr="00DE5E47">
        <w:rPr>
          <w:rFonts w:cs="Times New Roman"/>
          <w:sz w:val="24"/>
          <w:szCs w:val="24"/>
        </w:rPr>
        <w:t>[1] Mpesa</w:t>
      </w:r>
      <w:r w:rsidRPr="00DE5E47">
        <w:rPr>
          <w:rFonts w:cs="Times New Roman"/>
          <w:sz w:val="24"/>
          <w:szCs w:val="24"/>
        </w:rPr>
        <w:tab/>
        <w:t xml:space="preserve"> [2] cash on delivery </w:t>
      </w:r>
      <w:r w:rsidRPr="00DE5E47">
        <w:rPr>
          <w:rFonts w:cs="Times New Roman"/>
          <w:sz w:val="24"/>
          <w:szCs w:val="24"/>
        </w:rPr>
        <w:tab/>
        <w:t xml:space="preserve">[3] Cheque </w:t>
      </w:r>
      <w:r w:rsidRPr="00DE5E47">
        <w:rPr>
          <w:rFonts w:cs="Times New Roman"/>
          <w:sz w:val="24"/>
          <w:szCs w:val="24"/>
        </w:rPr>
        <w:tab/>
        <w:t xml:space="preserve">[4] credit (daily, weekly, monthly) </w:t>
      </w:r>
      <w:r w:rsidRPr="00DE5E47">
        <w:rPr>
          <w:rFonts w:cs="Times New Roman"/>
          <w:sz w:val="24"/>
          <w:szCs w:val="24"/>
        </w:rPr>
        <w:tab/>
        <w:t>[5] Other (specify)</w:t>
      </w:r>
    </w:p>
    <w:p w14:paraId="3E1BF6A9" w14:textId="77777777" w:rsidR="00221112" w:rsidRPr="00DE5E47" w:rsidRDefault="00C14051">
      <w:pPr>
        <w:spacing w:line="360" w:lineRule="auto"/>
        <w:jc w:val="both"/>
        <w:rPr>
          <w:rFonts w:cs="Times New Roman"/>
          <w:sz w:val="24"/>
          <w:szCs w:val="24"/>
        </w:rPr>
      </w:pPr>
      <w:r w:rsidRPr="00DE5E47">
        <w:rPr>
          <w:rFonts w:cs="Times New Roman"/>
          <w:sz w:val="24"/>
          <w:szCs w:val="24"/>
        </w:rPr>
        <w:t>Is your buyer regular?</w:t>
      </w:r>
    </w:p>
    <w:p w14:paraId="51D27E45"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 xml:space="preserve"> [2] No (specify)</w:t>
      </w:r>
    </w:p>
    <w:p w14:paraId="134304D8" w14:textId="77777777" w:rsidR="00221112" w:rsidRPr="00DE5E47" w:rsidRDefault="00C14051">
      <w:pPr>
        <w:spacing w:line="360" w:lineRule="auto"/>
        <w:jc w:val="both"/>
        <w:rPr>
          <w:rFonts w:cs="Times New Roman"/>
          <w:sz w:val="24"/>
          <w:szCs w:val="24"/>
        </w:rPr>
      </w:pPr>
      <w:r w:rsidRPr="00DE5E47">
        <w:rPr>
          <w:rFonts w:cs="Times New Roman"/>
          <w:sz w:val="24"/>
          <w:szCs w:val="24"/>
        </w:rPr>
        <w:lastRenderedPageBreak/>
        <w:t>Location/site of sale?</w:t>
      </w:r>
    </w:p>
    <w:p w14:paraId="0D1D9BE7"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Landing beach </w:t>
      </w:r>
      <w:r w:rsidRPr="00DE5E47">
        <w:rPr>
          <w:rFonts w:cs="Times New Roman"/>
          <w:sz w:val="24"/>
          <w:szCs w:val="24"/>
        </w:rPr>
        <w:tab/>
        <w:t xml:space="preserve">[2] Market </w:t>
      </w:r>
      <w:r w:rsidRPr="00DE5E47">
        <w:rPr>
          <w:rFonts w:cs="Times New Roman"/>
          <w:sz w:val="24"/>
          <w:szCs w:val="24"/>
        </w:rPr>
        <w:tab/>
        <w:t xml:space="preserve">[3] hotels </w:t>
      </w:r>
      <w:r w:rsidRPr="00DE5E47">
        <w:rPr>
          <w:rFonts w:cs="Times New Roman"/>
          <w:sz w:val="24"/>
          <w:szCs w:val="24"/>
        </w:rPr>
        <w:tab/>
        <w:t xml:space="preserve">[4] Hawking </w:t>
      </w:r>
      <w:r w:rsidRPr="00DE5E47">
        <w:rPr>
          <w:rFonts w:cs="Times New Roman"/>
          <w:sz w:val="24"/>
          <w:szCs w:val="24"/>
        </w:rPr>
        <w:tab/>
        <w:t>[5] Other (specify)</w:t>
      </w:r>
    </w:p>
    <w:p w14:paraId="43F2A0B2" w14:textId="77777777" w:rsidR="00221112" w:rsidRPr="00DE5E47" w:rsidRDefault="00C14051">
      <w:pPr>
        <w:spacing w:line="360" w:lineRule="auto"/>
        <w:jc w:val="both"/>
        <w:rPr>
          <w:rFonts w:cs="Times New Roman"/>
          <w:sz w:val="24"/>
          <w:szCs w:val="24"/>
        </w:rPr>
      </w:pPr>
      <w:r w:rsidRPr="00DE5E47">
        <w:rPr>
          <w:rFonts w:cs="Times New Roman"/>
          <w:sz w:val="24"/>
          <w:szCs w:val="24"/>
        </w:rPr>
        <w:t>If you sell to another trader, do you know who they sell to?</w:t>
      </w:r>
    </w:p>
    <w:p w14:paraId="4E0B93D8"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 xml:space="preserve"> [2] No (specify)</w:t>
      </w:r>
    </w:p>
    <w:p w14:paraId="2D33B4BD"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Do you have any fishers tied to you? </w:t>
      </w:r>
    </w:p>
    <w:p w14:paraId="33A98663"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 xml:space="preserve"> [2] No (specify)</w:t>
      </w:r>
    </w:p>
    <w:p w14:paraId="099541A2" w14:textId="77777777" w:rsidR="00221112" w:rsidRPr="00DE5E47" w:rsidRDefault="00C14051">
      <w:pPr>
        <w:spacing w:line="360" w:lineRule="auto"/>
        <w:jc w:val="both"/>
        <w:rPr>
          <w:rFonts w:cs="Times New Roman"/>
          <w:sz w:val="24"/>
          <w:szCs w:val="24"/>
        </w:rPr>
      </w:pPr>
      <w:r w:rsidRPr="00DE5E47">
        <w:rPr>
          <w:rFonts w:cs="Times New Roman"/>
          <w:sz w:val="24"/>
          <w:szCs w:val="24"/>
        </w:rPr>
        <w:t>What arrangements?</w:t>
      </w:r>
    </w:p>
    <w:p w14:paraId="3E03AA22"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Fixed- price </w:t>
      </w:r>
      <w:r w:rsidRPr="00DE5E47">
        <w:rPr>
          <w:rFonts w:cs="Times New Roman"/>
          <w:sz w:val="24"/>
          <w:szCs w:val="24"/>
        </w:rPr>
        <w:tab/>
      </w:r>
      <w:r w:rsidRPr="00DE5E47">
        <w:rPr>
          <w:rFonts w:cs="Times New Roman"/>
          <w:sz w:val="24"/>
          <w:szCs w:val="24"/>
        </w:rPr>
        <w:tab/>
        <w:t xml:space="preserve">[2] Supply quantity </w:t>
      </w:r>
      <w:r w:rsidRPr="00DE5E47">
        <w:rPr>
          <w:rFonts w:cs="Times New Roman"/>
          <w:sz w:val="24"/>
          <w:szCs w:val="24"/>
        </w:rPr>
        <w:tab/>
        <w:t xml:space="preserve">[3] Use their equipment </w:t>
      </w:r>
      <w:r w:rsidRPr="00DE5E47">
        <w:rPr>
          <w:rFonts w:cs="Times New Roman"/>
          <w:sz w:val="24"/>
          <w:szCs w:val="24"/>
        </w:rPr>
        <w:tab/>
      </w:r>
      <w:r w:rsidRPr="00DE5E47">
        <w:rPr>
          <w:rFonts w:cs="Times New Roman"/>
          <w:sz w:val="24"/>
          <w:szCs w:val="24"/>
        </w:rPr>
        <w:tab/>
        <w:t>[4] Frequency supply [5] Credit</w:t>
      </w:r>
    </w:p>
    <w:p w14:paraId="2DA2C2BA"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Do you have any traders tied to you? </w:t>
      </w:r>
    </w:p>
    <w:p w14:paraId="58153462"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 xml:space="preserve"> [2] No (specify)</w:t>
      </w:r>
    </w:p>
    <w:p w14:paraId="40877323" w14:textId="77777777" w:rsidR="00221112" w:rsidRPr="00DE5E47" w:rsidRDefault="00C14051">
      <w:pPr>
        <w:spacing w:line="360" w:lineRule="auto"/>
        <w:jc w:val="both"/>
        <w:rPr>
          <w:rFonts w:cs="Times New Roman"/>
          <w:sz w:val="24"/>
          <w:szCs w:val="24"/>
        </w:rPr>
      </w:pPr>
      <w:r w:rsidRPr="00DE5E47">
        <w:rPr>
          <w:rFonts w:cs="Times New Roman"/>
          <w:sz w:val="24"/>
          <w:szCs w:val="24"/>
        </w:rPr>
        <w:t>What arrangements?</w:t>
      </w:r>
    </w:p>
    <w:p w14:paraId="2758CFE5" w14:textId="77777777" w:rsidR="00221112" w:rsidRPr="00DE5E47" w:rsidRDefault="00C14051">
      <w:pPr>
        <w:spacing w:line="360" w:lineRule="auto"/>
        <w:jc w:val="both"/>
        <w:rPr>
          <w:rFonts w:cs="Times New Roman"/>
          <w:sz w:val="24"/>
          <w:szCs w:val="24"/>
        </w:rPr>
      </w:pPr>
      <w:r w:rsidRPr="00DE5E47">
        <w:rPr>
          <w:rFonts w:cs="Times New Roman"/>
          <w:sz w:val="24"/>
          <w:szCs w:val="24"/>
        </w:rPr>
        <w:t>[1] Fixed- price</w:t>
      </w:r>
      <w:r w:rsidRPr="00DE5E47">
        <w:rPr>
          <w:rFonts w:cs="Times New Roman"/>
          <w:sz w:val="24"/>
          <w:szCs w:val="24"/>
        </w:rPr>
        <w:tab/>
      </w:r>
      <w:r w:rsidRPr="00DE5E47">
        <w:rPr>
          <w:rFonts w:cs="Times New Roman"/>
          <w:sz w:val="24"/>
          <w:szCs w:val="24"/>
        </w:rPr>
        <w:tab/>
        <w:t xml:space="preserve"> [2] Supply quantity </w:t>
      </w:r>
      <w:r w:rsidRPr="00DE5E47">
        <w:rPr>
          <w:rFonts w:cs="Times New Roman"/>
          <w:sz w:val="24"/>
          <w:szCs w:val="24"/>
        </w:rPr>
        <w:tab/>
      </w:r>
      <w:r w:rsidRPr="00DE5E47">
        <w:rPr>
          <w:rFonts w:cs="Times New Roman"/>
          <w:sz w:val="24"/>
          <w:szCs w:val="24"/>
        </w:rPr>
        <w:tab/>
        <w:t xml:space="preserve">[3] Use their equipment </w:t>
      </w:r>
      <w:r w:rsidRPr="00DE5E47">
        <w:rPr>
          <w:rFonts w:cs="Times New Roman"/>
          <w:sz w:val="24"/>
          <w:szCs w:val="24"/>
        </w:rPr>
        <w:tab/>
      </w:r>
      <w:r w:rsidRPr="00DE5E47">
        <w:rPr>
          <w:rFonts w:cs="Times New Roman"/>
          <w:sz w:val="24"/>
          <w:szCs w:val="24"/>
        </w:rPr>
        <w:tab/>
        <w:t xml:space="preserve">[4] Frequency supply </w:t>
      </w:r>
      <w:r w:rsidRPr="00DE5E47">
        <w:rPr>
          <w:rFonts w:cs="Times New Roman"/>
          <w:sz w:val="24"/>
          <w:szCs w:val="24"/>
        </w:rPr>
        <w:tab/>
      </w:r>
      <w:r w:rsidRPr="00DE5E47">
        <w:rPr>
          <w:rFonts w:cs="Times New Roman"/>
          <w:sz w:val="24"/>
          <w:szCs w:val="24"/>
        </w:rPr>
        <w:tab/>
        <w:t>[5] Credit</w:t>
      </w:r>
    </w:p>
    <w:p w14:paraId="152C574A"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Do you have any depot owner tied to you? </w:t>
      </w:r>
    </w:p>
    <w:p w14:paraId="611D7637"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 xml:space="preserve"> [2] No (specify)</w:t>
      </w:r>
    </w:p>
    <w:p w14:paraId="424D0EFF" w14:textId="77777777" w:rsidR="00221112" w:rsidRPr="00DE5E47" w:rsidRDefault="00C14051">
      <w:pPr>
        <w:spacing w:line="360" w:lineRule="auto"/>
        <w:jc w:val="both"/>
        <w:rPr>
          <w:rFonts w:cs="Times New Roman"/>
          <w:sz w:val="24"/>
          <w:szCs w:val="24"/>
        </w:rPr>
      </w:pPr>
      <w:r w:rsidRPr="00DE5E47">
        <w:rPr>
          <w:rFonts w:cs="Times New Roman"/>
          <w:sz w:val="24"/>
          <w:szCs w:val="24"/>
        </w:rPr>
        <w:t>What arrangements?</w:t>
      </w:r>
    </w:p>
    <w:p w14:paraId="21451F82" w14:textId="77777777" w:rsidR="00221112" w:rsidRPr="00DE5E47" w:rsidRDefault="00C14051">
      <w:pPr>
        <w:spacing w:line="360" w:lineRule="auto"/>
        <w:ind w:left="720" w:hanging="720"/>
        <w:jc w:val="both"/>
        <w:rPr>
          <w:rFonts w:cs="Times New Roman"/>
          <w:sz w:val="24"/>
          <w:szCs w:val="24"/>
        </w:rPr>
      </w:pPr>
      <w:r w:rsidRPr="00DE5E47">
        <w:rPr>
          <w:rFonts w:cs="Times New Roman"/>
          <w:sz w:val="24"/>
          <w:szCs w:val="24"/>
        </w:rPr>
        <w:t xml:space="preserve">[1] Fixed- price </w:t>
      </w:r>
      <w:r w:rsidRPr="00DE5E47">
        <w:rPr>
          <w:rFonts w:cs="Times New Roman"/>
          <w:sz w:val="24"/>
          <w:szCs w:val="24"/>
        </w:rPr>
        <w:tab/>
      </w:r>
      <w:r w:rsidRPr="00DE5E47">
        <w:rPr>
          <w:rFonts w:cs="Times New Roman"/>
          <w:sz w:val="24"/>
          <w:szCs w:val="24"/>
        </w:rPr>
        <w:tab/>
        <w:t>[2] Supply quantity</w:t>
      </w:r>
      <w:r w:rsidRPr="00DE5E47">
        <w:rPr>
          <w:rFonts w:cs="Times New Roman"/>
          <w:sz w:val="24"/>
          <w:szCs w:val="24"/>
        </w:rPr>
        <w:tab/>
        <w:t xml:space="preserve"> [3] Use their equipment </w:t>
      </w:r>
      <w:r w:rsidRPr="00DE5E47">
        <w:rPr>
          <w:rFonts w:cs="Times New Roman"/>
          <w:sz w:val="24"/>
          <w:szCs w:val="24"/>
        </w:rPr>
        <w:tab/>
        <w:t>[4] Frequency supply [5] Credit</w:t>
      </w:r>
    </w:p>
    <w:p w14:paraId="73D69404" w14:textId="77777777" w:rsidR="00221112" w:rsidRPr="00DE5E47" w:rsidRDefault="00C14051">
      <w:pPr>
        <w:spacing w:line="360" w:lineRule="auto"/>
        <w:jc w:val="both"/>
        <w:rPr>
          <w:rFonts w:cs="Times New Roman"/>
          <w:sz w:val="24"/>
          <w:szCs w:val="24"/>
        </w:rPr>
      </w:pPr>
      <w:r w:rsidRPr="00DE5E47">
        <w:rPr>
          <w:rFonts w:cs="Times New Roman"/>
          <w:sz w:val="24"/>
          <w:szCs w:val="24"/>
        </w:rPr>
        <w:t>Do you have formal/informal agreements with another fisher/traders/Depot owners?</w:t>
      </w:r>
    </w:p>
    <w:p w14:paraId="09F95CD6"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[2] No (specify)</w:t>
      </w:r>
    </w:p>
    <w:p w14:paraId="3E6B2920" w14:textId="77777777" w:rsidR="00221112" w:rsidRPr="00DE5E47" w:rsidRDefault="00C14051">
      <w:pPr>
        <w:spacing w:line="360" w:lineRule="auto"/>
        <w:jc w:val="both"/>
        <w:rPr>
          <w:rFonts w:cs="Times New Roman"/>
          <w:sz w:val="24"/>
          <w:szCs w:val="24"/>
        </w:rPr>
      </w:pPr>
      <w:r w:rsidRPr="00DE5E47">
        <w:rPr>
          <w:rFonts w:cs="Times New Roman"/>
          <w:b/>
          <w:bCs/>
          <w:sz w:val="24"/>
          <w:szCs w:val="24"/>
        </w:rPr>
        <w:t>Opportunities for Improvement:</w:t>
      </w:r>
      <w:r w:rsidRPr="00DE5E47">
        <w:rPr>
          <w:rFonts w:cs="Times New Roman"/>
          <w:sz w:val="24"/>
          <w:szCs w:val="24"/>
        </w:rPr>
        <w:t xml:space="preserve"> </w:t>
      </w:r>
    </w:p>
    <w:p w14:paraId="301590FC" w14:textId="77777777" w:rsidR="00221112" w:rsidRPr="00DE5E47" w:rsidRDefault="00C14051">
      <w:pPr>
        <w:spacing w:line="360" w:lineRule="auto"/>
        <w:jc w:val="both"/>
        <w:rPr>
          <w:rFonts w:cs="Times New Roman"/>
          <w:sz w:val="24"/>
          <w:szCs w:val="24"/>
        </w:rPr>
      </w:pPr>
      <w:r w:rsidRPr="00DE5E47">
        <w:rPr>
          <w:rFonts w:cs="Times New Roman"/>
          <w:sz w:val="24"/>
          <w:szCs w:val="24"/>
        </w:rPr>
        <w:t>What opportunities do you see for improving the marketing of mud crabs?</w:t>
      </w:r>
    </w:p>
    <w:p w14:paraId="4667DDA7"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Market Access Improvement </w:t>
      </w:r>
      <w:r w:rsidRPr="00DE5E47">
        <w:rPr>
          <w:rFonts w:cs="Times New Roman"/>
          <w:sz w:val="24"/>
          <w:szCs w:val="24"/>
        </w:rPr>
        <w:tab/>
        <w:t xml:space="preserve">[2] Quality Enhancement </w:t>
      </w:r>
      <w:r w:rsidRPr="00DE5E47">
        <w:rPr>
          <w:rFonts w:cs="Times New Roman"/>
          <w:sz w:val="24"/>
          <w:szCs w:val="24"/>
        </w:rPr>
        <w:tab/>
        <w:t>[3] Price Stability Measures</w:t>
      </w:r>
      <w:r w:rsidRPr="00DE5E47">
        <w:rPr>
          <w:rFonts w:cs="Times New Roman"/>
          <w:sz w:val="24"/>
          <w:szCs w:val="24"/>
        </w:rPr>
        <w:tab/>
        <w:t>[4] Other (Specify)</w:t>
      </w:r>
    </w:p>
    <w:p w14:paraId="19AF1BCC" w14:textId="77777777" w:rsidR="00221112" w:rsidRPr="00DE5E47" w:rsidRDefault="00C14051">
      <w:pPr>
        <w:spacing w:line="360" w:lineRule="auto"/>
        <w:jc w:val="both"/>
        <w:rPr>
          <w:rFonts w:cs="Times New Roman"/>
          <w:sz w:val="24"/>
          <w:szCs w:val="24"/>
        </w:rPr>
      </w:pPr>
      <w:r w:rsidRPr="00DE5E47">
        <w:rPr>
          <w:rFonts w:cs="Times New Roman"/>
          <w:sz w:val="24"/>
          <w:szCs w:val="24"/>
        </w:rPr>
        <w:lastRenderedPageBreak/>
        <w:t>How can the current marketing system be enhanced to benefit mud crab actors?</w:t>
      </w:r>
    </w:p>
    <w:p w14:paraId="6DCA2990"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Government Support </w:t>
      </w:r>
      <w:r w:rsidRPr="00DE5E47">
        <w:rPr>
          <w:rFonts w:cs="Times New Roman"/>
          <w:sz w:val="24"/>
          <w:szCs w:val="24"/>
        </w:rPr>
        <w:tab/>
        <w:t xml:space="preserve">[2] Industry Collaboration </w:t>
      </w:r>
      <w:r w:rsidRPr="00DE5E47">
        <w:rPr>
          <w:rFonts w:cs="Times New Roman"/>
          <w:sz w:val="24"/>
          <w:szCs w:val="24"/>
        </w:rPr>
        <w:tab/>
        <w:t>[3] Technology Adoption</w:t>
      </w:r>
      <w:r w:rsidRPr="00DE5E47">
        <w:rPr>
          <w:rFonts w:cs="Times New Roman"/>
          <w:sz w:val="24"/>
          <w:szCs w:val="24"/>
        </w:rPr>
        <w:tab/>
        <w:t>[4] Other (Specify) [5] Access to credit</w:t>
      </w:r>
    </w:p>
    <w:p w14:paraId="7FA96BF3" w14:textId="77777777" w:rsidR="00221112" w:rsidRPr="00DE5E47" w:rsidRDefault="00C14051">
      <w:pPr>
        <w:spacing w:line="360" w:lineRule="auto"/>
        <w:jc w:val="both"/>
        <w:rPr>
          <w:rFonts w:cs="Times New Roman"/>
          <w:sz w:val="24"/>
          <w:szCs w:val="24"/>
        </w:rPr>
      </w:pPr>
      <w:r w:rsidRPr="00DE5E47">
        <w:rPr>
          <w:rFonts w:cs="Times New Roman"/>
          <w:b/>
          <w:bCs/>
          <w:sz w:val="24"/>
          <w:szCs w:val="24"/>
        </w:rPr>
        <w:t>Infrastructure and Logistics:</w:t>
      </w:r>
      <w:r w:rsidRPr="00DE5E47">
        <w:rPr>
          <w:rFonts w:cs="Times New Roman"/>
          <w:sz w:val="24"/>
          <w:szCs w:val="24"/>
        </w:rPr>
        <w:t xml:space="preserve"> </w:t>
      </w:r>
    </w:p>
    <w:p w14:paraId="219F462F" w14:textId="77777777" w:rsidR="00221112" w:rsidRPr="00DE5E47" w:rsidRDefault="00C14051">
      <w:pPr>
        <w:spacing w:line="360" w:lineRule="auto"/>
        <w:jc w:val="both"/>
        <w:rPr>
          <w:rFonts w:cs="Times New Roman"/>
          <w:sz w:val="24"/>
          <w:szCs w:val="24"/>
        </w:rPr>
      </w:pPr>
      <w:r w:rsidRPr="00DE5E47">
        <w:rPr>
          <w:rFonts w:cs="Times New Roman"/>
          <w:sz w:val="24"/>
          <w:szCs w:val="24"/>
        </w:rPr>
        <w:t>What infrastructure or logistical challenges do you face in transporting mud crabs from the fishing grounds to the market?</w:t>
      </w:r>
    </w:p>
    <w:p w14:paraId="76544B1E"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Poor Road Infrastructure </w:t>
      </w:r>
      <w:r w:rsidRPr="00DE5E47">
        <w:rPr>
          <w:rFonts w:cs="Times New Roman"/>
          <w:sz w:val="24"/>
          <w:szCs w:val="24"/>
        </w:rPr>
        <w:tab/>
        <w:t>[2] Lack of Cold Storage Facilities</w:t>
      </w:r>
      <w:r w:rsidRPr="00DE5E47">
        <w:rPr>
          <w:rFonts w:cs="Times New Roman"/>
          <w:sz w:val="24"/>
          <w:szCs w:val="24"/>
        </w:rPr>
        <w:tab/>
        <w:t xml:space="preserve">[3] Limited Transportation Options </w:t>
      </w:r>
      <w:r w:rsidRPr="00DE5E47">
        <w:rPr>
          <w:rFonts w:cs="Times New Roman"/>
          <w:sz w:val="24"/>
          <w:szCs w:val="24"/>
        </w:rPr>
        <w:tab/>
        <w:t>[4] Other (Specify)</w:t>
      </w:r>
    </w:p>
    <w:p w14:paraId="1AD2BA22" w14:textId="77777777" w:rsidR="00221112" w:rsidRPr="00DE5E47" w:rsidRDefault="00C14051">
      <w:pPr>
        <w:spacing w:line="360" w:lineRule="auto"/>
        <w:jc w:val="both"/>
        <w:rPr>
          <w:rFonts w:cs="Times New Roman"/>
          <w:sz w:val="24"/>
          <w:szCs w:val="24"/>
        </w:rPr>
      </w:pPr>
      <w:r w:rsidRPr="00DE5E47">
        <w:rPr>
          <w:rFonts w:cs="Times New Roman"/>
          <w:sz w:val="24"/>
          <w:szCs w:val="24"/>
        </w:rPr>
        <w:t>Are there any improvements needed in infrastructure to support the mud crab fishery?</w:t>
      </w:r>
    </w:p>
    <w:p w14:paraId="213B6420"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Yes </w:t>
      </w:r>
      <w:r w:rsidRPr="00DE5E47">
        <w:rPr>
          <w:rFonts w:cs="Times New Roman"/>
          <w:sz w:val="24"/>
          <w:szCs w:val="24"/>
        </w:rPr>
        <w:tab/>
      </w:r>
      <w:r w:rsidRPr="00DE5E47">
        <w:rPr>
          <w:rFonts w:cs="Times New Roman"/>
          <w:sz w:val="24"/>
          <w:szCs w:val="24"/>
        </w:rPr>
        <w:tab/>
        <w:t>[2] No</w:t>
      </w:r>
    </w:p>
    <w:p w14:paraId="7E7CD4D2" w14:textId="77777777" w:rsidR="00221112" w:rsidRPr="00DE5E47" w:rsidRDefault="00C14051">
      <w:pPr>
        <w:spacing w:line="360" w:lineRule="auto"/>
        <w:jc w:val="both"/>
        <w:rPr>
          <w:rFonts w:cs="Times New Roman"/>
          <w:sz w:val="24"/>
          <w:szCs w:val="24"/>
        </w:rPr>
      </w:pPr>
      <w:r w:rsidRPr="00DE5E47">
        <w:rPr>
          <w:rFonts w:cs="Times New Roman"/>
          <w:b/>
          <w:bCs/>
          <w:sz w:val="24"/>
          <w:szCs w:val="24"/>
        </w:rPr>
        <w:t>Market Access and Market Entry Barriers:</w:t>
      </w:r>
      <w:r w:rsidRPr="00DE5E47">
        <w:rPr>
          <w:rFonts w:cs="Times New Roman"/>
          <w:sz w:val="24"/>
          <w:szCs w:val="24"/>
        </w:rPr>
        <w:t xml:space="preserve"> </w:t>
      </w:r>
    </w:p>
    <w:p w14:paraId="15FD7B25" w14:textId="77777777" w:rsidR="00221112" w:rsidRPr="00DE5E47" w:rsidRDefault="00C14051">
      <w:pPr>
        <w:spacing w:line="360" w:lineRule="auto"/>
        <w:jc w:val="both"/>
        <w:rPr>
          <w:rFonts w:cs="Times New Roman"/>
          <w:sz w:val="24"/>
          <w:szCs w:val="24"/>
        </w:rPr>
      </w:pPr>
      <w:r w:rsidRPr="00DE5E47">
        <w:rPr>
          <w:rFonts w:cs="Times New Roman"/>
          <w:sz w:val="24"/>
          <w:szCs w:val="24"/>
        </w:rPr>
        <w:t>Have you encountered any barriers to accessing certain markets for selling mud crabs?</w:t>
      </w:r>
    </w:p>
    <w:p w14:paraId="386A01D9"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Yes </w:t>
      </w:r>
      <w:r w:rsidRPr="00DE5E47">
        <w:rPr>
          <w:rFonts w:cs="Times New Roman"/>
          <w:sz w:val="24"/>
          <w:szCs w:val="24"/>
        </w:rPr>
        <w:tab/>
      </w:r>
      <w:r w:rsidRPr="00DE5E47">
        <w:rPr>
          <w:rFonts w:cs="Times New Roman"/>
          <w:sz w:val="24"/>
          <w:szCs w:val="24"/>
        </w:rPr>
        <w:tab/>
        <w:t>[2] No</w:t>
      </w:r>
    </w:p>
    <w:p w14:paraId="55D5BFA4" w14:textId="77777777" w:rsidR="00221112" w:rsidRPr="00DE5E47" w:rsidRDefault="00C14051">
      <w:pPr>
        <w:spacing w:line="360" w:lineRule="auto"/>
        <w:jc w:val="both"/>
        <w:rPr>
          <w:rFonts w:cs="Times New Roman"/>
          <w:sz w:val="24"/>
          <w:szCs w:val="24"/>
        </w:rPr>
      </w:pPr>
      <w:r w:rsidRPr="00DE5E47">
        <w:rPr>
          <w:rFonts w:cs="Times New Roman"/>
          <w:sz w:val="24"/>
          <w:szCs w:val="24"/>
        </w:rPr>
        <w:t>What factors contribute to market entry barriers in the mud crab fishery, particularly for new entrants?</w:t>
      </w:r>
    </w:p>
    <w:p w14:paraId="0425E04E"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Lack of Information </w:t>
      </w:r>
      <w:r w:rsidRPr="00DE5E47">
        <w:rPr>
          <w:rFonts w:cs="Times New Roman"/>
          <w:sz w:val="24"/>
          <w:szCs w:val="24"/>
        </w:rPr>
        <w:tab/>
      </w:r>
      <w:r w:rsidRPr="00DE5E47">
        <w:rPr>
          <w:rFonts w:cs="Times New Roman"/>
          <w:sz w:val="24"/>
          <w:szCs w:val="24"/>
        </w:rPr>
        <w:tab/>
        <w:t>[2] Regulatory Hurdles</w:t>
      </w:r>
      <w:r w:rsidRPr="00DE5E47">
        <w:rPr>
          <w:rFonts w:cs="Times New Roman"/>
          <w:sz w:val="24"/>
          <w:szCs w:val="24"/>
        </w:rPr>
        <w:tab/>
      </w:r>
      <w:r w:rsidRPr="00DE5E47">
        <w:rPr>
          <w:rFonts w:cs="Times New Roman"/>
          <w:sz w:val="24"/>
          <w:szCs w:val="24"/>
        </w:rPr>
        <w:tab/>
        <w:t>[3] Market Competition</w:t>
      </w:r>
      <w:r w:rsidRPr="00DE5E47">
        <w:rPr>
          <w:rFonts w:cs="Times New Roman"/>
          <w:sz w:val="24"/>
          <w:szCs w:val="24"/>
        </w:rPr>
        <w:tab/>
      </w:r>
      <w:r w:rsidRPr="00DE5E47">
        <w:rPr>
          <w:rFonts w:cs="Times New Roman"/>
          <w:sz w:val="24"/>
          <w:szCs w:val="24"/>
        </w:rPr>
        <w:tab/>
        <w:t>[4] Other (Specify)</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43"/>
        <w:gridCol w:w="1282"/>
        <w:gridCol w:w="1282"/>
        <w:gridCol w:w="1705"/>
        <w:gridCol w:w="1584"/>
        <w:gridCol w:w="1523"/>
      </w:tblGrid>
      <w:tr w:rsidR="00221112" w:rsidRPr="00DE5E47" w14:paraId="4C1CFFC6" w14:textId="77777777">
        <w:trPr>
          <w:tblHeader/>
          <w:jc w:val="center"/>
        </w:trPr>
        <w:tc>
          <w:tcPr>
            <w:tcW w:w="1944" w:type="dxa"/>
            <w:tcMar>
              <w:top w:w="20" w:type="dxa"/>
              <w:left w:w="30" w:type="dxa"/>
              <w:bottom w:w="20" w:type="dxa"/>
              <w:right w:w="30" w:type="dxa"/>
            </w:tcMar>
            <w:vAlign w:val="center"/>
          </w:tcPr>
          <w:p w14:paraId="3C1ACF20" w14:textId="77777777" w:rsidR="00221112" w:rsidRPr="00DE5E47" w:rsidRDefault="00C14051">
            <w:pPr>
              <w:spacing w:after="0" w:line="240" w:lineRule="auto"/>
              <w:jc w:val="both"/>
              <w:rPr>
                <w:rFonts w:eastAsia="Calibri" w:cs="Times New Roman"/>
                <w:b/>
                <w:bCs/>
                <w:sz w:val="24"/>
                <w:szCs w:val="24"/>
                <w:lang w:val="en-GB"/>
              </w:rPr>
            </w:pPr>
            <w:r w:rsidRPr="00DE5E47">
              <w:rPr>
                <w:rFonts w:eastAsia="Calibri" w:cs="Times New Roman"/>
                <w:b/>
                <w:bCs/>
                <w:sz w:val="24"/>
                <w:szCs w:val="24"/>
                <w:lang w:val="en-GB"/>
              </w:rPr>
              <w:t>Attitudinal statements</w:t>
            </w:r>
          </w:p>
        </w:tc>
        <w:tc>
          <w:tcPr>
            <w:tcW w:w="1512" w:type="dxa"/>
            <w:tcMar>
              <w:top w:w="20" w:type="dxa"/>
              <w:left w:w="30" w:type="dxa"/>
              <w:bottom w:w="20" w:type="dxa"/>
              <w:right w:w="30" w:type="dxa"/>
            </w:tcMar>
            <w:vAlign w:val="center"/>
          </w:tcPr>
          <w:p w14:paraId="6B88E0B4" w14:textId="77777777" w:rsidR="00221112" w:rsidRPr="00DE5E47" w:rsidRDefault="00C14051">
            <w:pPr>
              <w:spacing w:after="0" w:line="240" w:lineRule="auto"/>
              <w:jc w:val="both"/>
              <w:rPr>
                <w:rFonts w:eastAsia="Calibri" w:cs="Times New Roman"/>
                <w:b/>
                <w:bCs/>
                <w:sz w:val="24"/>
                <w:szCs w:val="24"/>
                <w:lang w:val="en-GB"/>
              </w:rPr>
            </w:pPr>
            <w:r w:rsidRPr="00DE5E47">
              <w:rPr>
                <w:rFonts w:eastAsia="Calibri" w:cs="Times New Roman"/>
                <w:b/>
                <w:bCs/>
                <w:sz w:val="24"/>
                <w:szCs w:val="24"/>
                <w:lang w:val="en-GB"/>
              </w:rPr>
              <w:t xml:space="preserve">Very Low (1) </w:t>
            </w:r>
          </w:p>
        </w:tc>
        <w:tc>
          <w:tcPr>
            <w:tcW w:w="1512" w:type="dxa"/>
            <w:tcMar>
              <w:top w:w="20" w:type="dxa"/>
              <w:left w:w="30" w:type="dxa"/>
              <w:bottom w:w="20" w:type="dxa"/>
              <w:right w:w="30" w:type="dxa"/>
            </w:tcMar>
            <w:vAlign w:val="center"/>
          </w:tcPr>
          <w:p w14:paraId="7D2150AC" w14:textId="77777777" w:rsidR="00221112" w:rsidRPr="00DE5E47" w:rsidRDefault="00C14051">
            <w:pPr>
              <w:spacing w:after="0" w:line="240" w:lineRule="auto"/>
              <w:jc w:val="both"/>
              <w:rPr>
                <w:rFonts w:eastAsia="Calibri" w:cs="Times New Roman"/>
                <w:b/>
                <w:bCs/>
                <w:sz w:val="24"/>
                <w:szCs w:val="24"/>
                <w:lang w:val="en-GB"/>
              </w:rPr>
            </w:pPr>
            <w:r w:rsidRPr="00DE5E47">
              <w:rPr>
                <w:rFonts w:eastAsia="Calibri" w:cs="Times New Roman"/>
                <w:b/>
                <w:bCs/>
                <w:sz w:val="24"/>
                <w:szCs w:val="24"/>
                <w:lang w:val="en-GB"/>
              </w:rPr>
              <w:t>Low (2)</w:t>
            </w:r>
          </w:p>
        </w:tc>
        <w:tc>
          <w:tcPr>
            <w:tcW w:w="2016" w:type="dxa"/>
            <w:tcMar>
              <w:top w:w="20" w:type="dxa"/>
              <w:left w:w="30" w:type="dxa"/>
              <w:bottom w:w="20" w:type="dxa"/>
              <w:right w:w="30" w:type="dxa"/>
            </w:tcMar>
            <w:vAlign w:val="center"/>
          </w:tcPr>
          <w:p w14:paraId="0220DD49" w14:textId="77777777" w:rsidR="00221112" w:rsidRPr="00DE5E47" w:rsidRDefault="00C14051">
            <w:pPr>
              <w:spacing w:after="0" w:line="240" w:lineRule="auto"/>
              <w:jc w:val="both"/>
              <w:rPr>
                <w:rFonts w:eastAsia="Calibri" w:cs="Times New Roman"/>
                <w:b/>
                <w:bCs/>
                <w:sz w:val="24"/>
                <w:szCs w:val="24"/>
                <w:lang w:val="en-GB"/>
              </w:rPr>
            </w:pPr>
            <w:r w:rsidRPr="00DE5E47">
              <w:rPr>
                <w:rFonts w:eastAsia="Calibri" w:cs="Times New Roman"/>
                <w:b/>
                <w:bCs/>
                <w:sz w:val="24"/>
                <w:szCs w:val="24"/>
                <w:lang w:val="en-GB"/>
              </w:rPr>
              <w:t>Neutral (3)</w:t>
            </w:r>
          </w:p>
        </w:tc>
        <w:tc>
          <w:tcPr>
            <w:tcW w:w="1872" w:type="dxa"/>
            <w:tcMar>
              <w:top w:w="20" w:type="dxa"/>
              <w:left w:w="30" w:type="dxa"/>
              <w:bottom w:w="20" w:type="dxa"/>
              <w:right w:w="30" w:type="dxa"/>
            </w:tcMar>
            <w:vAlign w:val="center"/>
          </w:tcPr>
          <w:p w14:paraId="41D5E44E" w14:textId="77777777" w:rsidR="00221112" w:rsidRPr="00DE5E47" w:rsidRDefault="00C14051">
            <w:pPr>
              <w:spacing w:after="0" w:line="240" w:lineRule="auto"/>
              <w:jc w:val="both"/>
              <w:rPr>
                <w:rFonts w:eastAsia="Calibri" w:cs="Times New Roman"/>
                <w:b/>
                <w:bCs/>
                <w:sz w:val="24"/>
                <w:szCs w:val="24"/>
                <w:lang w:val="en-GB"/>
              </w:rPr>
            </w:pPr>
            <w:r w:rsidRPr="00DE5E47">
              <w:rPr>
                <w:rFonts w:eastAsia="Calibri" w:cs="Times New Roman"/>
                <w:b/>
                <w:bCs/>
                <w:sz w:val="24"/>
                <w:szCs w:val="24"/>
                <w:lang w:val="en-GB"/>
              </w:rPr>
              <w:t>Moderately High (4)</w:t>
            </w:r>
          </w:p>
        </w:tc>
        <w:tc>
          <w:tcPr>
            <w:tcW w:w="1800" w:type="dxa"/>
            <w:tcMar>
              <w:top w:w="20" w:type="dxa"/>
              <w:left w:w="30" w:type="dxa"/>
              <w:bottom w:w="20" w:type="dxa"/>
              <w:right w:w="30" w:type="dxa"/>
            </w:tcMar>
            <w:vAlign w:val="center"/>
          </w:tcPr>
          <w:p w14:paraId="45A45350" w14:textId="77777777" w:rsidR="00221112" w:rsidRPr="00DE5E47" w:rsidRDefault="00C14051">
            <w:pPr>
              <w:spacing w:after="0" w:line="240" w:lineRule="auto"/>
              <w:jc w:val="both"/>
              <w:rPr>
                <w:rFonts w:eastAsia="Calibri" w:cs="Times New Roman"/>
                <w:b/>
                <w:bCs/>
                <w:sz w:val="24"/>
                <w:szCs w:val="24"/>
                <w:lang w:val="en-GB"/>
              </w:rPr>
            </w:pPr>
            <w:r w:rsidRPr="00DE5E47">
              <w:rPr>
                <w:rFonts w:eastAsia="Calibri" w:cs="Times New Roman"/>
                <w:b/>
                <w:bCs/>
                <w:sz w:val="24"/>
                <w:szCs w:val="24"/>
                <w:lang w:val="en-GB"/>
              </w:rPr>
              <w:t>Very High (5)</w:t>
            </w:r>
          </w:p>
        </w:tc>
      </w:tr>
      <w:tr w:rsidR="00221112" w:rsidRPr="00DE5E47" w14:paraId="51B60D4D" w14:textId="77777777">
        <w:trPr>
          <w:jc w:val="center"/>
        </w:trPr>
        <w:tc>
          <w:tcPr>
            <w:tcW w:w="1944" w:type="dxa"/>
            <w:tcMar>
              <w:top w:w="20" w:type="dxa"/>
              <w:left w:w="30" w:type="dxa"/>
              <w:bottom w:w="20" w:type="dxa"/>
              <w:right w:w="30" w:type="dxa"/>
            </w:tcMar>
            <w:vAlign w:val="center"/>
          </w:tcPr>
          <w:p w14:paraId="0F8D355C" w14:textId="77777777" w:rsidR="00221112" w:rsidRPr="00DE5E47" w:rsidRDefault="00C14051">
            <w:pPr>
              <w:spacing w:after="0" w:line="240" w:lineRule="auto"/>
              <w:jc w:val="both"/>
              <w:rPr>
                <w:rFonts w:eastAsia="Calibri" w:cs="Times New Roman"/>
                <w:sz w:val="24"/>
                <w:szCs w:val="24"/>
                <w:lang w:val="en-GB"/>
              </w:rPr>
            </w:pPr>
            <w:r w:rsidRPr="00DE5E47">
              <w:rPr>
                <w:rFonts w:cs="Times New Roman"/>
                <w:sz w:val="24"/>
                <w:szCs w:val="24"/>
              </w:rPr>
              <w:t>What is the level of involvement of men fishers in your fishing?</w:t>
            </w:r>
          </w:p>
        </w:tc>
        <w:tc>
          <w:tcPr>
            <w:tcW w:w="1512" w:type="dxa"/>
            <w:tcMar>
              <w:top w:w="20" w:type="dxa"/>
              <w:left w:w="30" w:type="dxa"/>
              <w:bottom w:w="20" w:type="dxa"/>
              <w:right w:w="30" w:type="dxa"/>
            </w:tcMar>
            <w:vAlign w:val="center"/>
          </w:tcPr>
          <w:p w14:paraId="3744C983" w14:textId="77777777" w:rsidR="00221112" w:rsidRPr="00DE5E47" w:rsidRDefault="00221112">
            <w:pPr>
              <w:spacing w:after="0" w:line="240" w:lineRule="auto"/>
              <w:jc w:val="both"/>
              <w:rPr>
                <w:rFonts w:eastAsia="Calibri" w:cs="Times New Roman"/>
                <w:sz w:val="24"/>
                <w:szCs w:val="24"/>
                <w:lang w:val="en-GB"/>
              </w:rPr>
            </w:pPr>
          </w:p>
        </w:tc>
        <w:tc>
          <w:tcPr>
            <w:tcW w:w="1512" w:type="dxa"/>
            <w:tcMar>
              <w:top w:w="20" w:type="dxa"/>
              <w:left w:w="30" w:type="dxa"/>
              <w:bottom w:w="20" w:type="dxa"/>
              <w:right w:w="30" w:type="dxa"/>
            </w:tcMar>
            <w:vAlign w:val="center"/>
          </w:tcPr>
          <w:p w14:paraId="64F37E2E" w14:textId="77777777" w:rsidR="00221112" w:rsidRPr="00DE5E47" w:rsidRDefault="00221112">
            <w:pPr>
              <w:spacing w:after="0" w:line="240" w:lineRule="auto"/>
              <w:jc w:val="both"/>
              <w:rPr>
                <w:rFonts w:eastAsia="Calibri" w:cs="Times New Roman"/>
                <w:sz w:val="24"/>
                <w:szCs w:val="24"/>
                <w:lang w:val="en-GB"/>
              </w:rPr>
            </w:pPr>
          </w:p>
        </w:tc>
        <w:tc>
          <w:tcPr>
            <w:tcW w:w="2016" w:type="dxa"/>
            <w:tcMar>
              <w:top w:w="20" w:type="dxa"/>
              <w:left w:w="30" w:type="dxa"/>
              <w:bottom w:w="20" w:type="dxa"/>
              <w:right w:w="30" w:type="dxa"/>
            </w:tcMar>
            <w:vAlign w:val="center"/>
          </w:tcPr>
          <w:p w14:paraId="6C3C9183" w14:textId="77777777" w:rsidR="00221112" w:rsidRPr="00DE5E47" w:rsidRDefault="00221112">
            <w:pPr>
              <w:spacing w:after="0" w:line="240" w:lineRule="auto"/>
              <w:jc w:val="both"/>
              <w:rPr>
                <w:rFonts w:eastAsia="Calibri" w:cs="Times New Roman"/>
                <w:sz w:val="24"/>
                <w:szCs w:val="24"/>
                <w:lang w:val="en-GB"/>
              </w:rPr>
            </w:pPr>
          </w:p>
        </w:tc>
        <w:tc>
          <w:tcPr>
            <w:tcW w:w="1872" w:type="dxa"/>
            <w:tcMar>
              <w:top w:w="20" w:type="dxa"/>
              <w:left w:w="30" w:type="dxa"/>
              <w:bottom w:w="20" w:type="dxa"/>
              <w:right w:w="30" w:type="dxa"/>
            </w:tcMar>
            <w:vAlign w:val="center"/>
          </w:tcPr>
          <w:p w14:paraId="6AA73085" w14:textId="77777777" w:rsidR="00221112" w:rsidRPr="00DE5E47" w:rsidRDefault="00221112">
            <w:pPr>
              <w:spacing w:after="0" w:line="240" w:lineRule="auto"/>
              <w:jc w:val="both"/>
              <w:rPr>
                <w:rFonts w:eastAsia="Calibri" w:cs="Times New Roman"/>
                <w:sz w:val="24"/>
                <w:szCs w:val="24"/>
                <w:lang w:val="en-GB"/>
              </w:rPr>
            </w:pPr>
          </w:p>
        </w:tc>
        <w:tc>
          <w:tcPr>
            <w:tcW w:w="1800" w:type="dxa"/>
            <w:tcMar>
              <w:top w:w="20" w:type="dxa"/>
              <w:left w:w="30" w:type="dxa"/>
              <w:bottom w:w="20" w:type="dxa"/>
              <w:right w:w="30" w:type="dxa"/>
            </w:tcMar>
            <w:vAlign w:val="center"/>
          </w:tcPr>
          <w:p w14:paraId="2AFD47BE" w14:textId="77777777" w:rsidR="00221112" w:rsidRPr="00DE5E47" w:rsidRDefault="00221112">
            <w:pPr>
              <w:spacing w:after="0" w:line="240" w:lineRule="auto"/>
              <w:jc w:val="both"/>
              <w:rPr>
                <w:rFonts w:eastAsia="Calibri" w:cs="Times New Roman"/>
                <w:sz w:val="24"/>
                <w:szCs w:val="24"/>
                <w:lang w:val="en-GB"/>
              </w:rPr>
            </w:pPr>
          </w:p>
        </w:tc>
      </w:tr>
      <w:tr w:rsidR="00221112" w:rsidRPr="00DE5E47" w14:paraId="480F8B87" w14:textId="77777777">
        <w:trPr>
          <w:jc w:val="center"/>
        </w:trPr>
        <w:tc>
          <w:tcPr>
            <w:tcW w:w="1944" w:type="dxa"/>
            <w:tcMar>
              <w:top w:w="20" w:type="dxa"/>
              <w:left w:w="30" w:type="dxa"/>
              <w:bottom w:w="20" w:type="dxa"/>
              <w:right w:w="30" w:type="dxa"/>
            </w:tcMar>
            <w:vAlign w:val="center"/>
          </w:tcPr>
          <w:p w14:paraId="5029358A" w14:textId="77777777" w:rsidR="00221112" w:rsidRPr="00DE5E47" w:rsidRDefault="00C14051">
            <w:pPr>
              <w:spacing w:after="0" w:line="240" w:lineRule="auto"/>
              <w:jc w:val="both"/>
              <w:rPr>
                <w:rFonts w:eastAsia="Calibri" w:cs="Times New Roman"/>
                <w:sz w:val="24"/>
                <w:szCs w:val="24"/>
                <w:lang w:val="en-GB"/>
              </w:rPr>
            </w:pPr>
            <w:r w:rsidRPr="00DE5E47">
              <w:rPr>
                <w:rFonts w:cs="Times New Roman"/>
                <w:sz w:val="24"/>
                <w:szCs w:val="24"/>
              </w:rPr>
              <w:t>What is the level of involvement of women fishers in your fishing?</w:t>
            </w:r>
          </w:p>
        </w:tc>
        <w:tc>
          <w:tcPr>
            <w:tcW w:w="1512" w:type="dxa"/>
            <w:tcMar>
              <w:top w:w="20" w:type="dxa"/>
              <w:left w:w="30" w:type="dxa"/>
              <w:bottom w:w="20" w:type="dxa"/>
              <w:right w:w="30" w:type="dxa"/>
            </w:tcMar>
            <w:vAlign w:val="center"/>
          </w:tcPr>
          <w:p w14:paraId="57F7BE8E" w14:textId="77777777" w:rsidR="00221112" w:rsidRPr="00DE5E47" w:rsidRDefault="00221112">
            <w:pPr>
              <w:spacing w:after="0" w:line="240" w:lineRule="auto"/>
              <w:jc w:val="both"/>
              <w:rPr>
                <w:rFonts w:eastAsia="Calibri" w:cs="Times New Roman"/>
                <w:sz w:val="24"/>
                <w:szCs w:val="24"/>
                <w:lang w:val="en-GB"/>
              </w:rPr>
            </w:pPr>
          </w:p>
        </w:tc>
        <w:tc>
          <w:tcPr>
            <w:tcW w:w="1512" w:type="dxa"/>
            <w:tcMar>
              <w:top w:w="20" w:type="dxa"/>
              <w:left w:w="30" w:type="dxa"/>
              <w:bottom w:w="20" w:type="dxa"/>
              <w:right w:w="30" w:type="dxa"/>
            </w:tcMar>
            <w:vAlign w:val="center"/>
          </w:tcPr>
          <w:p w14:paraId="56563C1B" w14:textId="77777777" w:rsidR="00221112" w:rsidRPr="00DE5E47" w:rsidRDefault="00221112">
            <w:pPr>
              <w:spacing w:after="0" w:line="240" w:lineRule="auto"/>
              <w:jc w:val="both"/>
              <w:rPr>
                <w:rFonts w:eastAsia="Calibri" w:cs="Times New Roman"/>
                <w:sz w:val="24"/>
                <w:szCs w:val="24"/>
                <w:lang w:val="en-GB"/>
              </w:rPr>
            </w:pPr>
          </w:p>
        </w:tc>
        <w:tc>
          <w:tcPr>
            <w:tcW w:w="2016" w:type="dxa"/>
            <w:tcMar>
              <w:top w:w="20" w:type="dxa"/>
              <w:left w:w="30" w:type="dxa"/>
              <w:bottom w:w="20" w:type="dxa"/>
              <w:right w:w="30" w:type="dxa"/>
            </w:tcMar>
            <w:vAlign w:val="center"/>
          </w:tcPr>
          <w:p w14:paraId="454CAE93" w14:textId="77777777" w:rsidR="00221112" w:rsidRPr="00DE5E47" w:rsidRDefault="00221112">
            <w:pPr>
              <w:spacing w:after="0" w:line="240" w:lineRule="auto"/>
              <w:jc w:val="both"/>
              <w:rPr>
                <w:rFonts w:eastAsia="Calibri" w:cs="Times New Roman"/>
                <w:sz w:val="24"/>
                <w:szCs w:val="24"/>
                <w:lang w:val="en-GB"/>
              </w:rPr>
            </w:pPr>
          </w:p>
        </w:tc>
        <w:tc>
          <w:tcPr>
            <w:tcW w:w="1872" w:type="dxa"/>
            <w:tcMar>
              <w:top w:w="20" w:type="dxa"/>
              <w:left w:w="30" w:type="dxa"/>
              <w:bottom w:w="20" w:type="dxa"/>
              <w:right w:w="30" w:type="dxa"/>
            </w:tcMar>
            <w:vAlign w:val="center"/>
          </w:tcPr>
          <w:p w14:paraId="29D22448" w14:textId="77777777" w:rsidR="00221112" w:rsidRPr="00DE5E47" w:rsidRDefault="00221112">
            <w:pPr>
              <w:spacing w:after="0" w:line="240" w:lineRule="auto"/>
              <w:jc w:val="both"/>
              <w:rPr>
                <w:rFonts w:eastAsia="Calibri" w:cs="Times New Roman"/>
                <w:sz w:val="24"/>
                <w:szCs w:val="24"/>
                <w:lang w:val="en-GB"/>
              </w:rPr>
            </w:pPr>
          </w:p>
        </w:tc>
        <w:tc>
          <w:tcPr>
            <w:tcW w:w="1800" w:type="dxa"/>
            <w:tcMar>
              <w:top w:w="20" w:type="dxa"/>
              <w:left w:w="30" w:type="dxa"/>
              <w:bottom w:w="20" w:type="dxa"/>
              <w:right w:w="30" w:type="dxa"/>
            </w:tcMar>
            <w:vAlign w:val="center"/>
          </w:tcPr>
          <w:p w14:paraId="7DC6A0B0" w14:textId="77777777" w:rsidR="00221112" w:rsidRPr="00DE5E47" w:rsidRDefault="00221112">
            <w:pPr>
              <w:spacing w:after="0" w:line="240" w:lineRule="auto"/>
              <w:jc w:val="both"/>
              <w:rPr>
                <w:rFonts w:eastAsia="Calibri" w:cs="Times New Roman"/>
                <w:sz w:val="24"/>
                <w:szCs w:val="24"/>
                <w:lang w:val="en-GB"/>
              </w:rPr>
            </w:pPr>
          </w:p>
        </w:tc>
      </w:tr>
      <w:tr w:rsidR="00221112" w:rsidRPr="00DE5E47" w14:paraId="6E2438D3" w14:textId="77777777">
        <w:trPr>
          <w:jc w:val="center"/>
        </w:trPr>
        <w:tc>
          <w:tcPr>
            <w:tcW w:w="1944" w:type="dxa"/>
            <w:tcMar>
              <w:top w:w="20" w:type="dxa"/>
              <w:left w:w="30" w:type="dxa"/>
              <w:bottom w:w="20" w:type="dxa"/>
              <w:right w:w="30" w:type="dxa"/>
            </w:tcMar>
            <w:vAlign w:val="center"/>
          </w:tcPr>
          <w:p w14:paraId="1768A32C" w14:textId="77777777" w:rsidR="00221112" w:rsidRPr="00DE5E47" w:rsidRDefault="00C14051">
            <w:pPr>
              <w:spacing w:after="0" w:line="240" w:lineRule="auto"/>
              <w:jc w:val="both"/>
              <w:rPr>
                <w:rFonts w:eastAsia="Calibri" w:cs="Times New Roman"/>
                <w:sz w:val="24"/>
                <w:szCs w:val="24"/>
                <w:lang w:val="en-GB"/>
              </w:rPr>
            </w:pPr>
            <w:r w:rsidRPr="00DE5E47">
              <w:rPr>
                <w:rFonts w:cs="Times New Roman"/>
                <w:sz w:val="24"/>
                <w:szCs w:val="24"/>
              </w:rPr>
              <w:t>What is the level of involvement of Youth fishers in your fishing?</w:t>
            </w:r>
          </w:p>
        </w:tc>
        <w:tc>
          <w:tcPr>
            <w:tcW w:w="1512" w:type="dxa"/>
            <w:tcMar>
              <w:top w:w="20" w:type="dxa"/>
              <w:left w:w="30" w:type="dxa"/>
              <w:bottom w:w="20" w:type="dxa"/>
              <w:right w:w="30" w:type="dxa"/>
            </w:tcMar>
            <w:vAlign w:val="center"/>
          </w:tcPr>
          <w:p w14:paraId="24487C65" w14:textId="77777777" w:rsidR="00221112" w:rsidRPr="00DE5E47" w:rsidRDefault="00221112">
            <w:pPr>
              <w:spacing w:after="0" w:line="240" w:lineRule="auto"/>
              <w:jc w:val="both"/>
              <w:rPr>
                <w:rFonts w:eastAsia="Calibri" w:cs="Times New Roman"/>
                <w:sz w:val="24"/>
                <w:szCs w:val="24"/>
                <w:lang w:val="en-GB"/>
              </w:rPr>
            </w:pPr>
          </w:p>
        </w:tc>
        <w:tc>
          <w:tcPr>
            <w:tcW w:w="1512" w:type="dxa"/>
            <w:tcMar>
              <w:top w:w="20" w:type="dxa"/>
              <w:left w:w="30" w:type="dxa"/>
              <w:bottom w:w="20" w:type="dxa"/>
              <w:right w:w="30" w:type="dxa"/>
            </w:tcMar>
            <w:vAlign w:val="center"/>
          </w:tcPr>
          <w:p w14:paraId="0BD8E505" w14:textId="77777777" w:rsidR="00221112" w:rsidRPr="00DE5E47" w:rsidRDefault="00221112">
            <w:pPr>
              <w:spacing w:after="0" w:line="240" w:lineRule="auto"/>
              <w:jc w:val="both"/>
              <w:rPr>
                <w:rFonts w:eastAsia="Calibri" w:cs="Times New Roman"/>
                <w:sz w:val="24"/>
                <w:szCs w:val="24"/>
                <w:lang w:val="en-GB"/>
              </w:rPr>
            </w:pPr>
          </w:p>
        </w:tc>
        <w:tc>
          <w:tcPr>
            <w:tcW w:w="2016" w:type="dxa"/>
            <w:tcMar>
              <w:top w:w="20" w:type="dxa"/>
              <w:left w:w="30" w:type="dxa"/>
              <w:bottom w:w="20" w:type="dxa"/>
              <w:right w:w="30" w:type="dxa"/>
            </w:tcMar>
            <w:vAlign w:val="center"/>
          </w:tcPr>
          <w:p w14:paraId="1AD69862" w14:textId="77777777" w:rsidR="00221112" w:rsidRPr="00DE5E47" w:rsidRDefault="00221112">
            <w:pPr>
              <w:spacing w:after="0" w:line="240" w:lineRule="auto"/>
              <w:jc w:val="both"/>
              <w:rPr>
                <w:rFonts w:eastAsia="Calibri" w:cs="Times New Roman"/>
                <w:sz w:val="24"/>
                <w:szCs w:val="24"/>
                <w:lang w:val="en-GB"/>
              </w:rPr>
            </w:pPr>
          </w:p>
        </w:tc>
        <w:tc>
          <w:tcPr>
            <w:tcW w:w="1872" w:type="dxa"/>
            <w:tcMar>
              <w:top w:w="20" w:type="dxa"/>
              <w:left w:w="30" w:type="dxa"/>
              <w:bottom w:w="20" w:type="dxa"/>
              <w:right w:w="30" w:type="dxa"/>
            </w:tcMar>
            <w:vAlign w:val="center"/>
          </w:tcPr>
          <w:p w14:paraId="35A0977B" w14:textId="77777777" w:rsidR="00221112" w:rsidRPr="00DE5E47" w:rsidRDefault="00221112">
            <w:pPr>
              <w:spacing w:after="0" w:line="240" w:lineRule="auto"/>
              <w:jc w:val="both"/>
              <w:rPr>
                <w:rFonts w:eastAsia="Calibri" w:cs="Times New Roman"/>
                <w:sz w:val="24"/>
                <w:szCs w:val="24"/>
                <w:lang w:val="en-GB"/>
              </w:rPr>
            </w:pPr>
          </w:p>
        </w:tc>
        <w:tc>
          <w:tcPr>
            <w:tcW w:w="1800" w:type="dxa"/>
            <w:tcMar>
              <w:top w:w="20" w:type="dxa"/>
              <w:left w:w="30" w:type="dxa"/>
              <w:bottom w:w="20" w:type="dxa"/>
              <w:right w:w="30" w:type="dxa"/>
            </w:tcMar>
            <w:vAlign w:val="center"/>
          </w:tcPr>
          <w:p w14:paraId="6CE02625" w14:textId="77777777" w:rsidR="00221112" w:rsidRPr="00DE5E47" w:rsidRDefault="00221112">
            <w:pPr>
              <w:spacing w:after="0" w:line="240" w:lineRule="auto"/>
              <w:jc w:val="both"/>
              <w:rPr>
                <w:rFonts w:eastAsia="Calibri" w:cs="Times New Roman"/>
                <w:sz w:val="24"/>
                <w:szCs w:val="24"/>
                <w:lang w:val="en-GB"/>
              </w:rPr>
            </w:pPr>
          </w:p>
        </w:tc>
      </w:tr>
    </w:tbl>
    <w:p w14:paraId="7EA4D954" w14:textId="77777777" w:rsidR="00221112" w:rsidRPr="00DE5E47" w:rsidRDefault="00221112">
      <w:pPr>
        <w:spacing w:line="360" w:lineRule="auto"/>
        <w:jc w:val="both"/>
        <w:rPr>
          <w:rFonts w:cs="Times New Roman"/>
          <w:b/>
          <w:bCs/>
          <w:sz w:val="24"/>
          <w:szCs w:val="24"/>
        </w:rPr>
      </w:pPr>
    </w:p>
    <w:p w14:paraId="15327443" w14:textId="77777777" w:rsidR="00221112" w:rsidRPr="00DE5E47" w:rsidRDefault="00C14051">
      <w:pPr>
        <w:spacing w:line="360" w:lineRule="auto"/>
        <w:jc w:val="both"/>
        <w:rPr>
          <w:rFonts w:cs="Times New Roman"/>
          <w:sz w:val="24"/>
          <w:szCs w:val="24"/>
        </w:rPr>
      </w:pPr>
      <w:r w:rsidRPr="00DE5E47">
        <w:rPr>
          <w:rFonts w:cs="Times New Roman"/>
          <w:b/>
          <w:bCs/>
          <w:sz w:val="24"/>
          <w:szCs w:val="24"/>
        </w:rPr>
        <w:lastRenderedPageBreak/>
        <w:t>Value Addition and Diversification:</w:t>
      </w:r>
      <w:r w:rsidRPr="00DE5E47">
        <w:rPr>
          <w:rFonts w:cs="Times New Roman"/>
          <w:sz w:val="24"/>
          <w:szCs w:val="24"/>
        </w:rPr>
        <w:t xml:space="preserve"> </w:t>
      </w:r>
    </w:p>
    <w:p w14:paraId="4BA2F4D9" w14:textId="77777777" w:rsidR="00221112" w:rsidRPr="00DE5E47" w:rsidRDefault="00C14051">
      <w:pPr>
        <w:spacing w:line="360" w:lineRule="auto"/>
        <w:jc w:val="both"/>
        <w:rPr>
          <w:rFonts w:cs="Times New Roman"/>
          <w:sz w:val="24"/>
          <w:szCs w:val="24"/>
        </w:rPr>
      </w:pPr>
      <w:r w:rsidRPr="00DE5E47">
        <w:rPr>
          <w:rFonts w:cs="Times New Roman"/>
          <w:sz w:val="24"/>
          <w:szCs w:val="24"/>
        </w:rPr>
        <w:t>Do you engage in any value addition activities such as processing or packaging mud crabs?</w:t>
      </w:r>
    </w:p>
    <w:p w14:paraId="4597FFC0"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Yes </w:t>
      </w:r>
      <w:r w:rsidRPr="00DE5E47">
        <w:rPr>
          <w:rFonts w:cs="Times New Roman"/>
          <w:sz w:val="24"/>
          <w:szCs w:val="24"/>
        </w:rPr>
        <w:tab/>
        <w:t>[2] No</w:t>
      </w:r>
    </w:p>
    <w:p w14:paraId="733B3732" w14:textId="77777777" w:rsidR="00221112" w:rsidRPr="00DE5E47" w:rsidRDefault="00C14051">
      <w:pPr>
        <w:spacing w:line="360" w:lineRule="auto"/>
        <w:jc w:val="both"/>
        <w:rPr>
          <w:rFonts w:cs="Times New Roman"/>
          <w:sz w:val="24"/>
          <w:szCs w:val="24"/>
        </w:rPr>
      </w:pPr>
      <w:r w:rsidRPr="00DE5E47">
        <w:rPr>
          <w:rFonts w:cs="Times New Roman"/>
          <w:sz w:val="24"/>
          <w:szCs w:val="24"/>
        </w:rPr>
        <w:t>How do you perceive the potential for diversification of mud crab products or marketing channels?</w:t>
      </w:r>
    </w:p>
    <w:p w14:paraId="41C1802F"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Positive </w:t>
      </w:r>
      <w:r w:rsidRPr="00DE5E47">
        <w:rPr>
          <w:rFonts w:cs="Times New Roman"/>
          <w:sz w:val="24"/>
          <w:szCs w:val="24"/>
        </w:rPr>
        <w:tab/>
        <w:t xml:space="preserve">[2] Neutral </w:t>
      </w:r>
      <w:r w:rsidRPr="00DE5E47">
        <w:rPr>
          <w:rFonts w:cs="Times New Roman"/>
          <w:sz w:val="24"/>
          <w:szCs w:val="24"/>
        </w:rPr>
        <w:tab/>
        <w:t xml:space="preserve">[3] Negative </w:t>
      </w:r>
      <w:r w:rsidRPr="00DE5E47">
        <w:rPr>
          <w:rFonts w:cs="Times New Roman"/>
          <w:sz w:val="24"/>
          <w:szCs w:val="24"/>
        </w:rPr>
        <w:tab/>
        <w:t>[4] Not Explored Yet</w:t>
      </w:r>
    </w:p>
    <w:p w14:paraId="375F7134" w14:textId="77777777" w:rsidR="00221112" w:rsidRPr="00DE5E47" w:rsidRDefault="00221112">
      <w:pPr>
        <w:spacing w:line="360" w:lineRule="auto"/>
        <w:jc w:val="both"/>
        <w:rPr>
          <w:rFonts w:cs="Times New Roman"/>
          <w:sz w:val="24"/>
          <w:szCs w:val="24"/>
        </w:rPr>
      </w:pPr>
    </w:p>
    <w:p w14:paraId="6386A178" w14:textId="77777777" w:rsidR="00221112" w:rsidRPr="00DE5E47" w:rsidRDefault="00221112">
      <w:pPr>
        <w:jc w:val="both"/>
        <w:rPr>
          <w:rFonts w:cs="Times New Roman"/>
          <w:sz w:val="24"/>
          <w:szCs w:val="24"/>
        </w:rPr>
      </w:pPr>
    </w:p>
    <w:p w14:paraId="3EED60AB" w14:textId="77777777" w:rsidR="00221112" w:rsidRPr="00DE5E47" w:rsidRDefault="00221112">
      <w:pPr>
        <w:pStyle w:val="NormalWeb"/>
        <w:spacing w:line="480" w:lineRule="auto"/>
        <w:jc w:val="both"/>
      </w:pPr>
    </w:p>
    <w:p w14:paraId="33A2656D" w14:textId="77777777" w:rsidR="00221112" w:rsidRPr="00DE5E47" w:rsidRDefault="00221112">
      <w:pPr>
        <w:spacing w:line="480" w:lineRule="auto"/>
        <w:jc w:val="both"/>
        <w:rPr>
          <w:rFonts w:cs="Times New Roman"/>
          <w:sz w:val="24"/>
          <w:szCs w:val="24"/>
        </w:rPr>
      </w:pPr>
    </w:p>
    <w:p w14:paraId="7819D040" w14:textId="77777777" w:rsidR="00221112" w:rsidRPr="00DE5E47" w:rsidRDefault="00221112">
      <w:pPr>
        <w:spacing w:after="240" w:line="480" w:lineRule="auto"/>
        <w:ind w:left="504" w:hanging="504"/>
        <w:jc w:val="both"/>
        <w:rPr>
          <w:rFonts w:eastAsia="Times New Roman" w:cs="Times New Roman"/>
          <w:kern w:val="0"/>
          <w:sz w:val="24"/>
          <w:szCs w:val="24"/>
          <w14:ligatures w14:val="none"/>
        </w:rPr>
      </w:pPr>
    </w:p>
    <w:p w14:paraId="1157164C" w14:textId="77777777" w:rsidR="00221112" w:rsidRPr="00DE5E47" w:rsidRDefault="00221112">
      <w:pPr>
        <w:spacing w:after="240" w:line="480" w:lineRule="auto"/>
        <w:ind w:left="504" w:hanging="504"/>
        <w:jc w:val="both"/>
        <w:rPr>
          <w:rFonts w:eastAsia="Times New Roman" w:cs="Times New Roman"/>
          <w:kern w:val="0"/>
          <w:sz w:val="24"/>
          <w:szCs w:val="24"/>
          <w14:ligatures w14:val="none"/>
        </w:rPr>
      </w:pPr>
    </w:p>
    <w:p w14:paraId="54FF1C94" w14:textId="77777777" w:rsidR="00221112" w:rsidRPr="00DE5E47" w:rsidRDefault="00221112">
      <w:pPr>
        <w:pStyle w:val="Heading1"/>
        <w:spacing w:line="480" w:lineRule="auto"/>
        <w:jc w:val="both"/>
        <w:rPr>
          <w:rFonts w:eastAsia="Times New Roman" w:cs="Times New Roman"/>
          <w:szCs w:val="24"/>
        </w:rPr>
      </w:pPr>
    </w:p>
    <w:p w14:paraId="59F831BB" w14:textId="77777777" w:rsidR="00221112" w:rsidRPr="00DE5E47" w:rsidRDefault="00221112">
      <w:pPr>
        <w:spacing w:after="240" w:line="480" w:lineRule="auto"/>
        <w:ind w:left="504" w:hanging="504"/>
        <w:jc w:val="both"/>
        <w:rPr>
          <w:rFonts w:eastAsia="Times New Roman" w:cs="Times New Roman"/>
          <w:kern w:val="0"/>
          <w:sz w:val="24"/>
          <w:szCs w:val="24"/>
          <w14:ligatures w14:val="none"/>
        </w:rPr>
      </w:pPr>
    </w:p>
    <w:p w14:paraId="2198B637" w14:textId="77777777" w:rsidR="00221112" w:rsidRPr="00DE5E47" w:rsidRDefault="00221112">
      <w:pPr>
        <w:spacing w:after="240" w:line="480" w:lineRule="auto"/>
        <w:ind w:left="504" w:hanging="504"/>
        <w:jc w:val="both"/>
        <w:rPr>
          <w:rFonts w:eastAsia="Times New Roman" w:cs="Times New Roman"/>
          <w:b/>
          <w:bCs/>
          <w:kern w:val="0"/>
          <w:sz w:val="24"/>
          <w:szCs w:val="24"/>
          <w14:ligatures w14:val="none"/>
        </w:rPr>
      </w:pPr>
    </w:p>
    <w:p w14:paraId="7A93294E" w14:textId="77777777" w:rsidR="00221112" w:rsidRPr="00DE5E47" w:rsidRDefault="00221112">
      <w:pPr>
        <w:spacing w:line="480" w:lineRule="auto"/>
        <w:jc w:val="both"/>
        <w:rPr>
          <w:rFonts w:cs="Times New Roman"/>
          <w:sz w:val="24"/>
          <w:szCs w:val="24"/>
        </w:rPr>
      </w:pPr>
    </w:p>
    <w:p w14:paraId="7AA4808E" w14:textId="77777777" w:rsidR="00221112" w:rsidRPr="00DE5E47" w:rsidRDefault="00221112">
      <w:pPr>
        <w:spacing w:line="480" w:lineRule="auto"/>
        <w:jc w:val="both"/>
        <w:rPr>
          <w:rFonts w:cs="Times New Roman"/>
          <w:sz w:val="24"/>
          <w:szCs w:val="24"/>
        </w:rPr>
      </w:pPr>
    </w:p>
    <w:p w14:paraId="13E4C518" w14:textId="77777777" w:rsidR="00221112" w:rsidRPr="00DE5E47" w:rsidRDefault="00221112">
      <w:pPr>
        <w:spacing w:line="480" w:lineRule="auto"/>
        <w:jc w:val="both"/>
        <w:rPr>
          <w:rFonts w:cs="Times New Roman"/>
          <w:sz w:val="24"/>
          <w:szCs w:val="24"/>
        </w:rPr>
      </w:pPr>
    </w:p>
    <w:sectPr w:rsidR="00221112" w:rsidRPr="00DE5E47">
      <w:pgSz w:w="11909" w:h="16834"/>
      <w:pgMar w:top="1440" w:right="1440" w:bottom="1440" w:left="1440" w:header="504"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239DD1" w14:textId="77777777" w:rsidR="00C247CF" w:rsidRDefault="00C247CF">
      <w:pPr>
        <w:spacing w:line="240" w:lineRule="auto"/>
      </w:pPr>
      <w:r>
        <w:separator/>
      </w:r>
    </w:p>
  </w:endnote>
  <w:endnote w:type="continuationSeparator" w:id="0">
    <w:p w14:paraId="7690712E" w14:textId="77777777" w:rsidR="00C247CF" w:rsidRDefault="00C247C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DengXian">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19211741"/>
    </w:sdtPr>
    <w:sdtEndPr/>
    <w:sdtContent>
      <w:p w14:paraId="6AD9CCE9" w14:textId="77777777" w:rsidR="00221112" w:rsidRDefault="00C14051">
        <w:pPr>
          <w:pStyle w:val="Footer"/>
          <w:jc w:val="center"/>
        </w:pPr>
        <w:r>
          <w:fldChar w:fldCharType="begin"/>
        </w:r>
        <w:r>
          <w:instrText xml:space="preserve"> PAGE   \* MERGEFORMAT </w:instrText>
        </w:r>
        <w:r>
          <w:fldChar w:fldCharType="separate"/>
        </w:r>
        <w:r>
          <w:t>ix</w:t>
        </w:r>
        <w:r>
          <w:fldChar w:fldCharType="end"/>
        </w:r>
      </w:p>
    </w:sdtContent>
  </w:sdt>
  <w:p w14:paraId="4096FB75" w14:textId="77777777" w:rsidR="00221112" w:rsidRDefault="002211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2509474"/>
    </w:sdtPr>
    <w:sdtEndPr/>
    <w:sdtContent>
      <w:p w14:paraId="6B9222BE" w14:textId="77777777" w:rsidR="00221112" w:rsidRDefault="00C14051">
        <w:pPr>
          <w:pStyle w:val="Footer"/>
          <w:jc w:val="center"/>
        </w:pPr>
        <w:r>
          <w:fldChar w:fldCharType="begin"/>
        </w:r>
        <w:r>
          <w:instrText xml:space="preserve"> PAGE   \* MERGEFORMAT </w:instrText>
        </w:r>
        <w:r>
          <w:fldChar w:fldCharType="separate"/>
        </w:r>
        <w:r>
          <w:t>i</w:t>
        </w:r>
        <w:r>
          <w:fldChar w:fldCharType="end"/>
        </w:r>
      </w:p>
    </w:sdtContent>
  </w:sdt>
  <w:p w14:paraId="604BB10F" w14:textId="77777777" w:rsidR="00221112" w:rsidRDefault="0022111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1825974"/>
    </w:sdtPr>
    <w:sdtEndPr/>
    <w:sdtContent>
      <w:p w14:paraId="6944C6FD" w14:textId="77777777" w:rsidR="00221112" w:rsidRDefault="00C14051">
        <w:pPr>
          <w:pStyle w:val="Footer"/>
          <w:jc w:val="center"/>
        </w:pPr>
        <w:r>
          <w:fldChar w:fldCharType="begin"/>
        </w:r>
        <w:r>
          <w:instrText xml:space="preserve"> PAGE   \* MERGEFORMAT </w:instrText>
        </w:r>
        <w:r>
          <w:fldChar w:fldCharType="separate"/>
        </w:r>
        <w:r>
          <w:t>17</w:t>
        </w:r>
        <w:r>
          <w:fldChar w:fldCharType="end"/>
        </w:r>
      </w:p>
    </w:sdtContent>
  </w:sdt>
  <w:p w14:paraId="0E92C3BC" w14:textId="77777777" w:rsidR="00221112" w:rsidRDefault="00221112">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7479448"/>
    </w:sdtPr>
    <w:sdtEndPr/>
    <w:sdtContent>
      <w:p w14:paraId="54802262" w14:textId="77777777" w:rsidR="00221112" w:rsidRDefault="00C14051">
        <w:pPr>
          <w:pStyle w:val="Footer"/>
          <w:jc w:val="center"/>
        </w:pPr>
        <w:r>
          <w:fldChar w:fldCharType="begin"/>
        </w:r>
        <w:r>
          <w:instrText xml:space="preserve"> PAGE   \* MERGEFORMAT </w:instrText>
        </w:r>
        <w:r>
          <w:fldChar w:fldCharType="separate"/>
        </w:r>
        <w:r>
          <w:t>17</w:t>
        </w:r>
        <w:r>
          <w:fldChar w:fldCharType="end"/>
        </w:r>
      </w:p>
    </w:sdtContent>
  </w:sdt>
  <w:p w14:paraId="52B3E503" w14:textId="77777777" w:rsidR="00221112" w:rsidRDefault="002211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791C08" w14:textId="77777777" w:rsidR="00C247CF" w:rsidRDefault="00C247CF">
      <w:pPr>
        <w:spacing w:after="0"/>
      </w:pPr>
      <w:r>
        <w:separator/>
      </w:r>
    </w:p>
  </w:footnote>
  <w:footnote w:type="continuationSeparator" w:id="0">
    <w:p w14:paraId="624B3D0C" w14:textId="77777777" w:rsidR="00C247CF" w:rsidRDefault="00C247CF">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B7924" w14:textId="77777777" w:rsidR="00221112" w:rsidRDefault="00C14051">
    <w:pPr>
      <w:pStyle w:val="Header"/>
      <w:tabs>
        <w:tab w:val="clear" w:pos="4680"/>
        <w:tab w:val="clear" w:pos="9360"/>
        <w:tab w:val="left" w:pos="1900"/>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F36CF"/>
    <w:multiLevelType w:val="hybridMultilevel"/>
    <w:tmpl w:val="D35E44E8"/>
    <w:lvl w:ilvl="0" w:tplc="0409001B">
      <w:start w:val="1"/>
      <w:numFmt w:val="low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3297170"/>
    <w:multiLevelType w:val="hybridMultilevel"/>
    <w:tmpl w:val="36CA3F56"/>
    <w:lvl w:ilvl="0" w:tplc="0409001B">
      <w:start w:val="1"/>
      <w:numFmt w:val="low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C9447F2"/>
    <w:multiLevelType w:val="multilevel"/>
    <w:tmpl w:val="0C9447F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 w15:restartNumberingAfterBreak="0">
    <w:nsid w:val="10D61338"/>
    <w:multiLevelType w:val="hybridMultilevel"/>
    <w:tmpl w:val="DF10EC98"/>
    <w:lvl w:ilvl="0" w:tplc="0409001B">
      <w:start w:val="1"/>
      <w:numFmt w:val="low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2B896827"/>
    <w:multiLevelType w:val="multilevel"/>
    <w:tmpl w:val="2B896827"/>
    <w:lvl w:ilvl="0">
      <w:start w:val="1"/>
      <w:numFmt w:val="low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2C771F21"/>
    <w:multiLevelType w:val="multilevel"/>
    <w:tmpl w:val="2C771F2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34E2704C"/>
    <w:multiLevelType w:val="multilevel"/>
    <w:tmpl w:val="34E2704C"/>
    <w:lvl w:ilvl="0">
      <w:start w:val="4"/>
      <w:numFmt w:val="decimal"/>
      <w:lvlText w:val="%1."/>
      <w:lvlJc w:val="left"/>
      <w:pPr>
        <w:ind w:left="540" w:hanging="540"/>
      </w:pPr>
      <w:rPr>
        <w:rFonts w:hint="default"/>
      </w:rPr>
    </w:lvl>
    <w:lvl w:ilvl="1">
      <w:start w:val="3"/>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367D0D9F"/>
    <w:multiLevelType w:val="multilevel"/>
    <w:tmpl w:val="367D0D9F"/>
    <w:lvl w:ilvl="0">
      <w:start w:val="1"/>
      <w:numFmt w:val="upp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3E155961"/>
    <w:multiLevelType w:val="hybridMultilevel"/>
    <w:tmpl w:val="49D024DE"/>
    <w:lvl w:ilvl="0" w:tplc="0409001B">
      <w:start w:val="1"/>
      <w:numFmt w:val="low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42C134C3"/>
    <w:multiLevelType w:val="multilevel"/>
    <w:tmpl w:val="42C134C3"/>
    <w:lvl w:ilvl="0">
      <w:start w:val="5"/>
      <w:numFmt w:val="decimal"/>
      <w:pStyle w:val="Heading1"/>
      <w:suff w:val="space"/>
      <w:lvlText w:val="CHAPTER %1:"/>
      <w:lvlJc w:val="left"/>
      <w:pPr>
        <w:ind w:left="4112" w:firstLine="0"/>
      </w:pPr>
      <w:rPr>
        <w:rFonts w:ascii="Times New Roman" w:hAnsi="Times New Roman" w:hint="default"/>
        <w:caps/>
        <w:sz w:val="24"/>
      </w:rPr>
    </w:lvl>
    <w:lvl w:ilvl="1">
      <w:start w:val="4"/>
      <w:numFmt w:val="decimal"/>
      <w:pStyle w:val="Heading2"/>
      <w:suff w:val="space"/>
      <w:lvlText w:val="%1.%2"/>
      <w:lvlJc w:val="left"/>
      <w:pPr>
        <w:ind w:left="0" w:firstLine="0"/>
      </w:pPr>
      <w:rPr>
        <w:rFonts w:hint="default"/>
        <w:b/>
        <w:bCs/>
      </w:rPr>
    </w:lvl>
    <w:lvl w:ilvl="2">
      <w:start w:val="1"/>
      <w:numFmt w:val="decimal"/>
      <w:pStyle w:val="Heading3"/>
      <w:suff w:val="space"/>
      <w:lvlText w:val="%1.%2.%3"/>
      <w:lvlJc w:val="left"/>
      <w:pPr>
        <w:ind w:left="0" w:firstLine="0"/>
      </w:pPr>
      <w:rPr>
        <w:rFonts w:hint="default"/>
      </w:rPr>
    </w:lvl>
    <w:lvl w:ilvl="3">
      <w:start w:val="1"/>
      <w:numFmt w:val="decimal"/>
      <w:pStyle w:val="Heading4"/>
      <w:suff w:val="space"/>
      <w:lvlText w:val="%1.%2.%3.%4"/>
      <w:lvlJc w:val="left"/>
      <w:pPr>
        <w:ind w:left="0" w:firstLine="0"/>
      </w:pPr>
      <w:rPr>
        <w:rFonts w:hint="default"/>
      </w:rPr>
    </w:lvl>
    <w:lvl w:ilvl="4">
      <w:start w:val="1"/>
      <w:numFmt w:val="decimal"/>
      <w:pStyle w:val="Heading5"/>
      <w:suff w:val="space"/>
      <w:lvlText w:val="%1.%2.%3.%4.%5"/>
      <w:lvlJc w:val="left"/>
      <w:pPr>
        <w:ind w:left="0" w:firstLine="0"/>
      </w:pPr>
      <w:rPr>
        <w:rFonts w:hint="default"/>
      </w:rPr>
    </w:lvl>
    <w:lvl w:ilvl="5">
      <w:start w:val="1"/>
      <w:numFmt w:val="decimal"/>
      <w:pStyle w:val="Heading6"/>
      <w:suff w:val="space"/>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abstractNum w:abstractNumId="10" w15:restartNumberingAfterBreak="0">
    <w:nsid w:val="74EA14CF"/>
    <w:multiLevelType w:val="multilevel"/>
    <w:tmpl w:val="74EA14CF"/>
    <w:lvl w:ilvl="0">
      <w:start w:val="1"/>
      <w:numFmt w:val="low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12" w15:restartNumberingAfterBreak="0">
    <w:multiLevelType w:val="hybridMultilevel"/>
    <w:lvl w:ilvl="0" w15:tentative="1">
      <w:start w:val="1"/>
      <w:numFmt w:val="decimal"/>
      <w:lvlText w:val="%1."/>
      <w:lvlJc w:val="start"/>
      <w:pPr>
        <w:ind w:left="720" w:hanging="360"/>
      </w:pPr>
    </w:lvl>
  </w:abstractNum>
  <w:abstractNum w:abstractNumId="13" w15:restartNumberingAfterBreak="0">
    <w:multiLevelType w:val="hybridMultilevel"/>
    <w:lvl w:ilvl="0" w15:tentative="1">
      <w:start w:val="1"/>
      <w:numFmt w:val="decimal"/>
      <w:lvlText w:val="%1."/>
      <w:lvlJc w:val="start"/>
      <w:pPr>
        <w:ind w:left="720" w:hanging="360"/>
      </w:pPr>
    </w:lvl>
  </w:abstractNum>
  <w:abstractNum w:abstractNumId="14" w15:restartNumberingAfterBreak="0">
    <w:multiLevelType w:val="hybridMultilevel"/>
    <w:lvl w:ilvl="0" w15:tentative="1">
      <w:start w:val="1"/>
      <w:numFmt w:val="decimal"/>
      <w:lvlText w:val="%1."/>
      <w:lvlJc w:val="start"/>
      <w:pPr>
        <w:ind w:left="720" w:hanging="360"/>
      </w:pPr>
    </w:lvl>
  </w:abstractNum>
  <w:abstractNum w:abstractNumId="15" w15:restartNumberingAfterBreak="0">
    <w:multiLevelType w:val="hybridMultilevel"/>
    <w:lvl w:ilvl="0" w15:tentative="1">
      <w:start w:val="1"/>
      <w:numFmt w:val="bullet"/>
      <w:lvlText w:val="•"/>
      <w:lvlJc w:val="start"/>
      <w:pPr>
        <w:ind w:left="720" w:hanging="360"/>
      </w:pPr>
    </w:lvl>
  </w:abstractNum>
  <w:abstractNum w:abstractNumId="16"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17" w15:restartNumberingAfterBreak="0">
    <w:multiLevelType w:val="hybridMultilevel"/>
    <w:lvl w:ilvl="0" w15:tentative="1">
      <w:start w:val="1"/>
      <w:numFmt w:val="decimal"/>
      <w:lvlText w:val="%1."/>
      <w:lvlJc w:val="start"/>
      <w:pPr>
        <w:ind w:left="720" w:hanging="360"/>
      </w:pPr>
    </w:lvl>
  </w:abstractNum>
  <w:abstractNum w:abstractNumId="18" w15:restartNumberingAfterBreak="0">
    <w:multiLevelType w:val="hybridMultilevel"/>
    <w:lvl w:ilvl="0" w15:tentative="1">
      <w:start w:val="1"/>
      <w:numFmt w:val="decimal"/>
      <w:lvlText w:val="%1."/>
      <w:lvlJc w:val="start"/>
      <w:pPr>
        <w:ind w:left="720" w:hanging="360"/>
      </w:pPr>
    </w:lvl>
  </w:abstractNum>
  <w:abstractNum w:abstractNumId="19" w15:restartNumberingAfterBreak="0">
    <w:multiLevelType w:val="hybridMultilevel"/>
    <w:lvl w:ilvl="0" w15:tentative="1">
      <w:start w:val="1"/>
      <w:numFmt w:val="decimal"/>
      <w:lvlText w:val="%1."/>
      <w:lvlJc w:val="start"/>
      <w:pPr>
        <w:ind w:left="720" w:hanging="360"/>
      </w:pPr>
    </w:lvl>
  </w:abstractNum>
  <w:abstractNum w:abstractNumId="20" w15:restartNumberingAfterBreak="0">
    <w:multiLevelType w:val="hybridMultilevel"/>
    <w:lvl w:ilvl="0" w15:tentative="1">
      <w:start w:val="1"/>
      <w:numFmt w:val="bullet"/>
      <w:lvlText w:val="•"/>
      <w:lvlJc w:val="start"/>
      <w:pPr>
        <w:ind w:left="720" w:hanging="360"/>
      </w:pPr>
    </w:lvl>
  </w:abstractNum>
  <w:num w:numId="1" w16cid:durableId="1801146686">
    <w:abstractNumId w:val="9"/>
  </w:num>
  <w:num w:numId="2" w16cid:durableId="212758302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000574457">
    <w:abstractNumId w:val="4"/>
  </w:num>
  <w:num w:numId="4" w16cid:durableId="947850487">
    <w:abstractNumId w:val="10"/>
  </w:num>
  <w:num w:numId="5" w16cid:durableId="170801616">
    <w:abstractNumId w:val="9"/>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405642219">
    <w:abstractNumId w:val="2"/>
  </w:num>
  <w:num w:numId="7" w16cid:durableId="699665662">
    <w:abstractNumId w:val="6"/>
  </w:num>
  <w:num w:numId="8" w16cid:durableId="579022194">
    <w:abstractNumId w:val="9"/>
    <w:lvlOverride w:ilvl="0">
      <w:startOverride w:val="5"/>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09978653">
    <w:abstractNumId w:val="7"/>
  </w:num>
  <w:num w:numId="10" w16cid:durableId="442775034">
    <w:abstractNumId w:val="5"/>
  </w:num>
  <w:num w:numId="11" w16cid:durableId="1905752065">
    <w:abstractNumId w:val="0"/>
  </w:num>
  <w:num w:numId="12" w16cid:durableId="49037479">
    <w:abstractNumId w:val="3"/>
  </w:num>
  <w:num w:numId="13" w16cid:durableId="1355425724">
    <w:abstractNumId w:val="1"/>
  </w:num>
  <w:num w:numId="14" w16cid:durableId="1380931410">
    <w:abstractNumId w:val="8"/>
  </w:num>
  <w:num w:numId="15">
    <w:abstractNumId w:val="11"/>
    <w:lvlOverride w:ilvl="0">
      <w:startOverride w:val="1"/>
    </w:lvlOverride>
  </w:num>
  <w:num w:numId="16">
    <w:abstractNumId w:val="12"/>
    <w:lvlOverride w:ilvl="0">
      <w:startOverride w:val="1"/>
    </w:lvlOverride>
  </w:num>
  <w:num w:numId="17">
    <w:abstractNumId w:val="13"/>
    <w:lvlOverride w:ilvl="0">
      <w:startOverride w:val="1"/>
    </w:lvlOverride>
  </w:num>
  <w:num w:numId="18">
    <w:abstractNumId w:val="14"/>
    <w:lvlOverride w:ilvl="0">
      <w:startOverride w:val="1"/>
    </w:lvlOverride>
  </w:num>
  <w:num w:numId="19">
    <w:abstractNumId w:val="15"/>
    <w:lvlOverride w:ilvl="0">
      <w:startOverride w:val="1"/>
    </w:lvlOverride>
  </w:num>
  <w:num w:numId="20">
    <w:abstractNumId w:val="16"/>
    <w:lvlOverride w:ilvl="0">
      <w:startOverride w:val="1"/>
    </w:lvlOverride>
  </w:num>
  <w:num w:numId="21">
    <w:abstractNumId w:val="17"/>
    <w:lvlOverride w:ilvl="0">
      <w:startOverride w:val="1"/>
    </w:lvlOverride>
  </w:num>
  <w:num w:numId="22">
    <w:abstractNumId w:val="18"/>
    <w:lvlOverride w:ilvl="0">
      <w:startOverride w:val="1"/>
    </w:lvlOverride>
  </w:num>
  <w:num w:numId="23">
    <w:abstractNumId w:val="19"/>
    <w:lvlOverride w:ilvl="0">
      <w:startOverride w:val="1"/>
    </w:lvlOverride>
  </w:num>
  <w:num w:numId="24">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6600"/>
    <w:rsid w:val="00007A30"/>
    <w:rsid w:val="00012D76"/>
    <w:rsid w:val="00020103"/>
    <w:rsid w:val="00020423"/>
    <w:rsid w:val="0002438E"/>
    <w:rsid w:val="00027AD7"/>
    <w:rsid w:val="0003051B"/>
    <w:rsid w:val="00030BFD"/>
    <w:rsid w:val="00032933"/>
    <w:rsid w:val="000338A4"/>
    <w:rsid w:val="00041CEA"/>
    <w:rsid w:val="00042203"/>
    <w:rsid w:val="00043709"/>
    <w:rsid w:val="000518C8"/>
    <w:rsid w:val="00051FB7"/>
    <w:rsid w:val="0005397D"/>
    <w:rsid w:val="00056424"/>
    <w:rsid w:val="00057B9F"/>
    <w:rsid w:val="00060DB5"/>
    <w:rsid w:val="00062170"/>
    <w:rsid w:val="00063797"/>
    <w:rsid w:val="000638BF"/>
    <w:rsid w:val="000651A8"/>
    <w:rsid w:val="00066F06"/>
    <w:rsid w:val="00075982"/>
    <w:rsid w:val="0009434A"/>
    <w:rsid w:val="000A17E3"/>
    <w:rsid w:val="000A787D"/>
    <w:rsid w:val="000B2B73"/>
    <w:rsid w:val="000B4037"/>
    <w:rsid w:val="000C1611"/>
    <w:rsid w:val="000C3D9A"/>
    <w:rsid w:val="000C65D8"/>
    <w:rsid w:val="000D0A71"/>
    <w:rsid w:val="000D3649"/>
    <w:rsid w:val="000D4937"/>
    <w:rsid w:val="000E0B94"/>
    <w:rsid w:val="000F28C3"/>
    <w:rsid w:val="000F378A"/>
    <w:rsid w:val="000F55DC"/>
    <w:rsid w:val="000F5ADC"/>
    <w:rsid w:val="000F6C94"/>
    <w:rsid w:val="000F7F39"/>
    <w:rsid w:val="000F7F65"/>
    <w:rsid w:val="001006C1"/>
    <w:rsid w:val="00104397"/>
    <w:rsid w:val="00106702"/>
    <w:rsid w:val="00110BD7"/>
    <w:rsid w:val="00114B5D"/>
    <w:rsid w:val="00125AB3"/>
    <w:rsid w:val="0013042C"/>
    <w:rsid w:val="001416E8"/>
    <w:rsid w:val="00144B8A"/>
    <w:rsid w:val="00152598"/>
    <w:rsid w:val="00163878"/>
    <w:rsid w:val="00164542"/>
    <w:rsid w:val="001658C6"/>
    <w:rsid w:val="00171C5B"/>
    <w:rsid w:val="0017594B"/>
    <w:rsid w:val="001835DA"/>
    <w:rsid w:val="001843C6"/>
    <w:rsid w:val="001901D8"/>
    <w:rsid w:val="0019032D"/>
    <w:rsid w:val="00190DEC"/>
    <w:rsid w:val="0019391F"/>
    <w:rsid w:val="0019494C"/>
    <w:rsid w:val="00195EF1"/>
    <w:rsid w:val="00196CE7"/>
    <w:rsid w:val="001A0CD1"/>
    <w:rsid w:val="001A1296"/>
    <w:rsid w:val="001B05E6"/>
    <w:rsid w:val="001B0B65"/>
    <w:rsid w:val="001B12AF"/>
    <w:rsid w:val="001B7A64"/>
    <w:rsid w:val="001C6B39"/>
    <w:rsid w:val="001D54B7"/>
    <w:rsid w:val="001E1F4D"/>
    <w:rsid w:val="001E2B1B"/>
    <w:rsid w:val="001E78E4"/>
    <w:rsid w:val="001F0DB1"/>
    <w:rsid w:val="001F565B"/>
    <w:rsid w:val="001F6880"/>
    <w:rsid w:val="001F7207"/>
    <w:rsid w:val="0020017A"/>
    <w:rsid w:val="00202963"/>
    <w:rsid w:val="002037E7"/>
    <w:rsid w:val="002039CA"/>
    <w:rsid w:val="00206473"/>
    <w:rsid w:val="00212F95"/>
    <w:rsid w:val="00216D4B"/>
    <w:rsid w:val="00221112"/>
    <w:rsid w:val="002235EF"/>
    <w:rsid w:val="00225C95"/>
    <w:rsid w:val="0023408B"/>
    <w:rsid w:val="002366C6"/>
    <w:rsid w:val="002371B1"/>
    <w:rsid w:val="00237C6F"/>
    <w:rsid w:val="0024071E"/>
    <w:rsid w:val="00244D0C"/>
    <w:rsid w:val="00245D25"/>
    <w:rsid w:val="0024723B"/>
    <w:rsid w:val="00247B70"/>
    <w:rsid w:val="00253372"/>
    <w:rsid w:val="002545A6"/>
    <w:rsid w:val="00261160"/>
    <w:rsid w:val="00263A1D"/>
    <w:rsid w:val="00271C57"/>
    <w:rsid w:val="00272121"/>
    <w:rsid w:val="00273807"/>
    <w:rsid w:val="0027399A"/>
    <w:rsid w:val="00273EFE"/>
    <w:rsid w:val="00274C62"/>
    <w:rsid w:val="00275351"/>
    <w:rsid w:val="002764BF"/>
    <w:rsid w:val="00280782"/>
    <w:rsid w:val="00284DB5"/>
    <w:rsid w:val="00286B35"/>
    <w:rsid w:val="00286BA8"/>
    <w:rsid w:val="00291182"/>
    <w:rsid w:val="002A02B5"/>
    <w:rsid w:val="002A0C39"/>
    <w:rsid w:val="002A6D14"/>
    <w:rsid w:val="002B18B6"/>
    <w:rsid w:val="002B5780"/>
    <w:rsid w:val="002B7600"/>
    <w:rsid w:val="002B7B26"/>
    <w:rsid w:val="002C0153"/>
    <w:rsid w:val="002C1A83"/>
    <w:rsid w:val="002C292E"/>
    <w:rsid w:val="002C50BF"/>
    <w:rsid w:val="002C622A"/>
    <w:rsid w:val="002C74D1"/>
    <w:rsid w:val="002D24ED"/>
    <w:rsid w:val="002D61A6"/>
    <w:rsid w:val="002D6437"/>
    <w:rsid w:val="002F44ED"/>
    <w:rsid w:val="00301B03"/>
    <w:rsid w:val="0030536F"/>
    <w:rsid w:val="003067C6"/>
    <w:rsid w:val="00311495"/>
    <w:rsid w:val="00312917"/>
    <w:rsid w:val="00313054"/>
    <w:rsid w:val="00313E5F"/>
    <w:rsid w:val="003220B6"/>
    <w:rsid w:val="00331A73"/>
    <w:rsid w:val="00337454"/>
    <w:rsid w:val="0033782D"/>
    <w:rsid w:val="00342612"/>
    <w:rsid w:val="00343DF0"/>
    <w:rsid w:val="003476FB"/>
    <w:rsid w:val="00350B90"/>
    <w:rsid w:val="0035269C"/>
    <w:rsid w:val="00363511"/>
    <w:rsid w:val="00363EE4"/>
    <w:rsid w:val="00364B84"/>
    <w:rsid w:val="00365104"/>
    <w:rsid w:val="00371C57"/>
    <w:rsid w:val="00371E65"/>
    <w:rsid w:val="00375F7F"/>
    <w:rsid w:val="00376735"/>
    <w:rsid w:val="003A00CA"/>
    <w:rsid w:val="003A4224"/>
    <w:rsid w:val="003A5B69"/>
    <w:rsid w:val="003B160C"/>
    <w:rsid w:val="003B3B35"/>
    <w:rsid w:val="003B5F53"/>
    <w:rsid w:val="003C12B7"/>
    <w:rsid w:val="003C1FCD"/>
    <w:rsid w:val="003C28CF"/>
    <w:rsid w:val="003C7FE1"/>
    <w:rsid w:val="003D236E"/>
    <w:rsid w:val="003D2F25"/>
    <w:rsid w:val="003D369B"/>
    <w:rsid w:val="003D525D"/>
    <w:rsid w:val="003D5B8C"/>
    <w:rsid w:val="003E74A4"/>
    <w:rsid w:val="003F5199"/>
    <w:rsid w:val="003F649A"/>
    <w:rsid w:val="003F6E3F"/>
    <w:rsid w:val="00400D60"/>
    <w:rsid w:val="00403BB8"/>
    <w:rsid w:val="004056CA"/>
    <w:rsid w:val="00413926"/>
    <w:rsid w:val="00414B63"/>
    <w:rsid w:val="0042152D"/>
    <w:rsid w:val="00422016"/>
    <w:rsid w:val="00425C1C"/>
    <w:rsid w:val="00427E5D"/>
    <w:rsid w:val="004306DE"/>
    <w:rsid w:val="004335DA"/>
    <w:rsid w:val="0043517A"/>
    <w:rsid w:val="0043643E"/>
    <w:rsid w:val="00440639"/>
    <w:rsid w:val="00444065"/>
    <w:rsid w:val="004533E4"/>
    <w:rsid w:val="004549F2"/>
    <w:rsid w:val="004558BD"/>
    <w:rsid w:val="004564EF"/>
    <w:rsid w:val="004621B1"/>
    <w:rsid w:val="004624F8"/>
    <w:rsid w:val="0046358C"/>
    <w:rsid w:val="00463643"/>
    <w:rsid w:val="004717DB"/>
    <w:rsid w:val="00472C6A"/>
    <w:rsid w:val="0047420A"/>
    <w:rsid w:val="00474B20"/>
    <w:rsid w:val="004775AA"/>
    <w:rsid w:val="00480CFB"/>
    <w:rsid w:val="00485771"/>
    <w:rsid w:val="00485FAC"/>
    <w:rsid w:val="00491AD2"/>
    <w:rsid w:val="00492710"/>
    <w:rsid w:val="004962AE"/>
    <w:rsid w:val="004A3993"/>
    <w:rsid w:val="004A44FF"/>
    <w:rsid w:val="004A4C25"/>
    <w:rsid w:val="004A4F3D"/>
    <w:rsid w:val="004B08C4"/>
    <w:rsid w:val="004B21AE"/>
    <w:rsid w:val="004B3F3C"/>
    <w:rsid w:val="004B4D46"/>
    <w:rsid w:val="004B53AD"/>
    <w:rsid w:val="004B7807"/>
    <w:rsid w:val="004B7A45"/>
    <w:rsid w:val="004C1589"/>
    <w:rsid w:val="004C1C7C"/>
    <w:rsid w:val="004C2356"/>
    <w:rsid w:val="004C29A4"/>
    <w:rsid w:val="004C3B05"/>
    <w:rsid w:val="004C3F75"/>
    <w:rsid w:val="004C600D"/>
    <w:rsid w:val="004D18C3"/>
    <w:rsid w:val="004D3F0B"/>
    <w:rsid w:val="004E096B"/>
    <w:rsid w:val="004E1128"/>
    <w:rsid w:val="004E32F1"/>
    <w:rsid w:val="004E3F15"/>
    <w:rsid w:val="004E63D0"/>
    <w:rsid w:val="004F196A"/>
    <w:rsid w:val="004F3E65"/>
    <w:rsid w:val="0050008E"/>
    <w:rsid w:val="00501173"/>
    <w:rsid w:val="005012F5"/>
    <w:rsid w:val="005040D4"/>
    <w:rsid w:val="005044B8"/>
    <w:rsid w:val="00511839"/>
    <w:rsid w:val="00511A0C"/>
    <w:rsid w:val="00515C17"/>
    <w:rsid w:val="00522DC5"/>
    <w:rsid w:val="005268F3"/>
    <w:rsid w:val="00527477"/>
    <w:rsid w:val="00533AA9"/>
    <w:rsid w:val="005351F9"/>
    <w:rsid w:val="00553866"/>
    <w:rsid w:val="00553B47"/>
    <w:rsid w:val="00560BD7"/>
    <w:rsid w:val="00561C72"/>
    <w:rsid w:val="00564A51"/>
    <w:rsid w:val="00564E8C"/>
    <w:rsid w:val="00564EDB"/>
    <w:rsid w:val="0056647D"/>
    <w:rsid w:val="00570FBD"/>
    <w:rsid w:val="00572F37"/>
    <w:rsid w:val="0057348E"/>
    <w:rsid w:val="0057426C"/>
    <w:rsid w:val="00574DAC"/>
    <w:rsid w:val="00577922"/>
    <w:rsid w:val="00580EEE"/>
    <w:rsid w:val="00583681"/>
    <w:rsid w:val="00587ACE"/>
    <w:rsid w:val="00596312"/>
    <w:rsid w:val="0059720C"/>
    <w:rsid w:val="00597914"/>
    <w:rsid w:val="005A1D9E"/>
    <w:rsid w:val="005A3088"/>
    <w:rsid w:val="005A61C0"/>
    <w:rsid w:val="005A6C53"/>
    <w:rsid w:val="005A6F25"/>
    <w:rsid w:val="005B3D20"/>
    <w:rsid w:val="005B72AB"/>
    <w:rsid w:val="005B73FC"/>
    <w:rsid w:val="005C1A89"/>
    <w:rsid w:val="005C59BD"/>
    <w:rsid w:val="005D0F8C"/>
    <w:rsid w:val="005D21EF"/>
    <w:rsid w:val="005D5634"/>
    <w:rsid w:val="005D58F7"/>
    <w:rsid w:val="005D67CA"/>
    <w:rsid w:val="005D7753"/>
    <w:rsid w:val="005E2C47"/>
    <w:rsid w:val="005E32A1"/>
    <w:rsid w:val="005E4540"/>
    <w:rsid w:val="005F38A9"/>
    <w:rsid w:val="005F3DCF"/>
    <w:rsid w:val="0060152B"/>
    <w:rsid w:val="0061163B"/>
    <w:rsid w:val="006116AB"/>
    <w:rsid w:val="0061279E"/>
    <w:rsid w:val="0061377B"/>
    <w:rsid w:val="0062243C"/>
    <w:rsid w:val="0062341F"/>
    <w:rsid w:val="00623F6A"/>
    <w:rsid w:val="00625F15"/>
    <w:rsid w:val="00626C63"/>
    <w:rsid w:val="00630C86"/>
    <w:rsid w:val="006377F9"/>
    <w:rsid w:val="006400EF"/>
    <w:rsid w:val="006467A4"/>
    <w:rsid w:val="00647016"/>
    <w:rsid w:val="0065250A"/>
    <w:rsid w:val="006534A6"/>
    <w:rsid w:val="00657919"/>
    <w:rsid w:val="00665A68"/>
    <w:rsid w:val="00665CAB"/>
    <w:rsid w:val="00666BAB"/>
    <w:rsid w:val="00667D1B"/>
    <w:rsid w:val="006718B3"/>
    <w:rsid w:val="0067257E"/>
    <w:rsid w:val="0067304B"/>
    <w:rsid w:val="00676DC3"/>
    <w:rsid w:val="0067706D"/>
    <w:rsid w:val="00684608"/>
    <w:rsid w:val="00697148"/>
    <w:rsid w:val="006A0D33"/>
    <w:rsid w:val="006A2C0C"/>
    <w:rsid w:val="006A39D7"/>
    <w:rsid w:val="006A3D1F"/>
    <w:rsid w:val="006A4AEB"/>
    <w:rsid w:val="006A7891"/>
    <w:rsid w:val="006B240F"/>
    <w:rsid w:val="006B4360"/>
    <w:rsid w:val="006B50BC"/>
    <w:rsid w:val="006B59B0"/>
    <w:rsid w:val="006C084E"/>
    <w:rsid w:val="006C1F05"/>
    <w:rsid w:val="006C6111"/>
    <w:rsid w:val="006C64F2"/>
    <w:rsid w:val="006C6548"/>
    <w:rsid w:val="006D1327"/>
    <w:rsid w:val="006D2460"/>
    <w:rsid w:val="006D4CF5"/>
    <w:rsid w:val="006D5DEF"/>
    <w:rsid w:val="006D5EA0"/>
    <w:rsid w:val="006E5E07"/>
    <w:rsid w:val="006E70BF"/>
    <w:rsid w:val="006E7F36"/>
    <w:rsid w:val="006F0464"/>
    <w:rsid w:val="006F762D"/>
    <w:rsid w:val="00702B6D"/>
    <w:rsid w:val="00703E96"/>
    <w:rsid w:val="007075F8"/>
    <w:rsid w:val="00707FA2"/>
    <w:rsid w:val="00714EB8"/>
    <w:rsid w:val="00724D02"/>
    <w:rsid w:val="00726600"/>
    <w:rsid w:val="00732890"/>
    <w:rsid w:val="00733297"/>
    <w:rsid w:val="00733785"/>
    <w:rsid w:val="007340A6"/>
    <w:rsid w:val="007408A7"/>
    <w:rsid w:val="007426B9"/>
    <w:rsid w:val="00742A41"/>
    <w:rsid w:val="00743CE9"/>
    <w:rsid w:val="0075481E"/>
    <w:rsid w:val="0076222E"/>
    <w:rsid w:val="0077211F"/>
    <w:rsid w:val="00773635"/>
    <w:rsid w:val="007746BD"/>
    <w:rsid w:val="00777098"/>
    <w:rsid w:val="00781646"/>
    <w:rsid w:val="0078394B"/>
    <w:rsid w:val="00784212"/>
    <w:rsid w:val="00786E55"/>
    <w:rsid w:val="007A2FFF"/>
    <w:rsid w:val="007A3FBD"/>
    <w:rsid w:val="007A6453"/>
    <w:rsid w:val="007B101E"/>
    <w:rsid w:val="007B1E12"/>
    <w:rsid w:val="007B2451"/>
    <w:rsid w:val="007B3143"/>
    <w:rsid w:val="007B7650"/>
    <w:rsid w:val="007B7C04"/>
    <w:rsid w:val="007C25D4"/>
    <w:rsid w:val="007C4107"/>
    <w:rsid w:val="007C7FC8"/>
    <w:rsid w:val="007D13A5"/>
    <w:rsid w:val="007D1B33"/>
    <w:rsid w:val="007D37CC"/>
    <w:rsid w:val="007E0ED3"/>
    <w:rsid w:val="007E4856"/>
    <w:rsid w:val="007E7811"/>
    <w:rsid w:val="007F3AA6"/>
    <w:rsid w:val="007F536E"/>
    <w:rsid w:val="00800811"/>
    <w:rsid w:val="00801339"/>
    <w:rsid w:val="00804A6A"/>
    <w:rsid w:val="00806DDE"/>
    <w:rsid w:val="008078BD"/>
    <w:rsid w:val="0082072A"/>
    <w:rsid w:val="00820CCD"/>
    <w:rsid w:val="008221B7"/>
    <w:rsid w:val="00822D00"/>
    <w:rsid w:val="00823006"/>
    <w:rsid w:val="00825B5C"/>
    <w:rsid w:val="00835664"/>
    <w:rsid w:val="00836512"/>
    <w:rsid w:val="00842EE4"/>
    <w:rsid w:val="00844FB8"/>
    <w:rsid w:val="008453D0"/>
    <w:rsid w:val="00851599"/>
    <w:rsid w:val="00852FCD"/>
    <w:rsid w:val="00854EA0"/>
    <w:rsid w:val="0085660B"/>
    <w:rsid w:val="00861B0A"/>
    <w:rsid w:val="00863FFC"/>
    <w:rsid w:val="008670CA"/>
    <w:rsid w:val="008712E2"/>
    <w:rsid w:val="00876197"/>
    <w:rsid w:val="00877B52"/>
    <w:rsid w:val="00881D95"/>
    <w:rsid w:val="00882063"/>
    <w:rsid w:val="008906AC"/>
    <w:rsid w:val="00894291"/>
    <w:rsid w:val="0089756B"/>
    <w:rsid w:val="008A1DF3"/>
    <w:rsid w:val="008A20E4"/>
    <w:rsid w:val="008A2226"/>
    <w:rsid w:val="008A3AA6"/>
    <w:rsid w:val="008A641F"/>
    <w:rsid w:val="008A6C7C"/>
    <w:rsid w:val="008A7AAA"/>
    <w:rsid w:val="008B0E0A"/>
    <w:rsid w:val="008B28C4"/>
    <w:rsid w:val="008C140B"/>
    <w:rsid w:val="008C287E"/>
    <w:rsid w:val="008C4F49"/>
    <w:rsid w:val="008C6B4C"/>
    <w:rsid w:val="008D5EA9"/>
    <w:rsid w:val="008E2AB6"/>
    <w:rsid w:val="008E44A9"/>
    <w:rsid w:val="008E5665"/>
    <w:rsid w:val="008E604A"/>
    <w:rsid w:val="008E725F"/>
    <w:rsid w:val="008E7B9D"/>
    <w:rsid w:val="008E7FC1"/>
    <w:rsid w:val="008F1076"/>
    <w:rsid w:val="008F31B7"/>
    <w:rsid w:val="008F47DD"/>
    <w:rsid w:val="008F48C0"/>
    <w:rsid w:val="008F58DF"/>
    <w:rsid w:val="008F718F"/>
    <w:rsid w:val="008F7D5F"/>
    <w:rsid w:val="009033F8"/>
    <w:rsid w:val="00906A5B"/>
    <w:rsid w:val="009078F4"/>
    <w:rsid w:val="0091070A"/>
    <w:rsid w:val="00911B30"/>
    <w:rsid w:val="009131EA"/>
    <w:rsid w:val="00915CA4"/>
    <w:rsid w:val="00916040"/>
    <w:rsid w:val="00916D47"/>
    <w:rsid w:val="009209CE"/>
    <w:rsid w:val="00922C06"/>
    <w:rsid w:val="009253D3"/>
    <w:rsid w:val="00925908"/>
    <w:rsid w:val="009275D1"/>
    <w:rsid w:val="0093079E"/>
    <w:rsid w:val="00932375"/>
    <w:rsid w:val="0093425B"/>
    <w:rsid w:val="0094687E"/>
    <w:rsid w:val="00950929"/>
    <w:rsid w:val="0095190D"/>
    <w:rsid w:val="0095192F"/>
    <w:rsid w:val="00953F1B"/>
    <w:rsid w:val="0095467C"/>
    <w:rsid w:val="00957382"/>
    <w:rsid w:val="00960537"/>
    <w:rsid w:val="00961C34"/>
    <w:rsid w:val="0096228A"/>
    <w:rsid w:val="009660D6"/>
    <w:rsid w:val="00970578"/>
    <w:rsid w:val="00971564"/>
    <w:rsid w:val="00975652"/>
    <w:rsid w:val="00976045"/>
    <w:rsid w:val="009763ED"/>
    <w:rsid w:val="0098354C"/>
    <w:rsid w:val="0098464D"/>
    <w:rsid w:val="009846F2"/>
    <w:rsid w:val="00984A62"/>
    <w:rsid w:val="00986316"/>
    <w:rsid w:val="00987F4D"/>
    <w:rsid w:val="009948A2"/>
    <w:rsid w:val="009A38ED"/>
    <w:rsid w:val="009A5233"/>
    <w:rsid w:val="009B3EC4"/>
    <w:rsid w:val="009B4F8C"/>
    <w:rsid w:val="009B5407"/>
    <w:rsid w:val="009C0E7F"/>
    <w:rsid w:val="009C3E36"/>
    <w:rsid w:val="009C48B8"/>
    <w:rsid w:val="009C6F70"/>
    <w:rsid w:val="009D6A05"/>
    <w:rsid w:val="009D75A4"/>
    <w:rsid w:val="009E1ABC"/>
    <w:rsid w:val="009F0F5A"/>
    <w:rsid w:val="009F674A"/>
    <w:rsid w:val="00A01AA0"/>
    <w:rsid w:val="00A07176"/>
    <w:rsid w:val="00A13D7E"/>
    <w:rsid w:val="00A14BAD"/>
    <w:rsid w:val="00A16489"/>
    <w:rsid w:val="00A17C54"/>
    <w:rsid w:val="00A23996"/>
    <w:rsid w:val="00A257CE"/>
    <w:rsid w:val="00A32D91"/>
    <w:rsid w:val="00A34F4B"/>
    <w:rsid w:val="00A36447"/>
    <w:rsid w:val="00A47DC2"/>
    <w:rsid w:val="00A6015A"/>
    <w:rsid w:val="00A6015D"/>
    <w:rsid w:val="00A61C33"/>
    <w:rsid w:val="00A63A36"/>
    <w:rsid w:val="00A760A4"/>
    <w:rsid w:val="00A76F85"/>
    <w:rsid w:val="00A8453B"/>
    <w:rsid w:val="00A9071C"/>
    <w:rsid w:val="00A93FE8"/>
    <w:rsid w:val="00AA24B9"/>
    <w:rsid w:val="00AB44BF"/>
    <w:rsid w:val="00AE1CD6"/>
    <w:rsid w:val="00AE3E07"/>
    <w:rsid w:val="00AE4CCB"/>
    <w:rsid w:val="00AE666F"/>
    <w:rsid w:val="00AE66BC"/>
    <w:rsid w:val="00AE6E7D"/>
    <w:rsid w:val="00AF20B4"/>
    <w:rsid w:val="00AF2990"/>
    <w:rsid w:val="00AF2AEF"/>
    <w:rsid w:val="00B00C12"/>
    <w:rsid w:val="00B0184D"/>
    <w:rsid w:val="00B0373C"/>
    <w:rsid w:val="00B03BC1"/>
    <w:rsid w:val="00B0748F"/>
    <w:rsid w:val="00B10D0B"/>
    <w:rsid w:val="00B14CB6"/>
    <w:rsid w:val="00B165BE"/>
    <w:rsid w:val="00B24354"/>
    <w:rsid w:val="00B25D3D"/>
    <w:rsid w:val="00B2673F"/>
    <w:rsid w:val="00B300D2"/>
    <w:rsid w:val="00B41A2F"/>
    <w:rsid w:val="00B42937"/>
    <w:rsid w:val="00B42FBE"/>
    <w:rsid w:val="00B44A35"/>
    <w:rsid w:val="00B4538A"/>
    <w:rsid w:val="00B46AFB"/>
    <w:rsid w:val="00B51704"/>
    <w:rsid w:val="00B51DFB"/>
    <w:rsid w:val="00B532DC"/>
    <w:rsid w:val="00B60CC1"/>
    <w:rsid w:val="00B61EC3"/>
    <w:rsid w:val="00B629A7"/>
    <w:rsid w:val="00B67DB8"/>
    <w:rsid w:val="00B7077F"/>
    <w:rsid w:val="00B734CF"/>
    <w:rsid w:val="00B74320"/>
    <w:rsid w:val="00B76608"/>
    <w:rsid w:val="00B8089B"/>
    <w:rsid w:val="00B82CD8"/>
    <w:rsid w:val="00B86F2F"/>
    <w:rsid w:val="00B909A1"/>
    <w:rsid w:val="00B91686"/>
    <w:rsid w:val="00B92C71"/>
    <w:rsid w:val="00B97BC3"/>
    <w:rsid w:val="00BA20AE"/>
    <w:rsid w:val="00BA4B77"/>
    <w:rsid w:val="00BA5069"/>
    <w:rsid w:val="00BA663D"/>
    <w:rsid w:val="00BC662E"/>
    <w:rsid w:val="00BD3D57"/>
    <w:rsid w:val="00BD3F1B"/>
    <w:rsid w:val="00BD45D5"/>
    <w:rsid w:val="00BD7CC3"/>
    <w:rsid w:val="00BE3C6D"/>
    <w:rsid w:val="00BE6FFD"/>
    <w:rsid w:val="00BF20CC"/>
    <w:rsid w:val="00BF6E00"/>
    <w:rsid w:val="00BF6F31"/>
    <w:rsid w:val="00BF73AE"/>
    <w:rsid w:val="00C05D8A"/>
    <w:rsid w:val="00C10378"/>
    <w:rsid w:val="00C11117"/>
    <w:rsid w:val="00C14051"/>
    <w:rsid w:val="00C14A56"/>
    <w:rsid w:val="00C14C1F"/>
    <w:rsid w:val="00C1585B"/>
    <w:rsid w:val="00C20923"/>
    <w:rsid w:val="00C215D1"/>
    <w:rsid w:val="00C23382"/>
    <w:rsid w:val="00C247CF"/>
    <w:rsid w:val="00C25286"/>
    <w:rsid w:val="00C25BC4"/>
    <w:rsid w:val="00C25ECD"/>
    <w:rsid w:val="00C30A5A"/>
    <w:rsid w:val="00C30F14"/>
    <w:rsid w:val="00C34886"/>
    <w:rsid w:val="00C353C3"/>
    <w:rsid w:val="00C35D30"/>
    <w:rsid w:val="00C3689D"/>
    <w:rsid w:val="00C36C9F"/>
    <w:rsid w:val="00C45391"/>
    <w:rsid w:val="00C46D52"/>
    <w:rsid w:val="00C501D9"/>
    <w:rsid w:val="00C53B60"/>
    <w:rsid w:val="00C5681E"/>
    <w:rsid w:val="00C57C75"/>
    <w:rsid w:val="00C65E63"/>
    <w:rsid w:val="00C704FB"/>
    <w:rsid w:val="00C742D2"/>
    <w:rsid w:val="00C77045"/>
    <w:rsid w:val="00C77727"/>
    <w:rsid w:val="00C809D0"/>
    <w:rsid w:val="00C83C55"/>
    <w:rsid w:val="00C86C49"/>
    <w:rsid w:val="00C90435"/>
    <w:rsid w:val="00C93E09"/>
    <w:rsid w:val="00C96D79"/>
    <w:rsid w:val="00CA3B43"/>
    <w:rsid w:val="00CA6F61"/>
    <w:rsid w:val="00CA771F"/>
    <w:rsid w:val="00CB020E"/>
    <w:rsid w:val="00CB0AA6"/>
    <w:rsid w:val="00CC1C36"/>
    <w:rsid w:val="00CD1696"/>
    <w:rsid w:val="00CD2279"/>
    <w:rsid w:val="00CD42D2"/>
    <w:rsid w:val="00CE10C9"/>
    <w:rsid w:val="00CE28AC"/>
    <w:rsid w:val="00CE77C1"/>
    <w:rsid w:val="00CE7B3D"/>
    <w:rsid w:val="00CF537E"/>
    <w:rsid w:val="00CF7BA7"/>
    <w:rsid w:val="00D00221"/>
    <w:rsid w:val="00D01C29"/>
    <w:rsid w:val="00D02A2E"/>
    <w:rsid w:val="00D04770"/>
    <w:rsid w:val="00D05D3B"/>
    <w:rsid w:val="00D06ACF"/>
    <w:rsid w:val="00D071E9"/>
    <w:rsid w:val="00D079A5"/>
    <w:rsid w:val="00D1067B"/>
    <w:rsid w:val="00D13467"/>
    <w:rsid w:val="00D15711"/>
    <w:rsid w:val="00D15C42"/>
    <w:rsid w:val="00D1624C"/>
    <w:rsid w:val="00D16FF6"/>
    <w:rsid w:val="00D17AC3"/>
    <w:rsid w:val="00D254E2"/>
    <w:rsid w:val="00D31267"/>
    <w:rsid w:val="00D3182E"/>
    <w:rsid w:val="00D34796"/>
    <w:rsid w:val="00D35ED9"/>
    <w:rsid w:val="00D401C5"/>
    <w:rsid w:val="00D41F04"/>
    <w:rsid w:val="00D42EC3"/>
    <w:rsid w:val="00D4481F"/>
    <w:rsid w:val="00D4716B"/>
    <w:rsid w:val="00D50FA6"/>
    <w:rsid w:val="00D54719"/>
    <w:rsid w:val="00D56411"/>
    <w:rsid w:val="00D57D8A"/>
    <w:rsid w:val="00D57F6C"/>
    <w:rsid w:val="00D603FE"/>
    <w:rsid w:val="00D62470"/>
    <w:rsid w:val="00D64AA7"/>
    <w:rsid w:val="00D64EFD"/>
    <w:rsid w:val="00D70B12"/>
    <w:rsid w:val="00D74404"/>
    <w:rsid w:val="00D803CB"/>
    <w:rsid w:val="00D81350"/>
    <w:rsid w:val="00D81372"/>
    <w:rsid w:val="00D83802"/>
    <w:rsid w:val="00D83AF4"/>
    <w:rsid w:val="00D85370"/>
    <w:rsid w:val="00D90E80"/>
    <w:rsid w:val="00D9320A"/>
    <w:rsid w:val="00DA1110"/>
    <w:rsid w:val="00DA4CD6"/>
    <w:rsid w:val="00DB059B"/>
    <w:rsid w:val="00DB16DD"/>
    <w:rsid w:val="00DB17D3"/>
    <w:rsid w:val="00DB227C"/>
    <w:rsid w:val="00DB3182"/>
    <w:rsid w:val="00DB404E"/>
    <w:rsid w:val="00DB6522"/>
    <w:rsid w:val="00DB719E"/>
    <w:rsid w:val="00DB7583"/>
    <w:rsid w:val="00DC2B16"/>
    <w:rsid w:val="00DC2B30"/>
    <w:rsid w:val="00DC627A"/>
    <w:rsid w:val="00DC797F"/>
    <w:rsid w:val="00DD0529"/>
    <w:rsid w:val="00DD0952"/>
    <w:rsid w:val="00DD0A67"/>
    <w:rsid w:val="00DD1988"/>
    <w:rsid w:val="00DD1DB3"/>
    <w:rsid w:val="00DE05B6"/>
    <w:rsid w:val="00DE2BCA"/>
    <w:rsid w:val="00DE5E47"/>
    <w:rsid w:val="00DE74C9"/>
    <w:rsid w:val="00DF28C5"/>
    <w:rsid w:val="00DF3F9B"/>
    <w:rsid w:val="00DF5A77"/>
    <w:rsid w:val="00E00B30"/>
    <w:rsid w:val="00E06834"/>
    <w:rsid w:val="00E0759B"/>
    <w:rsid w:val="00E104B5"/>
    <w:rsid w:val="00E13450"/>
    <w:rsid w:val="00E13716"/>
    <w:rsid w:val="00E14DE9"/>
    <w:rsid w:val="00E20805"/>
    <w:rsid w:val="00E2189D"/>
    <w:rsid w:val="00E23514"/>
    <w:rsid w:val="00E27CD9"/>
    <w:rsid w:val="00E31804"/>
    <w:rsid w:val="00E4369F"/>
    <w:rsid w:val="00E43E23"/>
    <w:rsid w:val="00E55B49"/>
    <w:rsid w:val="00E62ACD"/>
    <w:rsid w:val="00E6342E"/>
    <w:rsid w:val="00E648D2"/>
    <w:rsid w:val="00E65549"/>
    <w:rsid w:val="00E7226A"/>
    <w:rsid w:val="00E75EAA"/>
    <w:rsid w:val="00E82995"/>
    <w:rsid w:val="00E90E3A"/>
    <w:rsid w:val="00E95BA3"/>
    <w:rsid w:val="00E97C04"/>
    <w:rsid w:val="00E97D1E"/>
    <w:rsid w:val="00EA1FB9"/>
    <w:rsid w:val="00EA36A1"/>
    <w:rsid w:val="00EA511D"/>
    <w:rsid w:val="00EA79CD"/>
    <w:rsid w:val="00EB21EA"/>
    <w:rsid w:val="00EB4896"/>
    <w:rsid w:val="00EC25DE"/>
    <w:rsid w:val="00EC34A9"/>
    <w:rsid w:val="00EC3F43"/>
    <w:rsid w:val="00EC4B19"/>
    <w:rsid w:val="00EC5BB3"/>
    <w:rsid w:val="00EC7188"/>
    <w:rsid w:val="00ED1829"/>
    <w:rsid w:val="00ED2B60"/>
    <w:rsid w:val="00EE1457"/>
    <w:rsid w:val="00EE260C"/>
    <w:rsid w:val="00EE417A"/>
    <w:rsid w:val="00EE43C1"/>
    <w:rsid w:val="00EE7255"/>
    <w:rsid w:val="00EF538F"/>
    <w:rsid w:val="00EF618C"/>
    <w:rsid w:val="00F03C3C"/>
    <w:rsid w:val="00F0466D"/>
    <w:rsid w:val="00F13674"/>
    <w:rsid w:val="00F15557"/>
    <w:rsid w:val="00F21207"/>
    <w:rsid w:val="00F217B9"/>
    <w:rsid w:val="00F21F8F"/>
    <w:rsid w:val="00F23007"/>
    <w:rsid w:val="00F34126"/>
    <w:rsid w:val="00F3682E"/>
    <w:rsid w:val="00F46E29"/>
    <w:rsid w:val="00F46EC4"/>
    <w:rsid w:val="00F520CD"/>
    <w:rsid w:val="00F56F05"/>
    <w:rsid w:val="00F637D9"/>
    <w:rsid w:val="00F67E20"/>
    <w:rsid w:val="00F71034"/>
    <w:rsid w:val="00F72F1A"/>
    <w:rsid w:val="00F74477"/>
    <w:rsid w:val="00F76A3F"/>
    <w:rsid w:val="00F80492"/>
    <w:rsid w:val="00F82E76"/>
    <w:rsid w:val="00F92015"/>
    <w:rsid w:val="00F947F6"/>
    <w:rsid w:val="00F95DF2"/>
    <w:rsid w:val="00F95FA1"/>
    <w:rsid w:val="00FA31BE"/>
    <w:rsid w:val="00FA5A23"/>
    <w:rsid w:val="00FA607D"/>
    <w:rsid w:val="00FB37EF"/>
    <w:rsid w:val="00FB3F70"/>
    <w:rsid w:val="00FB7F16"/>
    <w:rsid w:val="00FC2B6D"/>
    <w:rsid w:val="00FD1844"/>
    <w:rsid w:val="00FD2C5F"/>
    <w:rsid w:val="00FD5401"/>
    <w:rsid w:val="00FD7A1B"/>
    <w:rsid w:val="00FE14D1"/>
    <w:rsid w:val="00FE3068"/>
    <w:rsid w:val="00FF13CD"/>
    <w:rsid w:val="00FF2118"/>
    <w:rsid w:val="00FF48AE"/>
    <w:rsid w:val="01087940"/>
    <w:rsid w:val="016966E0"/>
    <w:rsid w:val="024A59CE"/>
    <w:rsid w:val="02522DDA"/>
    <w:rsid w:val="02986DD2"/>
    <w:rsid w:val="02A163DC"/>
    <w:rsid w:val="044F0C47"/>
    <w:rsid w:val="05CB3161"/>
    <w:rsid w:val="05D92727"/>
    <w:rsid w:val="068155F5"/>
    <w:rsid w:val="081964D9"/>
    <w:rsid w:val="090D4716"/>
    <w:rsid w:val="096F6562"/>
    <w:rsid w:val="0D655386"/>
    <w:rsid w:val="111A41C6"/>
    <w:rsid w:val="130F7E50"/>
    <w:rsid w:val="17CC781A"/>
    <w:rsid w:val="18790C37"/>
    <w:rsid w:val="188A6953"/>
    <w:rsid w:val="18EE0BF6"/>
    <w:rsid w:val="1A8930C8"/>
    <w:rsid w:val="1B341517"/>
    <w:rsid w:val="1B7157B1"/>
    <w:rsid w:val="1BB81089"/>
    <w:rsid w:val="1D5133A9"/>
    <w:rsid w:val="1F15650D"/>
    <w:rsid w:val="1F34082D"/>
    <w:rsid w:val="1FB13E0C"/>
    <w:rsid w:val="21170110"/>
    <w:rsid w:val="22A10C5C"/>
    <w:rsid w:val="22E84C54"/>
    <w:rsid w:val="234B6EF7"/>
    <w:rsid w:val="240D35B5"/>
    <w:rsid w:val="267A4B30"/>
    <w:rsid w:val="29B01665"/>
    <w:rsid w:val="2A994270"/>
    <w:rsid w:val="2AFC4314"/>
    <w:rsid w:val="2B4B7916"/>
    <w:rsid w:val="2BFE2C3D"/>
    <w:rsid w:val="2C264CFB"/>
    <w:rsid w:val="2D4B49D3"/>
    <w:rsid w:val="2E07640B"/>
    <w:rsid w:val="31C12A2E"/>
    <w:rsid w:val="31C51434"/>
    <w:rsid w:val="31FA1C8E"/>
    <w:rsid w:val="333F4524"/>
    <w:rsid w:val="33452BAA"/>
    <w:rsid w:val="338957CE"/>
    <w:rsid w:val="39581820"/>
    <w:rsid w:val="39A21B4E"/>
    <w:rsid w:val="3D4405EF"/>
    <w:rsid w:val="3DCA206F"/>
    <w:rsid w:val="3F292D06"/>
    <w:rsid w:val="3F750ED6"/>
    <w:rsid w:val="414313A1"/>
    <w:rsid w:val="429960CF"/>
    <w:rsid w:val="43B53241"/>
    <w:rsid w:val="441D1ACF"/>
    <w:rsid w:val="446D7285"/>
    <w:rsid w:val="45845B9E"/>
    <w:rsid w:val="45D01569"/>
    <w:rsid w:val="476063A8"/>
    <w:rsid w:val="478C2F7C"/>
    <w:rsid w:val="47CD6F16"/>
    <w:rsid w:val="48CA33FC"/>
    <w:rsid w:val="49E64E4D"/>
    <w:rsid w:val="4AB467A0"/>
    <w:rsid w:val="4B10160D"/>
    <w:rsid w:val="4CCD100D"/>
    <w:rsid w:val="4D19148D"/>
    <w:rsid w:val="4D5243FD"/>
    <w:rsid w:val="4DC24624"/>
    <w:rsid w:val="52455887"/>
    <w:rsid w:val="527B24DD"/>
    <w:rsid w:val="539C5E38"/>
    <w:rsid w:val="57A411D6"/>
    <w:rsid w:val="57A7215B"/>
    <w:rsid w:val="58C625B2"/>
    <w:rsid w:val="59754CD5"/>
    <w:rsid w:val="59946483"/>
    <w:rsid w:val="59A776A2"/>
    <w:rsid w:val="59B6573E"/>
    <w:rsid w:val="5A001035"/>
    <w:rsid w:val="5ABD2A6D"/>
    <w:rsid w:val="5CE60DF9"/>
    <w:rsid w:val="5D2B4EC5"/>
    <w:rsid w:val="5D8579FD"/>
    <w:rsid w:val="5ED0639A"/>
    <w:rsid w:val="5F8161D5"/>
    <w:rsid w:val="60625D40"/>
    <w:rsid w:val="610F1155"/>
    <w:rsid w:val="619E1F83"/>
    <w:rsid w:val="665761F7"/>
    <w:rsid w:val="67010C0E"/>
    <w:rsid w:val="67F33A1A"/>
    <w:rsid w:val="6AFD2718"/>
    <w:rsid w:val="6B392E3B"/>
    <w:rsid w:val="6B7B2FE6"/>
    <w:rsid w:val="6D2F00AE"/>
    <w:rsid w:val="6E7F7953"/>
    <w:rsid w:val="6F154A4C"/>
    <w:rsid w:val="70CB089A"/>
    <w:rsid w:val="70F116CB"/>
    <w:rsid w:val="71275730"/>
    <w:rsid w:val="71F72585"/>
    <w:rsid w:val="7331488C"/>
    <w:rsid w:val="73DE2426"/>
    <w:rsid w:val="73F67ACD"/>
    <w:rsid w:val="746C6615"/>
    <w:rsid w:val="75493815"/>
    <w:rsid w:val="758F436B"/>
    <w:rsid w:val="75963CF6"/>
    <w:rsid w:val="78524E73"/>
    <w:rsid w:val="7A2D1EE5"/>
    <w:rsid w:val="7AB4245F"/>
    <w:rsid w:val="7B3A1BF7"/>
    <w:rsid w:val="7D083445"/>
    <w:rsid w:val="7D867CFE"/>
    <w:rsid w:val="7F6A6C1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129E2464"/>
  <w15:docId w15:val="{89913BC1-CB06-4BB3-A08A-721DA0AAAE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Times New Roman" w:hAnsi="Times New Roman"/>
      <w:kern w:val="2"/>
      <w:sz w:val="22"/>
      <w:szCs w:val="22"/>
      <w14:ligatures w14:val="standardContextual"/>
    </w:rPr>
  </w:style>
  <w:style w:type="paragraph" w:styleId="Heading1">
    <w:name w:val="heading 1"/>
    <w:basedOn w:val="Normal"/>
    <w:next w:val="Normal"/>
    <w:link w:val="Heading1Char"/>
    <w:uiPriority w:val="9"/>
    <w:qFormat/>
    <w:pPr>
      <w:keepNext/>
      <w:keepLines/>
      <w:spacing w:before="360" w:after="120"/>
      <w:jc w:val="center"/>
      <w:outlineLvl w:val="0"/>
    </w:pPr>
    <w:rPr>
      <w:rFonts w:eastAsiaTheme="majorEastAsia" w:cstheme="majorBidi"/>
      <w:b/>
      <w:sz w:val="24"/>
      <w:szCs w:val="32"/>
    </w:rPr>
  </w:style>
  <w:style w:type="paragraph" w:styleId="Heading2">
    <w:name w:val="heading 2"/>
    <w:basedOn w:val="Normal"/>
    <w:next w:val="Normal"/>
    <w:link w:val="Heading2Char"/>
    <w:uiPriority w:val="9"/>
    <w:unhideWhenUsed/>
    <w:qFormat/>
    <w:pPr>
      <w:keepNext/>
      <w:keepLines/>
      <w:spacing w:before="280" w:after="240"/>
      <w:outlineLvl w:val="1"/>
    </w:pPr>
    <w:rPr>
      <w:rFonts w:eastAsiaTheme="majorEastAsia" w:cstheme="majorBidi"/>
      <w:b/>
      <w:sz w:val="24"/>
      <w:szCs w:val="26"/>
    </w:rPr>
  </w:style>
  <w:style w:type="paragraph" w:styleId="Heading3">
    <w:name w:val="heading 3"/>
    <w:basedOn w:val="Normal"/>
    <w:next w:val="Normal"/>
    <w:link w:val="Heading3Char"/>
    <w:uiPriority w:val="9"/>
    <w:unhideWhenUsed/>
    <w:qFormat/>
    <w:pPr>
      <w:keepNext/>
      <w:keepLines/>
      <w:spacing w:before="160" w:after="120"/>
      <w:outlineLvl w:val="2"/>
    </w:pPr>
    <w:rPr>
      <w:rFonts w:eastAsiaTheme="majorEastAsia" w:cstheme="majorBidi"/>
      <w:b/>
      <w:sz w:val="24"/>
      <w:szCs w:val="24"/>
    </w:rPr>
  </w:style>
  <w:style w:type="paragraph" w:styleId="Heading4">
    <w:name w:val="heading 4"/>
    <w:basedOn w:val="Normal"/>
    <w:next w:val="Normal"/>
    <w:link w:val="Heading4Char"/>
    <w:uiPriority w:val="9"/>
    <w:unhideWhenUsed/>
    <w:qFormat/>
    <w:pPr>
      <w:keepNext/>
      <w:keepLines/>
      <w:spacing w:before="280" w:after="240"/>
      <w:outlineLvl w:val="3"/>
    </w:pPr>
    <w:rPr>
      <w:rFonts w:eastAsiaTheme="majorEastAsia" w:cstheme="majorBidi"/>
      <w:b/>
      <w:iCs/>
      <w:sz w:val="24"/>
    </w:rPr>
  </w:style>
  <w:style w:type="paragraph" w:styleId="Heading5">
    <w:name w:val="heading 5"/>
    <w:basedOn w:val="Normal"/>
    <w:next w:val="Normal"/>
    <w:link w:val="Heading5Char"/>
    <w:uiPriority w:val="9"/>
    <w:semiHidden/>
    <w:unhideWhenUsed/>
    <w:qFormat/>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asciiTheme="majorHAnsi" w:eastAsiaTheme="majorEastAsia" w:hAnsiTheme="majorHAnsi" w:cstheme="majorBidi"/>
      <w:color w:val="1F3864" w:themeColor="accent1" w:themeShade="80"/>
    </w:rPr>
  </w:style>
  <w:style w:type="paragraph" w:styleId="Heading7">
    <w:name w:val="heading 7"/>
    <w:basedOn w:val="Normal"/>
    <w:next w:val="Normal"/>
    <w:link w:val="Heading7Char"/>
    <w:uiPriority w:val="9"/>
    <w:semiHidden/>
    <w:unhideWhenUsed/>
    <w:qFormat/>
    <w:pPr>
      <w:keepNext/>
      <w:keepLines/>
      <w:spacing w:before="40" w:after="0"/>
      <w:outlineLvl w:val="6"/>
    </w:pPr>
    <w:rPr>
      <w:rFonts w:asciiTheme="majorHAnsi" w:eastAsiaTheme="majorEastAsia" w:hAnsiTheme="majorHAnsi" w:cstheme="majorBidi"/>
      <w:i/>
      <w:iCs/>
      <w:color w:val="1F3864" w:themeColor="accent1" w:themeShade="80"/>
    </w:rPr>
  </w:style>
  <w:style w:type="paragraph" w:styleId="Heading8">
    <w:name w:val="heading 8"/>
    <w:basedOn w:val="Normal"/>
    <w:next w:val="Normal"/>
    <w:link w:val="Heading8Char"/>
    <w:uiPriority w:val="9"/>
    <w:semiHidden/>
    <w:unhideWhenUsed/>
    <w:qFormat/>
    <w:pPr>
      <w:keepNext/>
      <w:keepLines/>
      <w:spacing w:before="40" w:after="0"/>
      <w:outlineLvl w:val="7"/>
    </w:pPr>
    <w:rPr>
      <w:rFonts w:asciiTheme="majorHAnsi" w:eastAsiaTheme="majorEastAsia" w:hAnsiTheme="majorHAnsi" w:cstheme="majorBidi"/>
      <w:color w:val="262626" w:themeColor="text1" w:themeTint="D9"/>
      <w:sz w:val="21"/>
      <w:szCs w:val="21"/>
    </w:rPr>
  </w:style>
  <w:style w:type="paragraph" w:styleId="Heading9">
    <w:name w:val="heading 9"/>
    <w:basedOn w:val="Normal"/>
    <w:next w:val="Normal"/>
    <w:link w:val="Heading9Char"/>
    <w:uiPriority w:val="9"/>
    <w:semiHidden/>
    <w:unhideWhenUsed/>
    <w:qFormat/>
    <w:pPr>
      <w:keepNext/>
      <w:keepLines/>
      <w:spacing w:before="40" w:after="0"/>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pPr>
      <w:spacing w:after="0" w:line="240" w:lineRule="auto"/>
    </w:pPr>
    <w:rPr>
      <w:rFonts w:ascii="Segoe UI" w:hAnsi="Segoe UI" w:cs="Segoe UI"/>
      <w:sz w:val="18"/>
      <w:szCs w:val="18"/>
    </w:rPr>
  </w:style>
  <w:style w:type="paragraph" w:styleId="Caption">
    <w:name w:val="caption"/>
    <w:basedOn w:val="Normal"/>
    <w:next w:val="Normal"/>
    <w:uiPriority w:val="35"/>
    <w:unhideWhenUsed/>
    <w:qFormat/>
    <w:pPr>
      <w:spacing w:before="100" w:beforeAutospacing="1" w:after="200" w:afterAutospacing="1" w:line="240" w:lineRule="auto"/>
      <w:jc w:val="both"/>
    </w:pPr>
    <w:rPr>
      <w:i/>
      <w:iCs/>
      <w:color w:val="44546A" w:themeColor="text2"/>
      <w:sz w:val="18"/>
      <w:szCs w:val="18"/>
    </w:rPr>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unhideWhenUsed/>
    <w:qFormat/>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680"/>
        <w:tab w:val="right" w:pos="9360"/>
      </w:tabs>
      <w:spacing w:after="0" w:line="240" w:lineRule="auto"/>
    </w:pPr>
    <w:rPr>
      <w:rFonts w:ascii="Calibri" w:eastAsia="Times New Roman" w:hAnsi="Calibri" w:cs="Times New Roman"/>
      <w:kern w:val="0"/>
      <w14:ligatures w14:val="none"/>
    </w:r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unhideWhenUsed/>
    <w:qFormat/>
    <w:rPr>
      <w:rFonts w:cs="Times New Roman"/>
      <w:sz w:val="24"/>
      <w:szCs w:val="24"/>
    </w:rPr>
  </w:style>
  <w:style w:type="character" w:styleId="Strong">
    <w:name w:val="Strong"/>
    <w:basedOn w:val="DefaultParagraphFont"/>
    <w:uiPriority w:val="22"/>
    <w:qFormat/>
    <w:rPr>
      <w:b/>
      <w:bCs/>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qFormat/>
    <w:pPr>
      <w:spacing w:after="0"/>
    </w:pPr>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qFormat/>
    <w:pPr>
      <w:tabs>
        <w:tab w:val="right" w:leader="dot" w:pos="9350"/>
      </w:tabs>
      <w:spacing w:after="100"/>
    </w:pPr>
    <w:rPr>
      <w:rFonts w:eastAsia="Times New Roman" w:cs="Times New Roman"/>
      <w:b/>
      <w:bCs/>
      <w:sz w:val="24"/>
      <w:szCs w:val="24"/>
    </w:rPr>
  </w:style>
  <w:style w:type="paragraph" w:styleId="TOC2">
    <w:name w:val="toc 2"/>
    <w:basedOn w:val="Normal"/>
    <w:next w:val="Normal"/>
    <w:autoRedefine/>
    <w:uiPriority w:val="39"/>
    <w:unhideWhenUsed/>
    <w:qFormat/>
    <w:pPr>
      <w:tabs>
        <w:tab w:val="right" w:leader="dot" w:pos="8827"/>
      </w:tabs>
      <w:spacing w:after="100" w:line="480" w:lineRule="auto"/>
      <w:ind w:left="220"/>
    </w:pPr>
  </w:style>
  <w:style w:type="paragraph" w:styleId="TOC3">
    <w:name w:val="toc 3"/>
    <w:basedOn w:val="Normal"/>
    <w:next w:val="Normal"/>
    <w:autoRedefine/>
    <w:uiPriority w:val="39"/>
    <w:unhideWhenUsed/>
    <w:qFormat/>
    <w:pPr>
      <w:spacing w:after="100"/>
      <w:ind w:left="440"/>
    </w:pPr>
  </w:style>
  <w:style w:type="paragraph" w:styleId="TOC4">
    <w:name w:val="toc 4"/>
    <w:basedOn w:val="Normal"/>
    <w:next w:val="Normal"/>
    <w:autoRedefine/>
    <w:uiPriority w:val="39"/>
    <w:unhideWhenUsed/>
    <w:qFormat/>
    <w:pPr>
      <w:spacing w:after="100"/>
      <w:ind w:left="660"/>
    </w:pPr>
    <w:rPr>
      <w:rFonts w:eastAsiaTheme="minorEastAsia"/>
      <w:kern w:val="0"/>
      <w14:ligatures w14:val="none"/>
    </w:rPr>
  </w:style>
  <w:style w:type="paragraph" w:styleId="TOC5">
    <w:name w:val="toc 5"/>
    <w:basedOn w:val="Normal"/>
    <w:next w:val="Normal"/>
    <w:autoRedefine/>
    <w:uiPriority w:val="39"/>
    <w:unhideWhenUsed/>
    <w:qFormat/>
    <w:pPr>
      <w:spacing w:after="100"/>
      <w:ind w:left="880"/>
    </w:pPr>
    <w:rPr>
      <w:rFonts w:eastAsiaTheme="minorEastAsia"/>
      <w:kern w:val="0"/>
      <w14:ligatures w14:val="none"/>
    </w:rPr>
  </w:style>
  <w:style w:type="paragraph" w:styleId="TOC6">
    <w:name w:val="toc 6"/>
    <w:basedOn w:val="Normal"/>
    <w:next w:val="Normal"/>
    <w:autoRedefine/>
    <w:uiPriority w:val="39"/>
    <w:unhideWhenUsed/>
    <w:qFormat/>
    <w:pPr>
      <w:spacing w:after="100"/>
      <w:ind w:left="1100"/>
    </w:pPr>
    <w:rPr>
      <w:rFonts w:eastAsiaTheme="minorEastAsia"/>
      <w:kern w:val="0"/>
      <w14:ligatures w14:val="none"/>
    </w:rPr>
  </w:style>
  <w:style w:type="paragraph" w:styleId="TOC7">
    <w:name w:val="toc 7"/>
    <w:basedOn w:val="Normal"/>
    <w:next w:val="Normal"/>
    <w:autoRedefine/>
    <w:uiPriority w:val="39"/>
    <w:unhideWhenUsed/>
    <w:qFormat/>
    <w:pPr>
      <w:spacing w:after="100"/>
      <w:ind w:left="1320"/>
    </w:pPr>
    <w:rPr>
      <w:rFonts w:eastAsiaTheme="minorEastAsia"/>
      <w:kern w:val="0"/>
      <w14:ligatures w14:val="none"/>
    </w:rPr>
  </w:style>
  <w:style w:type="paragraph" w:styleId="TOC8">
    <w:name w:val="toc 8"/>
    <w:basedOn w:val="Normal"/>
    <w:next w:val="Normal"/>
    <w:autoRedefine/>
    <w:uiPriority w:val="39"/>
    <w:unhideWhenUsed/>
    <w:qFormat/>
    <w:pPr>
      <w:spacing w:after="100"/>
      <w:ind w:left="1540"/>
    </w:pPr>
    <w:rPr>
      <w:rFonts w:eastAsiaTheme="minorEastAsia"/>
      <w:kern w:val="0"/>
      <w14:ligatures w14:val="none"/>
    </w:rPr>
  </w:style>
  <w:style w:type="paragraph" w:styleId="TOC9">
    <w:name w:val="toc 9"/>
    <w:basedOn w:val="Normal"/>
    <w:next w:val="Normal"/>
    <w:autoRedefine/>
    <w:uiPriority w:val="39"/>
    <w:unhideWhenUsed/>
    <w:qFormat/>
    <w:pPr>
      <w:spacing w:after="100"/>
      <w:ind w:left="1760"/>
    </w:pPr>
    <w:rPr>
      <w:rFonts w:eastAsiaTheme="minorEastAsia"/>
      <w:kern w:val="0"/>
      <w14:ligatures w14:val="none"/>
    </w:rPr>
  </w:style>
  <w:style w:type="character" w:styleId="PlaceholderText">
    <w:name w:val="Placeholder Text"/>
    <w:basedOn w:val="DefaultParagraphFont"/>
    <w:uiPriority w:val="99"/>
    <w:semiHidden/>
    <w:qFormat/>
    <w:rPr>
      <w:color w:val="808080"/>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FooterChar">
    <w:name w:val="Footer Char"/>
    <w:basedOn w:val="DefaultParagraphFont"/>
    <w:link w:val="Footer"/>
    <w:uiPriority w:val="99"/>
    <w:qFormat/>
    <w:rPr>
      <w:rFonts w:ascii="Calibri" w:eastAsia="Times New Roman" w:hAnsi="Calibri" w:cs="Times New Roman"/>
      <w:kern w:val="0"/>
      <w14:ligatures w14:val="none"/>
    </w:rPr>
  </w:style>
  <w:style w:type="paragraph" w:customStyle="1" w:styleId="Heading1PHPDOCX">
    <w:name w:val="Heading 1 PHPDOCX"/>
    <w:basedOn w:val="Normal"/>
    <w:next w:val="Normal"/>
    <w:link w:val="Heading1CarPHPDOCX"/>
    <w:uiPriority w:val="9"/>
    <w:qFormat/>
    <w:pPr>
      <w:keepNext/>
      <w:keepLines/>
      <w:spacing w:before="480" w:after="0" w:line="276" w:lineRule="auto"/>
      <w:outlineLvl w:val="0"/>
    </w:pPr>
    <w:rPr>
      <w:rFonts w:ascii="Cambria" w:eastAsia="Times New Roman" w:hAnsi="Cambria" w:cs="Times New Roman"/>
      <w:b/>
      <w:bCs/>
      <w:color w:val="365F91"/>
      <w:kern w:val="0"/>
      <w:sz w:val="28"/>
      <w:szCs w:val="28"/>
      <w14:ligatures w14:val="none"/>
    </w:rPr>
  </w:style>
  <w:style w:type="paragraph" w:customStyle="1" w:styleId="Heading2PHPDOCX">
    <w:name w:val="Heading 2 PHPDOCX"/>
    <w:basedOn w:val="Normal"/>
    <w:next w:val="Normal"/>
    <w:link w:val="Heading2CarPHPDOCX"/>
    <w:uiPriority w:val="9"/>
    <w:unhideWhenUsed/>
    <w:qFormat/>
    <w:pPr>
      <w:keepNext/>
      <w:keepLines/>
      <w:spacing w:before="200" w:after="0" w:line="276" w:lineRule="auto"/>
      <w:outlineLvl w:val="1"/>
    </w:pPr>
    <w:rPr>
      <w:rFonts w:ascii="Cambria" w:eastAsia="Times New Roman" w:hAnsi="Cambria" w:cs="Times New Roman"/>
      <w:b/>
      <w:bCs/>
      <w:color w:val="4F81BD"/>
      <w:kern w:val="0"/>
      <w:sz w:val="26"/>
      <w:szCs w:val="26"/>
      <w14:ligatures w14:val="none"/>
    </w:rPr>
  </w:style>
  <w:style w:type="paragraph" w:customStyle="1" w:styleId="Heading3PHPDOCX">
    <w:name w:val="Heading 3 PHPDOCX"/>
    <w:basedOn w:val="Normal"/>
    <w:next w:val="Normal"/>
    <w:link w:val="Heading3CarPHPDOCX"/>
    <w:uiPriority w:val="9"/>
    <w:unhideWhenUsed/>
    <w:qFormat/>
    <w:pPr>
      <w:keepNext/>
      <w:keepLines/>
      <w:spacing w:before="200" w:after="0" w:line="276" w:lineRule="auto"/>
      <w:outlineLvl w:val="2"/>
    </w:pPr>
    <w:rPr>
      <w:rFonts w:ascii="Cambria" w:eastAsia="Times New Roman" w:hAnsi="Cambria" w:cs="Times New Roman"/>
      <w:b/>
      <w:bCs/>
      <w:color w:val="4F81BD"/>
      <w:kern w:val="0"/>
      <w14:ligatures w14:val="none"/>
    </w:rPr>
  </w:style>
  <w:style w:type="paragraph" w:customStyle="1" w:styleId="Heading4PHPDOCX">
    <w:name w:val="Heading 4 PHPDOCX"/>
    <w:basedOn w:val="Normal"/>
    <w:next w:val="Normal"/>
    <w:link w:val="Heading4CarPHPDOCX"/>
    <w:uiPriority w:val="9"/>
    <w:unhideWhenUsed/>
    <w:qFormat/>
    <w:pPr>
      <w:keepNext/>
      <w:keepLines/>
      <w:spacing w:before="200" w:after="0" w:line="276" w:lineRule="auto"/>
      <w:outlineLvl w:val="3"/>
    </w:pPr>
    <w:rPr>
      <w:rFonts w:ascii="Cambria" w:eastAsia="Times New Roman" w:hAnsi="Cambria" w:cs="Times New Roman"/>
      <w:b/>
      <w:bCs/>
      <w:i/>
      <w:iCs/>
      <w:color w:val="4F81BD"/>
      <w:kern w:val="0"/>
      <w14:ligatures w14:val="none"/>
    </w:rPr>
  </w:style>
  <w:style w:type="paragraph" w:customStyle="1" w:styleId="Heading5PHPDOCX">
    <w:name w:val="Heading 5 PHPDOCX"/>
    <w:basedOn w:val="Normal"/>
    <w:next w:val="Normal"/>
    <w:link w:val="Heading5CarPHPDOCX"/>
    <w:uiPriority w:val="9"/>
    <w:unhideWhenUsed/>
    <w:qFormat/>
    <w:pPr>
      <w:keepNext/>
      <w:keepLines/>
      <w:spacing w:before="200" w:after="0" w:line="276" w:lineRule="auto"/>
      <w:outlineLvl w:val="4"/>
    </w:pPr>
    <w:rPr>
      <w:rFonts w:ascii="Cambria" w:eastAsia="Times New Roman" w:hAnsi="Cambria" w:cs="Times New Roman"/>
      <w:color w:val="243F60"/>
      <w:kern w:val="0"/>
      <w14:ligatures w14:val="none"/>
    </w:rPr>
  </w:style>
  <w:style w:type="paragraph" w:customStyle="1" w:styleId="Heading6PHPDOCX">
    <w:name w:val="Heading 6 PHPDOCX"/>
    <w:basedOn w:val="Normal"/>
    <w:next w:val="Normal"/>
    <w:link w:val="Heading6CarPHPDOCX"/>
    <w:uiPriority w:val="9"/>
    <w:unhideWhenUsed/>
    <w:qFormat/>
    <w:pPr>
      <w:keepNext/>
      <w:keepLines/>
      <w:spacing w:before="200" w:after="0" w:line="276" w:lineRule="auto"/>
      <w:outlineLvl w:val="5"/>
    </w:pPr>
    <w:rPr>
      <w:rFonts w:ascii="Cambria" w:eastAsia="Times New Roman" w:hAnsi="Cambria" w:cs="Times New Roman"/>
      <w:i/>
      <w:iCs/>
      <w:color w:val="243F60"/>
      <w:kern w:val="0"/>
      <w14:ligatures w14:val="none"/>
    </w:rPr>
  </w:style>
  <w:style w:type="paragraph" w:customStyle="1" w:styleId="Heading7PHPDOCX">
    <w:name w:val="Heading 7 PHPDOCX"/>
    <w:basedOn w:val="Normal"/>
    <w:next w:val="Normal"/>
    <w:link w:val="Heading7CarPHPDOCX"/>
    <w:uiPriority w:val="9"/>
    <w:unhideWhenUsed/>
    <w:qFormat/>
    <w:pPr>
      <w:keepNext/>
      <w:keepLines/>
      <w:spacing w:before="200" w:after="0" w:line="276" w:lineRule="auto"/>
      <w:outlineLvl w:val="6"/>
    </w:pPr>
    <w:rPr>
      <w:rFonts w:ascii="Cambria" w:eastAsia="Times New Roman" w:hAnsi="Cambria" w:cs="Times New Roman"/>
      <w:i/>
      <w:iCs/>
      <w:color w:val="404040"/>
      <w:kern w:val="0"/>
      <w14:ligatures w14:val="none"/>
    </w:rPr>
  </w:style>
  <w:style w:type="paragraph" w:customStyle="1" w:styleId="Heading8PHPDOCX">
    <w:name w:val="Heading 8 PHPDOCX"/>
    <w:basedOn w:val="Normal"/>
    <w:next w:val="Normal"/>
    <w:link w:val="Heading8CarPHPDOCX"/>
    <w:uiPriority w:val="9"/>
    <w:semiHidden/>
    <w:unhideWhenUsed/>
    <w:qFormat/>
    <w:pPr>
      <w:keepNext/>
      <w:keepLines/>
      <w:spacing w:before="200" w:after="0" w:line="276" w:lineRule="auto"/>
      <w:outlineLvl w:val="7"/>
    </w:pPr>
    <w:rPr>
      <w:rFonts w:ascii="Cambria" w:eastAsia="Times New Roman" w:hAnsi="Cambria" w:cs="Times New Roman"/>
      <w:color w:val="404040"/>
      <w:kern w:val="0"/>
      <w:sz w:val="20"/>
      <w:szCs w:val="20"/>
      <w14:ligatures w14:val="none"/>
    </w:rPr>
  </w:style>
  <w:style w:type="paragraph" w:customStyle="1" w:styleId="Heading9PHPDOCX">
    <w:name w:val="Heading 9 PHPDOCX"/>
    <w:basedOn w:val="Normal"/>
    <w:next w:val="Normal"/>
    <w:link w:val="Heading9CarPHPDOCX"/>
    <w:uiPriority w:val="9"/>
    <w:semiHidden/>
    <w:unhideWhenUsed/>
    <w:qFormat/>
    <w:pPr>
      <w:keepNext/>
      <w:keepLines/>
      <w:spacing w:before="200" w:after="0" w:line="276" w:lineRule="auto"/>
      <w:outlineLvl w:val="8"/>
    </w:pPr>
    <w:rPr>
      <w:rFonts w:ascii="Cambria" w:eastAsia="Times New Roman" w:hAnsi="Cambria" w:cs="Times New Roman"/>
      <w:i/>
      <w:iCs/>
      <w:color w:val="404040"/>
      <w:kern w:val="0"/>
      <w:sz w:val="20"/>
      <w:szCs w:val="20"/>
      <w14:ligatures w14:val="none"/>
    </w:rPr>
  </w:style>
  <w:style w:type="character" w:customStyle="1" w:styleId="annotationreferencePHPDOCX">
    <w:name w:val="annotation reference PHPDOCX"/>
    <w:basedOn w:val="DefaultParagraphFontPHPDOCX"/>
    <w:uiPriority w:val="99"/>
    <w:semiHidden/>
    <w:unhideWhenUsed/>
    <w:qFormat/>
    <w:rPr>
      <w:sz w:val="16"/>
      <w:szCs w:val="16"/>
    </w:rPr>
  </w:style>
  <w:style w:type="character" w:customStyle="1" w:styleId="DefaultParagraphFontPHPDOCX">
    <w:name w:val="Default Paragraph Font PHPDOCX"/>
    <w:uiPriority w:val="1"/>
    <w:semiHidden/>
    <w:unhideWhenUsed/>
    <w:qFormat/>
  </w:style>
  <w:style w:type="paragraph" w:customStyle="1" w:styleId="annotationtextPHPDOCX">
    <w:name w:val="annotation text PHPDOCX"/>
    <w:basedOn w:val="Normal"/>
    <w:link w:val="CommentTextCharPHPDOCX"/>
    <w:uiPriority w:val="99"/>
    <w:semiHidden/>
    <w:unhideWhenUsed/>
    <w:qFormat/>
    <w:pPr>
      <w:spacing w:after="200" w:line="240" w:lineRule="auto"/>
    </w:pPr>
    <w:rPr>
      <w:kern w:val="0"/>
      <w:sz w:val="20"/>
      <w:szCs w:val="20"/>
      <w14:ligatures w14:val="none"/>
    </w:rPr>
  </w:style>
  <w:style w:type="character" w:customStyle="1" w:styleId="CommentTextCharPHPDOCX">
    <w:name w:val="Comment Text Char PHPDOCX"/>
    <w:basedOn w:val="DefaultParagraphFontPHPDOCX"/>
    <w:link w:val="annotationtextPHPDOCX"/>
    <w:uiPriority w:val="99"/>
    <w:semiHidden/>
    <w:qFormat/>
    <w:rPr>
      <w:kern w:val="0"/>
      <w:sz w:val="20"/>
      <w:szCs w:val="20"/>
      <w14:ligatures w14:val="none"/>
    </w:rPr>
  </w:style>
  <w:style w:type="paragraph" w:customStyle="1" w:styleId="annotationsubjectPHPDOCX">
    <w:name w:val="annotation subject PHPDOCX"/>
    <w:basedOn w:val="annotationtextPHPDOCX"/>
    <w:next w:val="annotationtextPHPDOCX"/>
    <w:link w:val="CommentSubjectCharPHPDOCX"/>
    <w:uiPriority w:val="99"/>
    <w:semiHidden/>
    <w:unhideWhenUsed/>
    <w:qFormat/>
    <w:rPr>
      <w:b/>
      <w:bCs/>
    </w:rPr>
  </w:style>
  <w:style w:type="character" w:customStyle="1" w:styleId="CommentSubjectCharPHPDOCX">
    <w:name w:val="Comment Subject Char PHPDOCX"/>
    <w:basedOn w:val="CommentTextCharPHPDOCX"/>
    <w:link w:val="annotationsubjectPHPDOCX"/>
    <w:uiPriority w:val="99"/>
    <w:semiHidden/>
    <w:qFormat/>
    <w:rPr>
      <w:b/>
      <w:bCs/>
      <w:kern w:val="0"/>
      <w:sz w:val="20"/>
      <w:szCs w:val="20"/>
      <w14:ligatures w14:val="none"/>
    </w:rPr>
  </w:style>
  <w:style w:type="paragraph" w:customStyle="1" w:styleId="BalloonTextPHPDOCX">
    <w:name w:val="Balloon Text PHPDOCX"/>
    <w:basedOn w:val="Normal"/>
    <w:link w:val="BalloonTextCharPHPDOCX"/>
    <w:uiPriority w:val="99"/>
    <w:semiHidden/>
    <w:unhideWhenUsed/>
    <w:qFormat/>
    <w:pPr>
      <w:spacing w:after="0" w:line="240" w:lineRule="auto"/>
    </w:pPr>
    <w:rPr>
      <w:rFonts w:ascii="Tahoma" w:hAnsi="Tahoma" w:cs="Tahoma"/>
      <w:kern w:val="0"/>
      <w:sz w:val="16"/>
      <w:szCs w:val="16"/>
      <w14:ligatures w14:val="none"/>
    </w:rPr>
  </w:style>
  <w:style w:type="character" w:customStyle="1" w:styleId="BalloonTextCharPHPDOCX">
    <w:name w:val="Balloon Text Char PHPDOCX"/>
    <w:basedOn w:val="DefaultParagraphFontPHPDOCX"/>
    <w:link w:val="BalloonTextPHPDOCX"/>
    <w:uiPriority w:val="99"/>
    <w:semiHidden/>
    <w:qFormat/>
    <w:rPr>
      <w:rFonts w:ascii="Tahoma" w:hAnsi="Tahoma" w:cs="Tahoma"/>
      <w:kern w:val="0"/>
      <w:sz w:val="16"/>
      <w:szCs w:val="16"/>
      <w14:ligatures w14:val="none"/>
    </w:rPr>
  </w:style>
  <w:style w:type="paragraph" w:customStyle="1" w:styleId="footnoteTextPHPDOCX">
    <w:name w:val="footnote Text PHPDOCX"/>
    <w:basedOn w:val="Normal"/>
    <w:link w:val="footnotetextCarPHPDOCX"/>
    <w:uiPriority w:val="99"/>
    <w:semiHidden/>
    <w:unhideWhenUsed/>
    <w:qFormat/>
    <w:pPr>
      <w:spacing w:after="0" w:line="240" w:lineRule="auto"/>
    </w:pPr>
    <w:rPr>
      <w:kern w:val="0"/>
      <w:sz w:val="20"/>
      <w:szCs w:val="20"/>
      <w14:ligatures w14:val="none"/>
    </w:rPr>
  </w:style>
  <w:style w:type="character" w:customStyle="1" w:styleId="footnotetextCarPHPDOCX">
    <w:name w:val="footnote text Car PHPDOCX"/>
    <w:basedOn w:val="DefaultParagraphFontPHPDOCX"/>
    <w:link w:val="footnoteTextPHPDOCX"/>
    <w:uiPriority w:val="99"/>
    <w:semiHidden/>
    <w:qFormat/>
    <w:rPr>
      <w:kern w:val="0"/>
      <w:sz w:val="20"/>
      <w:szCs w:val="20"/>
      <w14:ligatures w14:val="none"/>
    </w:rPr>
  </w:style>
  <w:style w:type="character" w:customStyle="1" w:styleId="footnoteReferencePHPDOCX">
    <w:name w:val="footnote Reference PHPDOCX"/>
    <w:basedOn w:val="DefaultParagraphFontPHPDOCX"/>
    <w:uiPriority w:val="99"/>
    <w:semiHidden/>
    <w:unhideWhenUsed/>
    <w:qFormat/>
    <w:rPr>
      <w:vertAlign w:val="superscript"/>
    </w:rPr>
  </w:style>
  <w:style w:type="paragraph" w:customStyle="1" w:styleId="endnoteTextPHPDOCX">
    <w:name w:val="endnote Text PHPDOCX"/>
    <w:basedOn w:val="Normal"/>
    <w:link w:val="endnotetextCarPHPDOCX"/>
    <w:uiPriority w:val="99"/>
    <w:semiHidden/>
    <w:unhideWhenUsed/>
    <w:qFormat/>
    <w:pPr>
      <w:spacing w:after="0" w:line="240" w:lineRule="auto"/>
    </w:pPr>
    <w:rPr>
      <w:kern w:val="0"/>
      <w:sz w:val="20"/>
      <w:szCs w:val="20"/>
      <w14:ligatures w14:val="none"/>
    </w:rPr>
  </w:style>
  <w:style w:type="character" w:customStyle="1" w:styleId="endnotetextCarPHPDOCX">
    <w:name w:val="endnote text Car PHPDOCX"/>
    <w:basedOn w:val="DefaultParagraphFontPHPDOCX"/>
    <w:link w:val="endnoteTextPHPDOCX"/>
    <w:uiPriority w:val="99"/>
    <w:semiHidden/>
    <w:qFormat/>
    <w:rPr>
      <w:kern w:val="0"/>
      <w:sz w:val="20"/>
      <w:szCs w:val="20"/>
      <w14:ligatures w14:val="none"/>
    </w:rPr>
  </w:style>
  <w:style w:type="character" w:customStyle="1" w:styleId="endnoteReferencePHPDOCX">
    <w:name w:val="endnote Reference PHPDOCX"/>
    <w:basedOn w:val="DefaultParagraphFontPHPDOCX"/>
    <w:uiPriority w:val="99"/>
    <w:semiHidden/>
    <w:unhideWhenUsed/>
    <w:qFormat/>
    <w:rPr>
      <w:vertAlign w:val="superscript"/>
    </w:rPr>
  </w:style>
  <w:style w:type="character" w:customStyle="1" w:styleId="Heading1CarPHPDOCX">
    <w:name w:val="Heading 1 Car PHPDOCX"/>
    <w:basedOn w:val="DefaultParagraphFontPHPDOCX"/>
    <w:link w:val="Heading1PHPDOCX"/>
    <w:uiPriority w:val="9"/>
    <w:qFormat/>
    <w:rPr>
      <w:rFonts w:ascii="Cambria" w:eastAsia="Times New Roman" w:hAnsi="Cambria" w:cs="Times New Roman"/>
      <w:b/>
      <w:bCs/>
      <w:color w:val="365F91"/>
      <w:kern w:val="0"/>
      <w:sz w:val="28"/>
      <w:szCs w:val="28"/>
      <w14:ligatures w14:val="none"/>
    </w:rPr>
  </w:style>
  <w:style w:type="character" w:customStyle="1" w:styleId="Heading2CarPHPDOCX">
    <w:name w:val="Heading 2 Car PHPDOCX"/>
    <w:basedOn w:val="DefaultParagraphFontPHPDOCX"/>
    <w:link w:val="Heading2PHPDOCX"/>
    <w:uiPriority w:val="9"/>
    <w:qFormat/>
    <w:rPr>
      <w:rFonts w:ascii="Cambria" w:eastAsia="Times New Roman" w:hAnsi="Cambria" w:cs="Times New Roman"/>
      <w:b/>
      <w:bCs/>
      <w:color w:val="4F81BD"/>
      <w:kern w:val="0"/>
      <w:sz w:val="26"/>
      <w:szCs w:val="26"/>
      <w14:ligatures w14:val="none"/>
    </w:rPr>
  </w:style>
  <w:style w:type="character" w:customStyle="1" w:styleId="Heading3CarPHPDOCX">
    <w:name w:val="Heading 3 Car PHPDOCX"/>
    <w:basedOn w:val="DefaultParagraphFontPHPDOCX"/>
    <w:link w:val="Heading3PHPDOCX"/>
    <w:uiPriority w:val="9"/>
    <w:qFormat/>
    <w:rPr>
      <w:rFonts w:ascii="Cambria" w:eastAsia="Times New Roman" w:hAnsi="Cambria" w:cs="Times New Roman"/>
      <w:b/>
      <w:bCs/>
      <w:color w:val="4F81BD"/>
      <w:kern w:val="0"/>
      <w14:ligatures w14:val="none"/>
    </w:rPr>
  </w:style>
  <w:style w:type="character" w:customStyle="1" w:styleId="Heading4CarPHPDOCX">
    <w:name w:val="Heading 4 Car PHPDOCX"/>
    <w:basedOn w:val="DefaultParagraphFontPHPDOCX"/>
    <w:link w:val="Heading4PHPDOCX"/>
    <w:uiPriority w:val="9"/>
    <w:qFormat/>
    <w:rPr>
      <w:rFonts w:ascii="Cambria" w:eastAsia="Times New Roman" w:hAnsi="Cambria" w:cs="Times New Roman"/>
      <w:b/>
      <w:bCs/>
      <w:i/>
      <w:iCs/>
      <w:color w:val="4F81BD"/>
      <w:kern w:val="0"/>
      <w14:ligatures w14:val="none"/>
    </w:rPr>
  </w:style>
  <w:style w:type="character" w:customStyle="1" w:styleId="Heading5CarPHPDOCX">
    <w:name w:val="Heading 5 Car PHPDOCX"/>
    <w:basedOn w:val="DefaultParagraphFontPHPDOCX"/>
    <w:link w:val="Heading5PHPDOCX"/>
    <w:uiPriority w:val="9"/>
    <w:qFormat/>
    <w:rPr>
      <w:rFonts w:ascii="Cambria" w:eastAsia="Times New Roman" w:hAnsi="Cambria" w:cs="Times New Roman"/>
      <w:color w:val="243F60"/>
      <w:kern w:val="0"/>
      <w14:ligatures w14:val="none"/>
    </w:rPr>
  </w:style>
  <w:style w:type="character" w:customStyle="1" w:styleId="Heading6CarPHPDOCX">
    <w:name w:val="Heading 6 Car PHPDOCX"/>
    <w:basedOn w:val="DefaultParagraphFontPHPDOCX"/>
    <w:link w:val="Heading6PHPDOCX"/>
    <w:uiPriority w:val="9"/>
    <w:qFormat/>
    <w:rPr>
      <w:rFonts w:ascii="Cambria" w:eastAsia="Times New Roman" w:hAnsi="Cambria" w:cs="Times New Roman"/>
      <w:i/>
      <w:iCs/>
      <w:color w:val="243F60"/>
      <w:kern w:val="0"/>
      <w14:ligatures w14:val="none"/>
    </w:rPr>
  </w:style>
  <w:style w:type="character" w:customStyle="1" w:styleId="Heading7CarPHPDOCX">
    <w:name w:val="Heading 7 Car PHPDOCX"/>
    <w:basedOn w:val="DefaultParagraphFontPHPDOCX"/>
    <w:link w:val="Heading7PHPDOCX"/>
    <w:uiPriority w:val="9"/>
    <w:qFormat/>
    <w:rPr>
      <w:rFonts w:ascii="Cambria" w:eastAsia="Times New Roman" w:hAnsi="Cambria" w:cs="Times New Roman"/>
      <w:i/>
      <w:iCs/>
      <w:color w:val="404040"/>
      <w:kern w:val="0"/>
      <w14:ligatures w14:val="none"/>
    </w:rPr>
  </w:style>
  <w:style w:type="paragraph" w:customStyle="1" w:styleId="TitlePHPDOCX">
    <w:name w:val="Title PHPDOCX"/>
    <w:basedOn w:val="Normal"/>
    <w:next w:val="Normal"/>
    <w:link w:val="TitleCarPHPDOCX"/>
    <w:uiPriority w:val="10"/>
    <w:qFormat/>
    <w:pPr>
      <w:pBdr>
        <w:bottom w:val="single" w:sz="8" w:space="4" w:color="4F81BD"/>
      </w:pBdr>
      <w:spacing w:after="300" w:line="240" w:lineRule="auto"/>
      <w:contextualSpacing/>
    </w:pPr>
    <w:rPr>
      <w:rFonts w:ascii="Cambria" w:eastAsia="Times New Roman" w:hAnsi="Cambria" w:cs="Times New Roman"/>
      <w:color w:val="17365D"/>
      <w:spacing w:val="5"/>
      <w:kern w:val="28"/>
      <w:sz w:val="52"/>
      <w:szCs w:val="52"/>
      <w14:ligatures w14:val="none"/>
    </w:rPr>
  </w:style>
  <w:style w:type="character" w:customStyle="1" w:styleId="TitleCarPHPDOCX">
    <w:name w:val="Title Car PHPDOCX"/>
    <w:basedOn w:val="DefaultParagraphFontPHPDOCX"/>
    <w:link w:val="TitlePHPDOCX"/>
    <w:uiPriority w:val="10"/>
    <w:qFormat/>
    <w:rPr>
      <w:rFonts w:ascii="Cambria" w:eastAsia="Times New Roman" w:hAnsi="Cambria" w:cs="Times New Roman"/>
      <w:color w:val="17365D"/>
      <w:spacing w:val="5"/>
      <w:kern w:val="28"/>
      <w:sz w:val="52"/>
      <w:szCs w:val="52"/>
      <w14:ligatures w14:val="none"/>
    </w:rPr>
  </w:style>
  <w:style w:type="paragraph" w:customStyle="1" w:styleId="SubtitlePHPDOCX">
    <w:name w:val="Subtitle PHPDOCX"/>
    <w:basedOn w:val="Normal"/>
    <w:next w:val="Normal"/>
    <w:link w:val="SubtitleCarPHPDOCX"/>
    <w:uiPriority w:val="11"/>
    <w:qFormat/>
    <w:pPr>
      <w:spacing w:after="200" w:line="276" w:lineRule="auto"/>
    </w:pPr>
    <w:rPr>
      <w:rFonts w:ascii="Cambria" w:eastAsia="Times New Roman" w:hAnsi="Cambria" w:cs="Times New Roman"/>
      <w:i/>
      <w:iCs/>
      <w:color w:val="4F81BD"/>
      <w:spacing w:val="15"/>
      <w:kern w:val="0"/>
      <w:sz w:val="24"/>
      <w:szCs w:val="24"/>
      <w14:ligatures w14:val="none"/>
    </w:rPr>
  </w:style>
  <w:style w:type="character" w:customStyle="1" w:styleId="SubtitleCarPHPDOCX">
    <w:name w:val="Subtitle Car PHPDOCX"/>
    <w:basedOn w:val="DefaultParagraphFontPHPDOCX"/>
    <w:link w:val="SubtitlePHPDOCX"/>
    <w:uiPriority w:val="11"/>
    <w:qFormat/>
    <w:rPr>
      <w:rFonts w:ascii="Cambria" w:eastAsia="Times New Roman" w:hAnsi="Cambria" w:cs="Times New Roman"/>
      <w:i/>
      <w:iCs/>
      <w:color w:val="4F81BD"/>
      <w:spacing w:val="15"/>
      <w:kern w:val="0"/>
      <w:sz w:val="24"/>
      <w:szCs w:val="24"/>
      <w14:ligatures w14:val="none"/>
    </w:rPr>
  </w:style>
  <w:style w:type="character" w:customStyle="1" w:styleId="SubtleEmphasisPHPDOCX">
    <w:name w:val="Subtle Emphasis PHPDOCX"/>
    <w:basedOn w:val="DefaultParagraphFontPHPDOCX"/>
    <w:uiPriority w:val="19"/>
    <w:qFormat/>
    <w:rPr>
      <w:i/>
      <w:iCs/>
      <w:color w:val="808080"/>
    </w:rPr>
  </w:style>
  <w:style w:type="character" w:customStyle="1" w:styleId="EmphasisPHPDOCX">
    <w:name w:val="Emphasis PHPDOCX"/>
    <w:basedOn w:val="DefaultParagraphFontPHPDOCX"/>
    <w:uiPriority w:val="20"/>
    <w:qFormat/>
    <w:rPr>
      <w:i/>
      <w:iCs/>
    </w:rPr>
  </w:style>
  <w:style w:type="character" w:customStyle="1" w:styleId="IntenseEmphasisPHPDOCX">
    <w:name w:val="Intense Emphasis PHPDOCX"/>
    <w:basedOn w:val="DefaultParagraphFontPHPDOCX"/>
    <w:uiPriority w:val="21"/>
    <w:qFormat/>
    <w:rPr>
      <w:b/>
      <w:bCs/>
      <w:i/>
      <w:iCs/>
      <w:color w:val="4F81BD"/>
    </w:rPr>
  </w:style>
  <w:style w:type="character" w:customStyle="1" w:styleId="StrongPHPDOCX">
    <w:name w:val="Strong PHPDOCX"/>
    <w:basedOn w:val="DefaultParagraphFontPHPDOCX"/>
    <w:uiPriority w:val="22"/>
    <w:qFormat/>
    <w:rPr>
      <w:b/>
      <w:bCs/>
    </w:rPr>
  </w:style>
  <w:style w:type="paragraph" w:customStyle="1" w:styleId="QuotePHPDOCX">
    <w:name w:val="Quote PHPDOCX"/>
    <w:basedOn w:val="Normal"/>
    <w:next w:val="Normal"/>
    <w:link w:val="QuoteCarPHPDOCX"/>
    <w:uiPriority w:val="29"/>
    <w:qFormat/>
    <w:pPr>
      <w:spacing w:after="200" w:line="276" w:lineRule="auto"/>
    </w:pPr>
    <w:rPr>
      <w:i/>
      <w:iCs/>
      <w:color w:val="000000"/>
      <w:kern w:val="0"/>
      <w14:ligatures w14:val="none"/>
    </w:rPr>
  </w:style>
  <w:style w:type="character" w:customStyle="1" w:styleId="QuoteCarPHPDOCX">
    <w:name w:val="Quote Car PHPDOCX"/>
    <w:basedOn w:val="DefaultParagraphFontPHPDOCX"/>
    <w:link w:val="QuotePHPDOCX"/>
    <w:uiPriority w:val="29"/>
    <w:qFormat/>
    <w:rPr>
      <w:i/>
      <w:iCs/>
      <w:color w:val="000000"/>
      <w:kern w:val="0"/>
      <w14:ligatures w14:val="none"/>
    </w:rPr>
  </w:style>
  <w:style w:type="paragraph" w:customStyle="1" w:styleId="IntenseQuotePHPDOCX">
    <w:name w:val="Intense Quote PHPDOCX"/>
    <w:basedOn w:val="Normal"/>
    <w:next w:val="Normal"/>
    <w:link w:val="IntenseQuoteCarPHPDOCX"/>
    <w:uiPriority w:val="30"/>
    <w:qFormat/>
    <w:pPr>
      <w:pBdr>
        <w:bottom w:val="single" w:sz="4" w:space="4" w:color="4F81BD"/>
      </w:pBdr>
      <w:spacing w:before="200" w:after="280" w:line="276" w:lineRule="auto"/>
      <w:ind w:left="936" w:right="936"/>
    </w:pPr>
    <w:rPr>
      <w:b/>
      <w:bCs/>
      <w:i/>
      <w:iCs/>
      <w:color w:val="4F81BD"/>
      <w:kern w:val="0"/>
      <w14:ligatures w14:val="none"/>
    </w:rPr>
  </w:style>
  <w:style w:type="character" w:customStyle="1" w:styleId="IntenseQuoteCarPHPDOCX">
    <w:name w:val="Intense Quote Car PHPDOCX"/>
    <w:basedOn w:val="DefaultParagraphFontPHPDOCX"/>
    <w:link w:val="IntenseQuotePHPDOCX"/>
    <w:uiPriority w:val="30"/>
    <w:qFormat/>
    <w:rPr>
      <w:b/>
      <w:bCs/>
      <w:i/>
      <w:iCs/>
      <w:color w:val="4F81BD"/>
      <w:kern w:val="0"/>
      <w14:ligatures w14:val="none"/>
    </w:rPr>
  </w:style>
  <w:style w:type="character" w:customStyle="1" w:styleId="SubtleReferencePHPDOCX">
    <w:name w:val="Subtle Reference PHPDOCX"/>
    <w:basedOn w:val="DefaultParagraphFontPHPDOCX"/>
    <w:uiPriority w:val="31"/>
    <w:qFormat/>
    <w:rPr>
      <w:smallCaps/>
      <w:color w:val="C0504D"/>
      <w:u w:val="single"/>
    </w:rPr>
  </w:style>
  <w:style w:type="character" w:customStyle="1" w:styleId="IntenseReferencePHPDOCX">
    <w:name w:val="Intense Reference PHPDOCX"/>
    <w:basedOn w:val="DefaultParagraphFontPHPDOCX"/>
    <w:uiPriority w:val="32"/>
    <w:qFormat/>
    <w:rPr>
      <w:b/>
      <w:bCs/>
      <w:smallCaps/>
      <w:color w:val="C0504D"/>
      <w:spacing w:val="5"/>
      <w:u w:val="single"/>
    </w:rPr>
  </w:style>
  <w:style w:type="character" w:customStyle="1" w:styleId="BookTitlePHPDOCX">
    <w:name w:val="Book Title PHPDOCX"/>
    <w:basedOn w:val="DefaultParagraphFontPHPDOCX"/>
    <w:uiPriority w:val="33"/>
    <w:qFormat/>
    <w:rPr>
      <w:b/>
      <w:bCs/>
      <w:smallCaps/>
      <w:spacing w:val="5"/>
    </w:rPr>
  </w:style>
  <w:style w:type="paragraph" w:customStyle="1" w:styleId="ListParagraphPHPDOCX">
    <w:name w:val="List Paragraph PHPDOCX"/>
    <w:basedOn w:val="Normal"/>
    <w:uiPriority w:val="34"/>
    <w:qFormat/>
    <w:pPr>
      <w:spacing w:after="200" w:line="276" w:lineRule="auto"/>
      <w:ind w:left="720"/>
      <w:contextualSpacing/>
    </w:pPr>
    <w:rPr>
      <w:kern w:val="0"/>
      <w14:ligatures w14:val="none"/>
    </w:rPr>
  </w:style>
  <w:style w:type="paragraph" w:customStyle="1" w:styleId="NoSpacingPHPDOCX">
    <w:name w:val="No Spacing PHPDOCX"/>
    <w:uiPriority w:val="1"/>
    <w:rPr>
      <w:sz w:val="22"/>
      <w:szCs w:val="22"/>
    </w:rPr>
  </w:style>
  <w:style w:type="character" w:customStyle="1" w:styleId="Heading8CarPHPDOCX">
    <w:name w:val="Heading 8 Car PHPDOCX"/>
    <w:basedOn w:val="DefaultParagraphFontPHPDOCX"/>
    <w:link w:val="Heading8PHPDOCX"/>
    <w:uiPriority w:val="9"/>
    <w:semiHidden/>
    <w:rPr>
      <w:rFonts w:ascii="Cambria" w:eastAsia="Times New Roman" w:hAnsi="Cambria" w:cs="Times New Roman"/>
      <w:color w:val="404040"/>
      <w:kern w:val="0"/>
      <w:sz w:val="20"/>
      <w:szCs w:val="20"/>
      <w14:ligatures w14:val="none"/>
    </w:rPr>
  </w:style>
  <w:style w:type="character" w:customStyle="1" w:styleId="Heading9CarPHPDOCX">
    <w:name w:val="Heading 9 Car PHPDOCX"/>
    <w:basedOn w:val="DefaultParagraphFontPHPDOCX"/>
    <w:link w:val="Heading9PHPDOCX"/>
    <w:uiPriority w:val="9"/>
    <w:semiHidden/>
    <w:rPr>
      <w:rFonts w:ascii="Cambria" w:eastAsia="Times New Roman" w:hAnsi="Cambria" w:cs="Times New Roman"/>
      <w:i/>
      <w:iCs/>
      <w:color w:val="404040"/>
      <w:kern w:val="0"/>
      <w:sz w:val="20"/>
      <w:szCs w:val="20"/>
      <w14:ligatures w14:val="none"/>
    </w:rPr>
  </w:style>
  <w:style w:type="table" w:customStyle="1" w:styleId="NormalTablePHPDOCX">
    <w:name w:val="Normal Table PHPDOCX"/>
    <w:uiPriority w:val="99"/>
    <w:semiHidden/>
    <w:unhideWhenUsed/>
    <w:qFormat/>
    <w:pPr>
      <w:spacing w:after="200" w:line="276" w:lineRule="auto"/>
    </w:pPr>
    <w:tblPr>
      <w:tblCellMar>
        <w:top w:w="0" w:type="dxa"/>
        <w:left w:w="108" w:type="dxa"/>
        <w:bottom w:w="0" w:type="dxa"/>
        <w:right w:w="108" w:type="dxa"/>
      </w:tblCellMar>
    </w:tblPr>
  </w:style>
  <w:style w:type="table" w:customStyle="1" w:styleId="PlainTablePHPDOCX">
    <w:name w:val="Plain Table PHPDOCX"/>
    <w:uiPriority w:val="58"/>
    <w:qFormat/>
    <w:tblPr>
      <w:tblCellMar>
        <w:top w:w="0" w:type="dxa"/>
        <w:left w:w="108" w:type="dxa"/>
        <w:bottom w:w="0" w:type="dxa"/>
        <w:right w:w="108" w:type="dxa"/>
      </w:tblCellMar>
    </w:tblPr>
  </w:style>
  <w:style w:type="table" w:customStyle="1" w:styleId="TableGridPHPDOCX">
    <w:name w:val="Table Grid PHPDOCX"/>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LightShadingPHPDOCX">
    <w:name w:val="Light Shading PHPDOCX"/>
    <w:uiPriority w:val="60"/>
    <w:rPr>
      <w:color w:val="000000"/>
      <w:lang w:val="zh-CN" w:eastAsia="en-GB"/>
    </w:rPr>
    <w:tblPr>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PHPDOCX">
    <w:name w:val="Light Shading Accent 1 PHPDOCX"/>
    <w:uiPriority w:val="60"/>
    <w:rPr>
      <w:color w:val="365F91"/>
      <w:lang w:val="zh-CN" w:eastAsia="en-GB"/>
    </w:rPr>
    <w:tblPr>
      <w:tblBorders>
        <w:top w:val="single" w:sz="8" w:space="0" w:color="4F81BD"/>
        <w:bottom w:val="single" w:sz="8" w:space="0" w:color="4F81BD"/>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ShadingAccent2PHPDOCX">
    <w:name w:val="Light Shading Accent 2 PHPDOCX"/>
    <w:uiPriority w:val="60"/>
    <w:rPr>
      <w:color w:val="943634"/>
      <w:lang w:val="zh-CN" w:eastAsia="en-GB"/>
    </w:rPr>
    <w:tblPr>
      <w:tblBorders>
        <w:top w:val="single" w:sz="8" w:space="0" w:color="C0504D"/>
        <w:bottom w:val="single" w:sz="8" w:space="0" w:color="C0504D"/>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ShadingAccent3PHPDOCX">
    <w:name w:val="Light Shading Accent 3 PHPDOCX"/>
    <w:uiPriority w:val="60"/>
    <w:rPr>
      <w:color w:val="76923C"/>
      <w:lang w:val="zh-CN" w:eastAsia="en-GB"/>
    </w:rPr>
    <w:tblPr>
      <w:tblBorders>
        <w:top w:val="single" w:sz="8" w:space="0" w:color="9BBB59"/>
        <w:bottom w:val="single" w:sz="8" w:space="0" w:color="9BBB5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LightShadingAccent4PHPDOCX">
    <w:name w:val="Light Shading Accent 4 PHPDOCX"/>
    <w:uiPriority w:val="60"/>
    <w:rPr>
      <w:color w:val="5F497A"/>
      <w:lang w:val="zh-CN" w:eastAsia="en-GB"/>
    </w:rPr>
    <w:tblPr>
      <w:tblBorders>
        <w:top w:val="single" w:sz="8" w:space="0" w:color="8064A2"/>
        <w:bottom w:val="single" w:sz="8" w:space="0" w:color="8064A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LightShadingAccent5PHPDOCX">
    <w:name w:val="Light Shading Accent 5 PHPDOCX"/>
    <w:uiPriority w:val="60"/>
    <w:qFormat/>
    <w:rPr>
      <w:color w:val="31849B"/>
      <w:lang w:val="zh-CN" w:eastAsia="en-GB"/>
    </w:rPr>
    <w:tblPr>
      <w:tblBorders>
        <w:top w:val="single" w:sz="8" w:space="0" w:color="4BACC6"/>
        <w:bottom w:val="single" w:sz="8" w:space="0" w:color="4BACC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ListPHPDOCX">
    <w:name w:val="Light List PHPDOCX"/>
    <w:uiPriority w:val="61"/>
    <w:rPr>
      <w:lang w:val="zh-CN" w:eastAsia="en-GB"/>
    </w:rPr>
    <w:tblPr>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PHPDOCX">
    <w:name w:val="Light List Accent 1 PHPDOCX"/>
    <w:uiPriority w:val="61"/>
    <w:rPr>
      <w:lang w:val="zh-CN" w:eastAsia="en-GB"/>
    </w:rPr>
    <w:tblPr>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2PHPDOCX">
    <w:name w:val="Light List Accent 2 PHPDOCX"/>
    <w:uiPriority w:val="61"/>
    <w:rPr>
      <w:lang w:val="zh-CN" w:eastAsia="en-GB"/>
    </w:rPr>
    <w:tblPr>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ListAccent3PHPDOCX">
    <w:name w:val="Light List Accent 3 PHPDOCX"/>
    <w:uiPriority w:val="61"/>
    <w:rPr>
      <w:lang w:val="zh-CN" w:eastAsia="en-GB"/>
    </w:rPr>
    <w:tblPr>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ListAccent4PHPDOCX">
    <w:name w:val="Light List Accent 4 PHPDOCX"/>
    <w:uiPriority w:val="61"/>
    <w:rPr>
      <w:lang w:val="zh-CN" w:eastAsia="en-GB"/>
    </w:rPr>
    <w:tblPr>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LightListAccent5PHPDOCX">
    <w:name w:val="Light List Accent 5 PHPDOCX"/>
    <w:uiPriority w:val="61"/>
    <w:rPr>
      <w:lang w:val="zh-CN" w:eastAsia="en-GB"/>
    </w:rPr>
    <w:tblPr>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ListAccent6PHPDOCX">
    <w:name w:val="Light List Accent 6 PHPDOCX"/>
    <w:uiPriority w:val="61"/>
    <w:rPr>
      <w:lang w:val="zh-CN" w:eastAsia="en-GB"/>
    </w:rPr>
    <w:tblPr>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GridPHPDOCX">
    <w:name w:val="Light Grid PHPDOCX"/>
    <w:uiPriority w:val="62"/>
    <w:rPr>
      <w:lang w:val="zh-CN" w:eastAsia="en-GB"/>
    </w:rPr>
    <w:tblP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Cambria" w:eastAsia="Times New Roman" w:hAnsi="Cambria"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auto"/>
        </w:tcBorders>
      </w:tcPr>
    </w:tblStylePr>
    <w:tblStylePr w:type="lastRow">
      <w:pPr>
        <w:spacing w:before="0" w:after="0" w:line="240" w:lineRule="auto"/>
      </w:pPr>
      <w:rPr>
        <w:rFonts w:ascii="Cambria" w:eastAsia="Times New Roman" w:hAnsi="Cambria"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auto"/>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auto"/>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auto"/>
        </w:tcBorders>
      </w:tcPr>
    </w:tblStylePr>
  </w:style>
  <w:style w:type="table" w:customStyle="1" w:styleId="LightGrid1PHPDOCX">
    <w:name w:val="Light Grid 1 PHPDOCX"/>
    <w:uiPriority w:val="62"/>
    <w:rPr>
      <w:lang w:val="zh-CN" w:eastAsia="en-GB"/>
    </w:rPr>
    <w:tblP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blStylePr w:type="firstRow">
      <w:pPr>
        <w:spacing w:before="0" w:after="0" w:line="240" w:lineRule="auto"/>
      </w:pPr>
      <w:rPr>
        <w:rFonts w:ascii="Cambria" w:eastAsia="Times New Roman" w:hAnsi="Cambri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auto"/>
        </w:tcBorders>
      </w:tcPr>
    </w:tblStylePr>
    <w:tblStylePr w:type="lastRow">
      <w:pPr>
        <w:spacing w:before="0" w:after="0" w:line="240" w:lineRule="auto"/>
      </w:pPr>
      <w:rPr>
        <w:rFonts w:ascii="Cambria" w:eastAsia="Times New Roman" w:hAnsi="Cambri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auto"/>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auto"/>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auto"/>
        </w:tcBorders>
      </w:tcPr>
    </w:tblStylePr>
  </w:style>
  <w:style w:type="table" w:customStyle="1" w:styleId="LightGrid2PHPDOCX">
    <w:name w:val="Light Grid 2 PHPDOCX"/>
    <w:uiPriority w:val="62"/>
    <w:rPr>
      <w:lang w:val="zh-CN" w:eastAsia="en-GB"/>
    </w:rPr>
    <w:tblPr>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blStylePr w:type="firstRow">
      <w:pPr>
        <w:spacing w:before="0" w:after="0" w:line="240" w:lineRule="auto"/>
      </w:pPr>
      <w:rPr>
        <w:rFonts w:ascii="Cambria" w:eastAsia="Times New Roman" w:hAnsi="Cambria"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auto"/>
        </w:tcBorders>
      </w:tcPr>
    </w:tblStylePr>
    <w:tblStylePr w:type="lastRow">
      <w:pPr>
        <w:spacing w:before="0" w:after="0" w:line="240" w:lineRule="auto"/>
      </w:pPr>
      <w:rPr>
        <w:rFonts w:ascii="Cambria" w:eastAsia="Times New Roman" w:hAnsi="Cambria"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auto"/>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auto"/>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auto"/>
        </w:tcBorders>
      </w:tcPr>
    </w:tblStylePr>
  </w:style>
  <w:style w:type="table" w:customStyle="1" w:styleId="LightGrid3PHPDOCX">
    <w:name w:val="Light Grid 3 PHPDOCX"/>
    <w:uiPriority w:val="62"/>
    <w:rPr>
      <w:lang w:val="zh-CN" w:eastAsia="en-GB"/>
    </w:rPr>
    <w:tblPr>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blStylePr w:type="firstRow">
      <w:pPr>
        <w:spacing w:before="0" w:after="0" w:line="240" w:lineRule="auto"/>
      </w:pPr>
      <w:rPr>
        <w:rFonts w:ascii="Cambria" w:eastAsia="Times New Roman" w:hAnsi="Cambria"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auto"/>
        </w:tcBorders>
      </w:tcPr>
    </w:tblStylePr>
    <w:tblStylePr w:type="lastRow">
      <w:pPr>
        <w:spacing w:before="0" w:after="0" w:line="240" w:lineRule="auto"/>
      </w:pPr>
      <w:rPr>
        <w:rFonts w:ascii="Cambria" w:eastAsia="Times New Roman" w:hAnsi="Cambria"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auto"/>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auto"/>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auto"/>
        </w:tcBorders>
      </w:tcPr>
    </w:tblStylePr>
  </w:style>
  <w:style w:type="table" w:customStyle="1" w:styleId="LightGrid4PHPDOCX">
    <w:name w:val="Light Grid 4 PHPDOCX"/>
    <w:uiPriority w:val="62"/>
    <w:rPr>
      <w:lang w:val="zh-CN" w:eastAsia="en-GB"/>
    </w:rPr>
    <w:tblPr>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blStylePr w:type="firstRow">
      <w:pPr>
        <w:spacing w:before="0" w:after="0" w:line="240" w:lineRule="auto"/>
      </w:pPr>
      <w:rPr>
        <w:rFonts w:ascii="Cambria" w:eastAsia="Times New Roman" w:hAnsi="Cambria"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auto"/>
        </w:tcBorders>
      </w:tcPr>
    </w:tblStylePr>
    <w:tblStylePr w:type="lastRow">
      <w:pPr>
        <w:spacing w:before="0" w:after="0" w:line="240" w:lineRule="auto"/>
      </w:pPr>
      <w:rPr>
        <w:rFonts w:ascii="Cambria" w:eastAsia="Times New Roman" w:hAnsi="Cambria"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auto"/>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auto"/>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auto"/>
        </w:tcBorders>
      </w:tcPr>
    </w:tblStylePr>
  </w:style>
  <w:style w:type="table" w:customStyle="1" w:styleId="LightGrid5PHPDOCX">
    <w:name w:val="Light Grid 5 PHPDOCX"/>
    <w:uiPriority w:val="62"/>
    <w:rPr>
      <w:lang w:val="zh-CN" w:eastAsia="en-GB"/>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blStylePr w:type="firstRow">
      <w:pPr>
        <w:spacing w:before="0" w:after="0" w:line="240" w:lineRule="auto"/>
      </w:pPr>
      <w:rPr>
        <w:rFonts w:ascii="Cambria" w:eastAsia="Times New Roman" w:hAnsi="Cambri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auto"/>
        </w:tcBorders>
      </w:tcPr>
    </w:tblStylePr>
    <w:tblStylePr w:type="lastRow">
      <w:pPr>
        <w:spacing w:before="0" w:after="0" w:line="240" w:lineRule="auto"/>
      </w:pPr>
      <w:rPr>
        <w:rFonts w:ascii="Cambria" w:eastAsia="Times New Roman" w:hAnsi="Cambri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auto"/>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auto"/>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auto"/>
        </w:tcBorders>
      </w:tcPr>
    </w:tblStylePr>
  </w:style>
  <w:style w:type="table" w:customStyle="1" w:styleId="LightGrid6PHPDOCX">
    <w:name w:val="Light Grid 6 PHPDOCX"/>
    <w:uiPriority w:val="62"/>
    <w:rPr>
      <w:lang w:val="zh-CN" w:eastAsia="en-GB"/>
    </w:rPr>
    <w:tblPr>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blStylePr w:type="firstRow">
      <w:pPr>
        <w:spacing w:before="0" w:after="0" w:line="240" w:lineRule="auto"/>
      </w:pPr>
      <w:rPr>
        <w:rFonts w:ascii="Cambria" w:eastAsia="Times New Roman" w:hAnsi="Cambria"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auto"/>
        </w:tcBorders>
      </w:tcPr>
    </w:tblStylePr>
    <w:tblStylePr w:type="lastRow">
      <w:pPr>
        <w:spacing w:before="0" w:after="0" w:line="240" w:lineRule="auto"/>
      </w:pPr>
      <w:rPr>
        <w:rFonts w:ascii="Cambria" w:eastAsia="Times New Roman" w:hAnsi="Cambria"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auto"/>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auto"/>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auto"/>
        </w:tcBorders>
      </w:tcPr>
    </w:tblStylePr>
  </w:style>
  <w:style w:type="table" w:customStyle="1" w:styleId="MediumShading1PHPDOCX">
    <w:name w:val="Medium Shading 1 PHPDOCX"/>
    <w:uiPriority w:val="63"/>
    <w:rPr>
      <w:lang w:val="zh-CN" w:eastAsia="en-GB"/>
    </w:rPr>
    <w:tblPr>
      <w:tblBorders>
        <w:top w:val="single" w:sz="8" w:space="0" w:color="404040"/>
        <w:left w:val="single" w:sz="8" w:space="0" w:color="404040"/>
        <w:bottom w:val="single" w:sz="8" w:space="0" w:color="404040"/>
        <w:right w:val="single" w:sz="8" w:space="0" w:color="404040"/>
        <w:insideH w:val="single" w:sz="8" w:space="0" w:color="40404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MediumShading1Accent1PHPDOCX">
    <w:name w:val="Medium Shading 1 Accent 1 PHPDOCX"/>
    <w:uiPriority w:val="63"/>
    <w:rPr>
      <w:lang w:val="zh-CN" w:eastAsia="en-GB"/>
    </w:rPr>
    <w:tblPr>
      <w:tblBorders>
        <w:top w:val="single" w:sz="8" w:space="0" w:color="7BA0CD"/>
        <w:left w:val="single" w:sz="8" w:space="0" w:color="7BA0CD"/>
        <w:bottom w:val="single" w:sz="8" w:space="0" w:color="7BA0CD"/>
        <w:right w:val="single" w:sz="8" w:space="0" w:color="7BA0CD"/>
        <w:insideH w:val="single" w:sz="8" w:space="0" w:color="7BA0CD"/>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Shading1Accent2PHPDOCX">
    <w:name w:val="Medium Shading 1 Accent 2 PHPDOCX"/>
    <w:uiPriority w:val="63"/>
    <w:rPr>
      <w:lang w:val="zh-CN" w:eastAsia="en-GB"/>
    </w:rPr>
    <w:tblPr>
      <w:tblBorders>
        <w:top w:val="single" w:sz="8" w:space="0" w:color="CF7B79"/>
        <w:left w:val="single" w:sz="8" w:space="0" w:color="CF7B79"/>
        <w:bottom w:val="single" w:sz="8" w:space="0" w:color="CF7B79"/>
        <w:right w:val="single" w:sz="8" w:space="0" w:color="CF7B79"/>
        <w:insideH w:val="single" w:sz="8" w:space="0" w:color="CF7B7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MediumShading1Accent3PHPDOCX">
    <w:name w:val="Medium Shading 1 Accent 3 PHPDOCX"/>
    <w:uiPriority w:val="63"/>
    <w:rPr>
      <w:lang w:val="zh-CN" w:eastAsia="en-GB"/>
    </w:rPr>
    <w:tblPr>
      <w:tblBorders>
        <w:top w:val="single" w:sz="8" w:space="0" w:color="B3CC82"/>
        <w:left w:val="single" w:sz="8" w:space="0" w:color="B3CC82"/>
        <w:bottom w:val="single" w:sz="8" w:space="0" w:color="B3CC82"/>
        <w:right w:val="single" w:sz="8" w:space="0" w:color="B3CC82"/>
        <w:insideH w:val="single" w:sz="8" w:space="0" w:color="B3CC82"/>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MediumShading1Accent4PHPDOCX">
    <w:name w:val="Medium Shading 1 Accent 4 PHPDOCX"/>
    <w:uiPriority w:val="63"/>
    <w:rPr>
      <w:lang w:val="zh-CN" w:eastAsia="en-GB"/>
    </w:rPr>
    <w:tblPr>
      <w:tblBorders>
        <w:top w:val="single" w:sz="8" w:space="0" w:color="9F8AB9"/>
        <w:left w:val="single" w:sz="8" w:space="0" w:color="9F8AB9"/>
        <w:bottom w:val="single" w:sz="8" w:space="0" w:color="9F8AB9"/>
        <w:right w:val="single" w:sz="8" w:space="0" w:color="9F8AB9"/>
        <w:insideH w:val="single" w:sz="8" w:space="0" w:color="9F8AB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1Accent5PHPDOCX">
    <w:name w:val="Medium Shading 1 Accent 5 PHPDOCX"/>
    <w:uiPriority w:val="63"/>
    <w:rPr>
      <w:lang w:val="zh-CN" w:eastAsia="en-GB"/>
    </w:rPr>
    <w:tblPr>
      <w:tblBorders>
        <w:top w:val="single" w:sz="8" w:space="0" w:color="78C0D4"/>
        <w:left w:val="single" w:sz="8" w:space="0" w:color="78C0D4"/>
        <w:bottom w:val="single" w:sz="8" w:space="0" w:color="78C0D4"/>
        <w:right w:val="single" w:sz="8" w:space="0" w:color="78C0D4"/>
        <w:insideH w:val="single" w:sz="8" w:space="0" w:color="78C0D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MediumShading1Accent6PHPDOCX">
    <w:name w:val="Medium Shading 1 Accent 6 PHPDOCX"/>
    <w:uiPriority w:val="63"/>
    <w:rPr>
      <w:lang w:val="zh-CN" w:eastAsia="en-GB"/>
    </w:rPr>
    <w:tblPr>
      <w:tblBorders>
        <w:top w:val="single" w:sz="8" w:space="0" w:color="F9B074"/>
        <w:left w:val="single" w:sz="8" w:space="0" w:color="F9B074"/>
        <w:bottom w:val="single" w:sz="8" w:space="0" w:color="F9B074"/>
        <w:right w:val="single" w:sz="8" w:space="0" w:color="F9B074"/>
        <w:insideH w:val="single" w:sz="8" w:space="0" w:color="F9B07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2PHPDOCX">
    <w:name w:val="Medium Shading 2 PHPDOCX"/>
    <w:uiPriority w:val="64"/>
    <w:rPr>
      <w:lang w:val="zh-CN" w:eastAsia="en-GB"/>
    </w:rPr>
    <w:tblPr>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1PHPDOCX">
    <w:name w:val="Medium Shading 2 Accent 1 PHPDOCX"/>
    <w:uiPriority w:val="64"/>
    <w:rPr>
      <w:lang w:val="zh-CN" w:eastAsia="en-GB"/>
    </w:rPr>
    <w:tblPr>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2PHPDOCX">
    <w:name w:val="Medium Shading 2 Accent 2 PHPDOCX"/>
    <w:uiPriority w:val="64"/>
    <w:rPr>
      <w:lang w:val="zh-CN" w:eastAsia="en-GB"/>
    </w:rPr>
    <w:tblPr>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3PHPDOCX">
    <w:name w:val="Medium Shading 2 Accent 3 PHPDOCX"/>
    <w:uiPriority w:val="64"/>
    <w:rPr>
      <w:lang w:val="zh-CN" w:eastAsia="en-GB"/>
    </w:rPr>
    <w:tblPr>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4PHPDOCX">
    <w:name w:val="Medium Shading 2 Accent 4 PHPDOCX"/>
    <w:uiPriority w:val="64"/>
    <w:rPr>
      <w:lang w:val="zh-CN" w:eastAsia="en-GB"/>
    </w:rPr>
    <w:tblPr>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5PHPDOCX">
    <w:name w:val="Medium Shading 2 Accent 5 PHPDOCX"/>
    <w:uiPriority w:val="64"/>
    <w:rPr>
      <w:lang w:val="zh-CN" w:eastAsia="en-GB"/>
    </w:rPr>
    <w:tblPr>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6PHPDOCX">
    <w:name w:val="Medium Shading 2 Accent 6 PHPDOCX"/>
    <w:uiPriority w:val="64"/>
    <w:rPr>
      <w:lang w:val="zh-CN" w:eastAsia="en-GB"/>
    </w:rPr>
    <w:tblPr>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List1PHPDOCX">
    <w:name w:val="Medium List 1 PHPDOCX"/>
    <w:uiPriority w:val="65"/>
    <w:rPr>
      <w:color w:val="000000"/>
      <w:lang w:val="zh-CN" w:eastAsia="en-GB"/>
    </w:rPr>
    <w:tblPr>
      <w:tblBorders>
        <w:top w:val="single" w:sz="8" w:space="0" w:color="000000"/>
        <w:bottom w:val="single" w:sz="8" w:space="0" w:color="000000"/>
      </w:tblBorders>
      <w:tblCellMar>
        <w:top w:w="0" w:type="dxa"/>
        <w:left w:w="108" w:type="dxa"/>
        <w:bottom w:w="0" w:type="dxa"/>
        <w:right w:w="108" w:type="dxa"/>
      </w:tblCellMar>
    </w:tblPr>
    <w:tblStylePr w:type="firstRow">
      <w:rPr>
        <w:rFonts w:ascii="Cambria" w:eastAsia="Times New Roman" w:hAnsi="Cambria"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MediumList1Accent1PHPDOCX">
    <w:name w:val="Medium List 1 Accent 1 PHPDOCX"/>
    <w:uiPriority w:val="65"/>
    <w:rPr>
      <w:color w:val="000000"/>
      <w:lang w:val="zh-CN" w:eastAsia="en-GB"/>
    </w:rPr>
    <w:tblPr>
      <w:tblBorders>
        <w:top w:val="single" w:sz="8" w:space="0" w:color="4F81BD"/>
        <w:bottom w:val="single" w:sz="8" w:space="0" w:color="4F81BD"/>
      </w:tblBorders>
      <w:tblCellMar>
        <w:top w:w="0" w:type="dxa"/>
        <w:left w:w="108" w:type="dxa"/>
        <w:bottom w:w="0" w:type="dxa"/>
        <w:right w:w="108" w:type="dxa"/>
      </w:tblCellMar>
    </w:tblPr>
    <w:tblStylePr w:type="firstRow">
      <w:rPr>
        <w:rFonts w:ascii="Cambria" w:eastAsia="Times New Roman" w:hAnsi="Cambria"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MediumList1Accent2PHPDOCX">
    <w:name w:val="Medium List 1 Accent 2 PHPDOCX"/>
    <w:uiPriority w:val="65"/>
    <w:rPr>
      <w:color w:val="000000"/>
      <w:lang w:val="zh-CN" w:eastAsia="en-GB"/>
    </w:rPr>
    <w:tblPr>
      <w:tblBorders>
        <w:top w:val="single" w:sz="8" w:space="0" w:color="C0504D"/>
        <w:bottom w:val="single" w:sz="8" w:space="0" w:color="C0504D"/>
      </w:tblBorders>
      <w:tblCellMar>
        <w:top w:w="0" w:type="dxa"/>
        <w:left w:w="108" w:type="dxa"/>
        <w:bottom w:w="0" w:type="dxa"/>
        <w:right w:w="108" w:type="dxa"/>
      </w:tblCellMar>
    </w:tblPr>
    <w:tblStylePr w:type="firstRow">
      <w:rPr>
        <w:rFonts w:ascii="Cambria" w:eastAsia="Times New Roman" w:hAnsi="Cambria"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MediumList1Accent3PHPDOCX">
    <w:name w:val="Medium List 1 Accent 3 PHPDOCX"/>
    <w:uiPriority w:val="65"/>
    <w:rPr>
      <w:color w:val="000000"/>
      <w:lang w:val="zh-CN" w:eastAsia="en-GB"/>
    </w:rPr>
    <w:tblPr>
      <w:tblBorders>
        <w:top w:val="single" w:sz="8" w:space="0" w:color="9BBB59"/>
        <w:bottom w:val="single" w:sz="8" w:space="0" w:color="9BBB59"/>
      </w:tblBorders>
      <w:tblCellMar>
        <w:top w:w="0" w:type="dxa"/>
        <w:left w:w="108" w:type="dxa"/>
        <w:bottom w:w="0" w:type="dxa"/>
        <w:right w:w="108" w:type="dxa"/>
      </w:tblCellMar>
    </w:tblPr>
    <w:tblStylePr w:type="firstRow">
      <w:rPr>
        <w:rFonts w:ascii="Cambria" w:eastAsia="Times New Roman" w:hAnsi="Cambria"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MediumList1Accent4PHPDOCX">
    <w:name w:val="Medium List 1 Accent 4 PHPDOCX"/>
    <w:uiPriority w:val="65"/>
    <w:rPr>
      <w:color w:val="000000"/>
      <w:lang w:val="zh-CN" w:eastAsia="en-GB"/>
    </w:rPr>
    <w:tblPr>
      <w:tblBorders>
        <w:top w:val="single" w:sz="8" w:space="0" w:color="8064A2"/>
        <w:bottom w:val="single" w:sz="8" w:space="0" w:color="8064A2"/>
      </w:tblBorders>
      <w:tblCellMar>
        <w:top w:w="0" w:type="dxa"/>
        <w:left w:w="108" w:type="dxa"/>
        <w:bottom w:w="0" w:type="dxa"/>
        <w:right w:w="108" w:type="dxa"/>
      </w:tblCellMar>
    </w:tblPr>
    <w:tblStylePr w:type="firstRow">
      <w:rPr>
        <w:rFonts w:ascii="Cambria" w:eastAsia="Times New Roman" w:hAnsi="Cambria"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MediumList1Accent5PHPDOCX">
    <w:name w:val="Medium List 1 Accent 5 PHPDOCX"/>
    <w:uiPriority w:val="65"/>
    <w:qFormat/>
    <w:rPr>
      <w:color w:val="000000"/>
      <w:lang w:val="zh-CN" w:eastAsia="en-GB"/>
    </w:rPr>
    <w:tblPr>
      <w:tblBorders>
        <w:top w:val="single" w:sz="8" w:space="0" w:color="4BACC6"/>
        <w:bottom w:val="single" w:sz="8" w:space="0" w:color="4BACC6"/>
      </w:tblBorders>
      <w:tblCellMar>
        <w:top w:w="0" w:type="dxa"/>
        <w:left w:w="108" w:type="dxa"/>
        <w:bottom w:w="0" w:type="dxa"/>
        <w:right w:w="108" w:type="dxa"/>
      </w:tblCellMar>
    </w:tblPr>
    <w:tblStylePr w:type="firstRow">
      <w:rPr>
        <w:rFonts w:ascii="Cambria" w:eastAsia="Times New Roman" w:hAnsi="Cambria"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MediumList1Accent6PHPDOCX">
    <w:name w:val="Medium List 1 Accent 6 PHPDOCX"/>
    <w:uiPriority w:val="65"/>
    <w:rPr>
      <w:color w:val="000000"/>
      <w:lang w:val="zh-CN" w:eastAsia="en-GB"/>
    </w:rPr>
    <w:tblPr>
      <w:tblBorders>
        <w:top w:val="single" w:sz="8" w:space="0" w:color="F79646"/>
        <w:bottom w:val="single" w:sz="8" w:space="0" w:color="F79646"/>
      </w:tblBorders>
      <w:tblCellMar>
        <w:top w:w="0" w:type="dxa"/>
        <w:left w:w="108" w:type="dxa"/>
        <w:bottom w:w="0" w:type="dxa"/>
        <w:right w:w="108" w:type="dxa"/>
      </w:tblCellMar>
    </w:tblPr>
    <w:tblStylePr w:type="firstRow">
      <w:rPr>
        <w:rFonts w:ascii="Cambria" w:eastAsia="Times New Roman" w:hAnsi="Cambria"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MediumList2PHPDOCX">
    <w:name w:val="Medium List 2 PHPDOCX"/>
    <w:uiPriority w:val="66"/>
    <w:rPr>
      <w:rFonts w:ascii="Cambria" w:eastAsia="Times New Roman" w:hAnsi="Cambria" w:cs="Times New Roman"/>
      <w:color w:val="000000"/>
      <w:lang w:val="zh-CN" w:eastAsia="en-GB"/>
    </w:rPr>
    <w:tblPr>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MediumList2Accent1PHPDOCX">
    <w:name w:val="Medium List 2 Accent 1 PHPDOCX"/>
    <w:uiPriority w:val="66"/>
    <w:rPr>
      <w:rFonts w:ascii="Cambria" w:eastAsia="Times New Roman" w:hAnsi="Cambria" w:cs="Times New Roman"/>
      <w:color w:val="000000"/>
      <w:lang w:val="zh-CN" w:eastAsia="en-GB"/>
    </w:rPr>
    <w:tblPr>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MediumList2Accent2PHPDOCX">
    <w:name w:val="Medium List 2 Accent 2 PHPDOCX"/>
    <w:uiPriority w:val="66"/>
    <w:rPr>
      <w:rFonts w:ascii="Cambria" w:eastAsia="Times New Roman" w:hAnsi="Cambria" w:cs="Times New Roman"/>
      <w:color w:val="000000"/>
      <w:lang w:val="zh-CN" w:eastAsia="en-GB"/>
    </w:rPr>
    <w:tblPr>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MediumList2Accent3PHPDOCX">
    <w:name w:val="Medium List 2 Accent 3 PHPDOCX"/>
    <w:uiPriority w:val="66"/>
    <w:rPr>
      <w:rFonts w:ascii="Cambria" w:eastAsia="Times New Roman" w:hAnsi="Cambria" w:cs="Times New Roman"/>
      <w:color w:val="000000"/>
      <w:lang w:val="zh-CN" w:eastAsia="en-GB"/>
    </w:rPr>
    <w:tblPr>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MediumList2Accent4PHPDOCX">
    <w:name w:val="Medium List 2 Accent 4 PHPDOCX"/>
    <w:uiPriority w:val="66"/>
    <w:rPr>
      <w:rFonts w:ascii="Cambria" w:eastAsia="Times New Roman" w:hAnsi="Cambria" w:cs="Times New Roman"/>
      <w:color w:val="000000"/>
      <w:lang w:val="zh-CN" w:eastAsia="en-GB"/>
    </w:rPr>
    <w:tblPr>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MediumList2Accent5PHPDOCX">
    <w:name w:val="Medium List 2 Accent 5 PHPDOCX"/>
    <w:uiPriority w:val="66"/>
    <w:rPr>
      <w:rFonts w:ascii="Cambria" w:eastAsia="Times New Roman" w:hAnsi="Cambria" w:cs="Times New Roman"/>
      <w:color w:val="000000"/>
      <w:lang w:val="zh-CN" w:eastAsia="en-GB"/>
    </w:rPr>
    <w:tblPr>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MediumList2Accent6PHPDOCX">
    <w:name w:val="Medium List 2 Accent 6 PHPDOCX"/>
    <w:uiPriority w:val="66"/>
    <w:rPr>
      <w:rFonts w:ascii="Cambria" w:eastAsia="Times New Roman" w:hAnsi="Cambria" w:cs="Times New Roman"/>
      <w:color w:val="000000"/>
      <w:lang w:val="zh-CN" w:eastAsia="en-GB"/>
    </w:rPr>
    <w:tblPr>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MediumGrid1PHPDOCX">
    <w:name w:val="Medium Grid 1 PHPDOCX"/>
    <w:uiPriority w:val="67"/>
    <w:rPr>
      <w:lang w:val="zh-CN" w:eastAsia="en-GB"/>
    </w:rPr>
    <w:tblPr>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MediumGrid1Accent1PHPDOCX">
    <w:name w:val="Medium Grid 1 Accent 1 PHPDOCX"/>
    <w:uiPriority w:val="67"/>
    <w:rPr>
      <w:lang w:val="zh-CN" w:eastAsia="en-GB"/>
    </w:rPr>
    <w:tblPr>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CellMar>
        <w:top w:w="0" w:type="dxa"/>
        <w:left w:w="108" w:type="dxa"/>
        <w:bottom w:w="0" w:type="dxa"/>
        <w:right w:w="108" w:type="dxa"/>
      </w:tblCellMar>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MediumGrid1Accent2PHPDOCX">
    <w:name w:val="Medium Grid 1 Accent 2 PHPDOCX"/>
    <w:uiPriority w:val="67"/>
    <w:rPr>
      <w:lang w:val="zh-CN" w:eastAsia="en-GB"/>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MediumGrid1Accent3PHPDOCX">
    <w:name w:val="Medium Grid 1 Accent 3 PHPDOCX"/>
    <w:uiPriority w:val="67"/>
    <w:rPr>
      <w:lang w:val="zh-CN" w:eastAsia="en-GB"/>
    </w:rPr>
    <w:tblPr>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MediumGrid1Accent4PHPDOCX">
    <w:name w:val="Medium Grid 1 Accent 4 PHPDOCX"/>
    <w:uiPriority w:val="67"/>
    <w:rPr>
      <w:lang w:val="zh-CN" w:eastAsia="en-GB"/>
    </w:rPr>
    <w:tblPr>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CellMar>
        <w:top w:w="0" w:type="dxa"/>
        <w:left w:w="108" w:type="dxa"/>
        <w:bottom w:w="0" w:type="dxa"/>
        <w:right w:w="108" w:type="dxa"/>
      </w:tblCellMar>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MediumGrid1Accent5PHPDOCX">
    <w:name w:val="Medium Grid 1 Accent 5 PHPDOCX"/>
    <w:uiPriority w:val="67"/>
    <w:rPr>
      <w:lang w:val="zh-CN" w:eastAsia="en-GB"/>
    </w:rPr>
    <w:tblPr>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CellMar>
        <w:top w:w="0" w:type="dxa"/>
        <w:left w:w="108" w:type="dxa"/>
        <w:bottom w:w="0" w:type="dxa"/>
        <w:right w:w="108" w:type="dxa"/>
      </w:tblCellMar>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MediumGrid1Accent6PHPDOCX">
    <w:name w:val="Medium Grid 1 Accent 6 PHPDOCX"/>
    <w:uiPriority w:val="67"/>
    <w:rPr>
      <w:lang w:val="zh-CN" w:eastAsia="en-GB"/>
    </w:rPr>
    <w:tblPr>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MediumGrid2PHPDOCX">
    <w:name w:val="Medium Grid 2 PHPDOCX"/>
    <w:uiPriority w:val="68"/>
    <w:rPr>
      <w:rFonts w:ascii="Cambria" w:eastAsia="Times New Roman" w:hAnsi="Cambria" w:cs="Times New Roman"/>
      <w:color w:val="000000"/>
      <w:lang w:val="zh-CN" w:eastAsia="en-GB"/>
    </w:rPr>
    <w:tblP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auto"/>
          <w:insideV w:val="single" w:sz="6" w:space="0" w:color="auto"/>
        </w:tcBorders>
        <w:shd w:val="clear" w:color="auto" w:fill="808080"/>
      </w:tcPr>
    </w:tblStylePr>
    <w:tblStylePr w:type="nwCell">
      <w:tblPr/>
      <w:tcPr>
        <w:shd w:val="clear" w:color="auto" w:fill="FFFFFF"/>
      </w:tcPr>
    </w:tblStylePr>
  </w:style>
  <w:style w:type="table" w:customStyle="1" w:styleId="MediumGrid2Accent1PHPDOCX">
    <w:name w:val="Medium Grid 2 Accent 1 PHPDOCX"/>
    <w:uiPriority w:val="68"/>
    <w:rPr>
      <w:rFonts w:ascii="Cambria" w:eastAsia="Times New Roman" w:hAnsi="Cambria" w:cs="Times New Roman"/>
      <w:color w:val="000000"/>
      <w:lang w:val="zh-CN" w:eastAsia="en-GB"/>
    </w:rPr>
    <w:tblP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auto"/>
          <w:insideV w:val="single" w:sz="6" w:space="0" w:color="auto"/>
        </w:tcBorders>
        <w:shd w:val="clear" w:color="auto" w:fill="A7BFDE"/>
      </w:tcPr>
    </w:tblStylePr>
    <w:tblStylePr w:type="nwCell">
      <w:tblPr/>
      <w:tcPr>
        <w:shd w:val="clear" w:color="auto" w:fill="FFFFFF"/>
      </w:tcPr>
    </w:tblStylePr>
  </w:style>
  <w:style w:type="table" w:customStyle="1" w:styleId="MediumGrid2Accent2PHPDOCX">
    <w:name w:val="Medium Grid 2 Accent 2 PHPDOCX"/>
    <w:uiPriority w:val="68"/>
    <w:rPr>
      <w:rFonts w:ascii="Cambria" w:eastAsia="Times New Roman" w:hAnsi="Cambria" w:cs="Times New Roman"/>
      <w:color w:val="000000"/>
      <w:lang w:val="zh-CN" w:eastAsia="en-GB"/>
    </w:rPr>
    <w:tblPr>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auto"/>
          <w:insideV w:val="single" w:sz="6" w:space="0" w:color="auto"/>
        </w:tcBorders>
        <w:shd w:val="clear" w:color="auto" w:fill="DFA7A6"/>
      </w:tcPr>
    </w:tblStylePr>
    <w:tblStylePr w:type="nwCell">
      <w:tblPr/>
      <w:tcPr>
        <w:shd w:val="clear" w:color="auto" w:fill="FFFFFF"/>
      </w:tcPr>
    </w:tblStylePr>
  </w:style>
  <w:style w:type="table" w:customStyle="1" w:styleId="MediumGrid2Accent3PHPDOCX">
    <w:name w:val="Medium Grid 2 Accent 3 PHPDOCX"/>
    <w:uiPriority w:val="68"/>
    <w:rPr>
      <w:rFonts w:ascii="Cambria" w:eastAsia="Times New Roman" w:hAnsi="Cambria" w:cs="Times New Roman"/>
      <w:color w:val="000000"/>
      <w:lang w:val="zh-CN" w:eastAsia="en-GB"/>
    </w:rPr>
    <w:tblPr>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auto"/>
          <w:insideV w:val="single" w:sz="6" w:space="0" w:color="auto"/>
        </w:tcBorders>
        <w:shd w:val="clear" w:color="auto" w:fill="CDDDAC"/>
      </w:tcPr>
    </w:tblStylePr>
    <w:tblStylePr w:type="nwCell">
      <w:tblPr/>
      <w:tcPr>
        <w:shd w:val="clear" w:color="auto" w:fill="FFFFFF"/>
      </w:tcPr>
    </w:tblStylePr>
  </w:style>
  <w:style w:type="table" w:customStyle="1" w:styleId="MediumGrid2Accent4PHPDOCX">
    <w:name w:val="Medium Grid 2 Accent 4 PHPDOCX"/>
    <w:uiPriority w:val="68"/>
    <w:rPr>
      <w:rFonts w:ascii="Cambria" w:eastAsia="Times New Roman" w:hAnsi="Cambria" w:cs="Times New Roman"/>
      <w:color w:val="000000"/>
      <w:lang w:val="zh-CN" w:eastAsia="en-GB"/>
    </w:rPr>
    <w:tblPr>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auto"/>
          <w:insideV w:val="single" w:sz="6" w:space="0" w:color="auto"/>
        </w:tcBorders>
        <w:shd w:val="clear" w:color="auto" w:fill="BFB1D0"/>
      </w:tcPr>
    </w:tblStylePr>
    <w:tblStylePr w:type="nwCell">
      <w:tblPr/>
      <w:tcPr>
        <w:shd w:val="clear" w:color="auto" w:fill="FFFFFF"/>
      </w:tcPr>
    </w:tblStylePr>
  </w:style>
  <w:style w:type="table" w:customStyle="1" w:styleId="MediumGrid2Accent5PHPDOCX">
    <w:name w:val="Medium Grid 2 Accent 5 PHPDOCX"/>
    <w:uiPriority w:val="68"/>
    <w:rPr>
      <w:rFonts w:ascii="Cambria" w:eastAsia="Times New Roman" w:hAnsi="Cambria" w:cs="Times New Roman"/>
      <w:color w:val="000000"/>
      <w:lang w:val="zh-CN" w:eastAsia="en-GB"/>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auto"/>
          <w:insideV w:val="single" w:sz="6" w:space="0" w:color="auto"/>
        </w:tcBorders>
        <w:shd w:val="clear" w:color="auto" w:fill="A5D5E2"/>
      </w:tcPr>
    </w:tblStylePr>
    <w:tblStylePr w:type="nwCell">
      <w:tblPr/>
      <w:tcPr>
        <w:shd w:val="clear" w:color="auto" w:fill="FFFFFF"/>
      </w:tcPr>
    </w:tblStylePr>
  </w:style>
  <w:style w:type="table" w:customStyle="1" w:styleId="MediumGrid2Accent6PHPDOCX">
    <w:name w:val="Medium Grid 2 Accent 6 PHPDOCX"/>
    <w:uiPriority w:val="68"/>
    <w:rPr>
      <w:rFonts w:ascii="Cambria" w:eastAsia="Times New Roman" w:hAnsi="Cambria" w:cs="Times New Roman"/>
      <w:color w:val="000000"/>
      <w:lang w:val="zh-CN" w:eastAsia="en-GB"/>
    </w:rPr>
    <w:tblPr>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auto"/>
          <w:insideV w:val="single" w:sz="6" w:space="0" w:color="auto"/>
        </w:tcBorders>
        <w:shd w:val="clear" w:color="auto" w:fill="FBCAA2"/>
      </w:tcPr>
    </w:tblStylePr>
    <w:tblStylePr w:type="nwCell">
      <w:tblPr/>
      <w:tcPr>
        <w:shd w:val="clear" w:color="auto" w:fill="FFFFFF"/>
      </w:tcPr>
    </w:tblStylePr>
  </w:style>
  <w:style w:type="table" w:customStyle="1" w:styleId="MediumGrid3PHPDOCX">
    <w:name w:val="Medium Grid 3 PHPDOCX"/>
    <w:uiPriority w:val="69"/>
    <w:rPr>
      <w:lang w:val="zh-CN" w:eastAsia="en-GB"/>
    </w:rPr>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808080"/>
      </w:tcPr>
    </w:tblStylePr>
  </w:style>
  <w:style w:type="table" w:customStyle="1" w:styleId="MediumGrid3Accent1PHPDOCX">
    <w:name w:val="Medium Grid 3 Accent 1 PHPDOCX"/>
    <w:uiPriority w:val="69"/>
    <w:rPr>
      <w:lang w:val="zh-CN" w:eastAsia="en-GB"/>
    </w:rPr>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A7BFDE"/>
      </w:tcPr>
    </w:tblStylePr>
  </w:style>
  <w:style w:type="table" w:customStyle="1" w:styleId="MediumGrid3Accent2PHPDOCX">
    <w:name w:val="Medium Grid 3 Accent 2 PHPDOCX"/>
    <w:uiPriority w:val="69"/>
    <w:rPr>
      <w:lang w:val="zh-CN" w:eastAsia="en-GB"/>
    </w:rPr>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DFA7A6"/>
      </w:tcPr>
    </w:tblStylePr>
  </w:style>
  <w:style w:type="table" w:customStyle="1" w:styleId="MediumGrid3Accent3PHPDOCX">
    <w:name w:val="Medium Grid 3 Accent 3 PHPDOCX"/>
    <w:uiPriority w:val="69"/>
    <w:rPr>
      <w:lang w:val="zh-CN" w:eastAsia="en-GB"/>
    </w:rPr>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CDDDAC"/>
      </w:tcPr>
    </w:tblStylePr>
  </w:style>
  <w:style w:type="table" w:customStyle="1" w:styleId="MediumGrid3Accent5PHPDOCX">
    <w:name w:val="Medium Grid 3 Accent 5 PHPDOCX"/>
    <w:uiPriority w:val="69"/>
    <w:rPr>
      <w:lang w:val="zh-CN" w:eastAsia="en-GB"/>
    </w:rPr>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A5D5E2"/>
      </w:tcPr>
    </w:tblStylePr>
  </w:style>
  <w:style w:type="table" w:customStyle="1" w:styleId="MediumGrid3Accent4PHPDOCX">
    <w:name w:val="Medium Grid 3 Accent 4 PHPDOCX"/>
    <w:uiPriority w:val="69"/>
    <w:rPr>
      <w:lang w:val="zh-CN" w:eastAsia="en-GB"/>
    </w:rPr>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BFB1D0"/>
      </w:tcPr>
    </w:tblStylePr>
  </w:style>
  <w:style w:type="table" w:customStyle="1" w:styleId="MediumGrid3Accent6PHPDOCX">
    <w:name w:val="Medium Grid 3 Accent 6 PHPDOCX"/>
    <w:uiPriority w:val="69"/>
    <w:rPr>
      <w:lang w:val="zh-CN" w:eastAsia="en-GB"/>
    </w:rPr>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FBCAA2"/>
      </w:tcPr>
    </w:tblStylePr>
  </w:style>
  <w:style w:type="table" w:customStyle="1" w:styleId="DarkListPHPDOCX">
    <w:name w:val="Dark List PHPDOCX"/>
    <w:uiPriority w:val="70"/>
    <w:rPr>
      <w:color w:val="FFFFFF"/>
      <w:lang w:val="zh-CN" w:eastAsia="en-GB"/>
    </w:rPr>
    <w:tblPr>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DarkListAccent1PHPDOCX">
    <w:name w:val="Dark List Accent 1 PHPDOCX"/>
    <w:uiPriority w:val="70"/>
    <w:rPr>
      <w:color w:val="FFFFFF"/>
      <w:lang w:val="zh-CN" w:eastAsia="en-GB"/>
    </w:rPr>
    <w:tblPr>
      <w:tblCellMar>
        <w:top w:w="0" w:type="dxa"/>
        <w:left w:w="108" w:type="dxa"/>
        <w:bottom w:w="0" w:type="dxa"/>
        <w:right w:w="108" w:type="dxa"/>
      </w:tblCellMar>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DarkListAccent2PHPDOCX">
    <w:name w:val="Dark List Accent 2 PHPDOCX"/>
    <w:uiPriority w:val="70"/>
    <w:rPr>
      <w:color w:val="FFFFFF"/>
      <w:lang w:val="zh-CN" w:eastAsia="en-GB"/>
    </w:rPr>
    <w:tblPr>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DarkListAccent3PHPDOCX">
    <w:name w:val="Dark List Accent 3 PHPDOCX"/>
    <w:uiPriority w:val="70"/>
    <w:rPr>
      <w:color w:val="FFFFFF"/>
      <w:lang w:val="zh-CN" w:eastAsia="en-GB"/>
    </w:rPr>
    <w:tblPr>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DarkListAccent4PHPDOCX">
    <w:name w:val="Dark List Accent 4 PHPDOCX"/>
    <w:uiPriority w:val="70"/>
    <w:rPr>
      <w:color w:val="FFFFFF"/>
      <w:lang w:val="zh-CN" w:eastAsia="en-GB"/>
    </w:rPr>
    <w:tblPr>
      <w:tblCellMar>
        <w:top w:w="0" w:type="dxa"/>
        <w:left w:w="108" w:type="dxa"/>
        <w:bottom w:w="0" w:type="dxa"/>
        <w:right w:w="108" w:type="dxa"/>
      </w:tblCellMar>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DarkListAccent5PHPDOCX">
    <w:name w:val="Dark List Accent 5 PHPDOCX"/>
    <w:uiPriority w:val="70"/>
    <w:rPr>
      <w:color w:val="FFFFFF"/>
      <w:lang w:val="zh-CN" w:eastAsia="en-GB"/>
    </w:rPr>
    <w:tblPr>
      <w:tblCellMar>
        <w:top w:w="0" w:type="dxa"/>
        <w:left w:w="108" w:type="dxa"/>
        <w:bottom w:w="0" w:type="dxa"/>
        <w:right w:w="108" w:type="dxa"/>
      </w:tblCellMar>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DarkListAccent6PHPDOCX">
    <w:name w:val="Dark List Accent 6 PHPDOCX"/>
    <w:uiPriority w:val="70"/>
    <w:rPr>
      <w:color w:val="FFFFFF"/>
      <w:lang w:val="zh-CN" w:eastAsia="en-GB"/>
    </w:rPr>
    <w:tblPr>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ColorfulShadingPHPDOCX">
    <w:name w:val="Colorful Shading PHPDOCX"/>
    <w:uiPriority w:val="71"/>
    <w:rPr>
      <w:color w:val="000000"/>
      <w:lang w:val="zh-CN" w:eastAsia="en-GB"/>
    </w:rPr>
    <w:tblPr>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auto"/>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ColorfulShadingAccent1PHPDOCX">
    <w:name w:val="Colorful Shading Accent 1 PHPDOCX"/>
    <w:uiPriority w:val="71"/>
    <w:rPr>
      <w:color w:val="000000"/>
      <w:lang w:val="zh-CN" w:eastAsia="en-GB"/>
    </w:rPr>
    <w:tblPr>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CellMar>
        <w:top w:w="0" w:type="dxa"/>
        <w:left w:w="108" w:type="dxa"/>
        <w:bottom w:w="0" w:type="dxa"/>
        <w:right w:w="108" w:type="dxa"/>
      </w:tblCellMar>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auto"/>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ColorfulShadingAccent2PHPDOCX">
    <w:name w:val="Colorful Shading Accent 2 PHPDOCX"/>
    <w:uiPriority w:val="71"/>
    <w:rPr>
      <w:color w:val="000000"/>
      <w:lang w:val="zh-CN" w:eastAsia="en-GB"/>
    </w:rPr>
    <w:tblPr>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auto"/>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ColorfulShadingAccent3PHPDOCX">
    <w:name w:val="Colorful Shading Accent 3 PHPDOCX"/>
    <w:uiPriority w:val="71"/>
    <w:rPr>
      <w:color w:val="000000"/>
      <w:lang w:val="zh-CN" w:eastAsia="en-GB"/>
    </w:rPr>
    <w:tblPr>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auto"/>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ColorfulShadingAccent4PHPDOCX">
    <w:name w:val="Colorful Shading Accent 4 PHPDOCX"/>
    <w:uiPriority w:val="71"/>
    <w:rPr>
      <w:color w:val="000000"/>
      <w:lang w:val="zh-CN" w:eastAsia="en-GB"/>
    </w:rPr>
    <w:tblPr>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CellMar>
        <w:top w:w="0" w:type="dxa"/>
        <w:left w:w="108" w:type="dxa"/>
        <w:bottom w:w="0" w:type="dxa"/>
        <w:right w:w="108" w:type="dxa"/>
      </w:tblCellMar>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auto"/>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ColorfulShadingAccent5PHPDOCX">
    <w:name w:val="Colorful Shading Accent 5 PHPDOCX"/>
    <w:uiPriority w:val="71"/>
    <w:rPr>
      <w:color w:val="000000"/>
      <w:lang w:val="zh-CN" w:eastAsia="en-GB"/>
    </w:rPr>
    <w:tblPr>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CellMar>
        <w:top w:w="0" w:type="dxa"/>
        <w:left w:w="108" w:type="dxa"/>
        <w:bottom w:w="0" w:type="dxa"/>
        <w:right w:w="108" w:type="dxa"/>
      </w:tblCellMar>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auto"/>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ColorfulShadingAccent6PHPDOCX">
    <w:name w:val="Colorful Shading Accent 6 PHPDOCX"/>
    <w:uiPriority w:val="71"/>
    <w:rPr>
      <w:color w:val="000000"/>
      <w:lang w:val="zh-CN" w:eastAsia="en-GB"/>
    </w:rPr>
    <w:tblPr>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auto"/>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ColorfulListPHPDOCX">
    <w:name w:val="Colorful List PHPDOCX"/>
    <w:uiPriority w:val="72"/>
    <w:rPr>
      <w:color w:val="000000"/>
      <w:lang w:val="zh-CN" w:eastAsia="en-GB"/>
    </w:rPr>
    <w:tblPr>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ColorfulListAccent1PHPDOCX">
    <w:name w:val="Colorful List Accent 1 PHPDOCX"/>
    <w:uiPriority w:val="72"/>
    <w:rPr>
      <w:color w:val="000000"/>
      <w:lang w:val="zh-CN" w:eastAsia="en-GB"/>
    </w:rPr>
    <w:tblPr>
      <w:tblCellMar>
        <w:top w:w="0" w:type="dxa"/>
        <w:left w:w="108" w:type="dxa"/>
        <w:bottom w:w="0" w:type="dxa"/>
        <w:right w:w="108" w:type="dxa"/>
      </w:tblCellMar>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ColorfulListAccent2PHPDOCX">
    <w:name w:val="Colorful List Accent 2 PHPDOCX"/>
    <w:uiPriority w:val="72"/>
    <w:rPr>
      <w:color w:val="000000"/>
      <w:lang w:val="zh-CN" w:eastAsia="en-GB"/>
    </w:rPr>
    <w:tblPr>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ColorfulListAccent3PHPDOCX">
    <w:name w:val="Colorful List Accent 3 PHPDOCX"/>
    <w:uiPriority w:val="72"/>
    <w:rPr>
      <w:color w:val="000000"/>
      <w:lang w:val="zh-CN" w:eastAsia="en-GB"/>
    </w:rPr>
    <w:tblPr>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ColorfulListAccent4PHPDOCX">
    <w:name w:val="Colorful List Accent 4 PHPDOCX"/>
    <w:uiPriority w:val="72"/>
    <w:rPr>
      <w:color w:val="000000"/>
      <w:lang w:val="zh-CN" w:eastAsia="en-GB"/>
    </w:rPr>
    <w:tblPr>
      <w:tblCellMar>
        <w:top w:w="0" w:type="dxa"/>
        <w:left w:w="108" w:type="dxa"/>
        <w:bottom w:w="0" w:type="dxa"/>
        <w:right w:w="108" w:type="dxa"/>
      </w:tblCellMar>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ColorfulListAccent5PHPDOCX">
    <w:name w:val="Colorful List Accent 5 PHPDOCX"/>
    <w:uiPriority w:val="72"/>
    <w:rPr>
      <w:color w:val="000000"/>
      <w:lang w:val="zh-CN" w:eastAsia="en-GB"/>
    </w:rPr>
    <w:tblPr>
      <w:tblCellMar>
        <w:top w:w="0" w:type="dxa"/>
        <w:left w:w="108" w:type="dxa"/>
        <w:bottom w:w="0" w:type="dxa"/>
        <w:right w:w="108" w:type="dxa"/>
      </w:tblCellMar>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ColorfulListAccent6PHPDOCX">
    <w:name w:val="Colorful List Accent 6 PHPDOCX"/>
    <w:uiPriority w:val="72"/>
    <w:rPr>
      <w:color w:val="000000"/>
      <w:lang w:val="zh-CN" w:eastAsia="en-GB"/>
    </w:rPr>
    <w:tblPr>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ColorfulGridPHPDOCX">
    <w:name w:val="Colorful Grid PHPDOCX"/>
    <w:uiPriority w:val="73"/>
    <w:rPr>
      <w:color w:val="000000"/>
      <w:lang w:val="zh-CN" w:eastAsia="en-GB"/>
    </w:rPr>
    <w:tblPr>
      <w:tblBorders>
        <w:insideH w:val="single" w:sz="4" w:space="0" w:color="FFFFFF"/>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ColorfulGridAccent1PHPDOCX">
    <w:name w:val="Colorful Grid Accent 1 PHPDOCX"/>
    <w:uiPriority w:val="73"/>
    <w:rPr>
      <w:color w:val="000000"/>
      <w:lang w:val="zh-CN" w:eastAsia="en-GB"/>
    </w:rPr>
    <w:tblPr>
      <w:tblBorders>
        <w:insideH w:val="single" w:sz="4" w:space="0" w:color="FFFFFF"/>
      </w:tblBorders>
      <w:tblCellMar>
        <w:top w:w="0" w:type="dxa"/>
        <w:left w:w="108" w:type="dxa"/>
        <w:bottom w:w="0" w:type="dxa"/>
        <w:right w:w="108" w:type="dxa"/>
      </w:tblCellMar>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ColorfulGridAccent2PHPDOCX">
    <w:name w:val="Colorful Grid Accent 2 PHPDOCX"/>
    <w:uiPriority w:val="73"/>
    <w:qFormat/>
    <w:rPr>
      <w:color w:val="000000"/>
      <w:lang w:val="zh-CN" w:eastAsia="en-GB"/>
    </w:rPr>
    <w:tblPr>
      <w:tblBorders>
        <w:insideH w:val="single" w:sz="4" w:space="0" w:color="FFFFFF"/>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ColorfulGridAccent3PHPDOCX">
    <w:name w:val="Colorful Grid Accent 3 PHPDOCX"/>
    <w:uiPriority w:val="73"/>
    <w:qFormat/>
    <w:rPr>
      <w:color w:val="000000"/>
      <w:lang w:val="zh-CN" w:eastAsia="en-GB"/>
    </w:rPr>
    <w:tblPr>
      <w:tblBorders>
        <w:insideH w:val="single" w:sz="4" w:space="0" w:color="FFFFFF"/>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ColorfulGridAccent4PHPDOCX">
    <w:name w:val="Colorful Grid Accent 4 PHPDOCX"/>
    <w:uiPriority w:val="73"/>
    <w:rPr>
      <w:color w:val="000000"/>
      <w:lang w:val="zh-CN" w:eastAsia="en-GB"/>
    </w:rPr>
    <w:tblPr>
      <w:tblBorders>
        <w:insideH w:val="single" w:sz="4" w:space="0" w:color="FFFFFF"/>
      </w:tblBorders>
      <w:tblCellMar>
        <w:top w:w="0" w:type="dxa"/>
        <w:left w:w="108" w:type="dxa"/>
        <w:bottom w:w="0" w:type="dxa"/>
        <w:right w:w="108" w:type="dxa"/>
      </w:tblCellMar>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ColorfulGridAccent5PHPDOCX">
    <w:name w:val="Colorful Grid Accent 5 PHPDOCX"/>
    <w:uiPriority w:val="73"/>
    <w:rPr>
      <w:color w:val="000000"/>
      <w:lang w:val="zh-CN" w:eastAsia="en-GB"/>
    </w:rPr>
    <w:tblPr>
      <w:tblBorders>
        <w:insideH w:val="single" w:sz="4" w:space="0" w:color="FFFFFF"/>
      </w:tblBorders>
      <w:tblCellMar>
        <w:top w:w="0" w:type="dxa"/>
        <w:left w:w="108" w:type="dxa"/>
        <w:bottom w:w="0" w:type="dxa"/>
        <w:right w:w="108" w:type="dxa"/>
      </w:tblCellMar>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ColorfulGridAccent6PHPDOCX">
    <w:name w:val="Colorful Grid Accent 6 PHPDOCX"/>
    <w:uiPriority w:val="73"/>
    <w:rPr>
      <w:color w:val="000000"/>
      <w:lang w:val="zh-CN" w:eastAsia="en-GB"/>
    </w:rPr>
    <w:tblPr>
      <w:tblBorders>
        <w:insideH w:val="single" w:sz="4" w:space="0" w:color="FFFFFF"/>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styleId="NoSpacing">
    <w:name w:val="No Spacing"/>
    <w:uiPriority w:val="1"/>
    <w:qFormat/>
    <w:rPr>
      <w:kern w:val="2"/>
      <w:sz w:val="22"/>
      <w:szCs w:val="22"/>
      <w14:ligatures w14:val="standardContextual"/>
    </w:rPr>
  </w:style>
  <w:style w:type="character" w:customStyle="1" w:styleId="Heading1Char">
    <w:name w:val="Heading 1 Char"/>
    <w:basedOn w:val="DefaultParagraphFont"/>
    <w:link w:val="Heading1"/>
    <w:uiPriority w:val="9"/>
    <w:rPr>
      <w:rFonts w:ascii="Times New Roman" w:eastAsiaTheme="majorEastAsia" w:hAnsi="Times New Roman" w:cstheme="majorBidi"/>
      <w:b/>
      <w:sz w:val="24"/>
      <w:szCs w:val="32"/>
    </w:rPr>
  </w:style>
  <w:style w:type="paragraph" w:customStyle="1" w:styleId="TOCHeading1">
    <w:name w:val="TOC Heading1"/>
    <w:basedOn w:val="NoSpacingPHPDOCX"/>
    <w:next w:val="Normal"/>
    <w:uiPriority w:val="39"/>
    <w:unhideWhenUsed/>
    <w:qFormat/>
  </w:style>
  <w:style w:type="character" w:customStyle="1" w:styleId="Heading2Char">
    <w:name w:val="Heading 2 Char"/>
    <w:basedOn w:val="DefaultParagraphFont"/>
    <w:link w:val="Heading2"/>
    <w:uiPriority w:val="9"/>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Pr>
      <w:rFonts w:ascii="Times New Roman" w:eastAsiaTheme="majorEastAsia" w:hAnsi="Times New Roman" w:cstheme="majorBidi"/>
      <w:b/>
      <w:sz w:val="24"/>
      <w:szCs w:val="24"/>
    </w:rPr>
  </w:style>
  <w:style w:type="character" w:customStyle="1" w:styleId="Heading4Char">
    <w:name w:val="Heading 4 Char"/>
    <w:basedOn w:val="DefaultParagraphFont"/>
    <w:link w:val="Heading4"/>
    <w:uiPriority w:val="9"/>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1F3864" w:themeColor="accent1" w:themeShade="80"/>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1F3864" w:themeColor="accent1" w:themeShade="80"/>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262626" w:themeColor="text1" w:themeTint="D9"/>
      <w:sz w:val="21"/>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262626" w:themeColor="text1" w:themeTint="D9"/>
      <w:sz w:val="21"/>
      <w:szCs w:val="21"/>
    </w:rPr>
  </w:style>
  <w:style w:type="paragraph" w:styleId="ListParagraph">
    <w:name w:val="List Paragraph"/>
    <w:basedOn w:val="Normal"/>
    <w:uiPriority w:val="34"/>
    <w:qFormat/>
    <w:pPr>
      <w:ind w:left="720"/>
      <w:contextualSpacing/>
    </w:pPr>
  </w:style>
  <w:style w:type="character" w:customStyle="1" w:styleId="BalloonTextChar">
    <w:name w:val="Balloon Text Char"/>
    <w:basedOn w:val="DefaultParagraphFont"/>
    <w:link w:val="BalloonText"/>
    <w:uiPriority w:val="99"/>
    <w:semiHidden/>
    <w:rPr>
      <w:rFonts w:ascii="Segoe UI" w:hAnsi="Segoe UI" w:cs="Segoe UI"/>
      <w:sz w:val="18"/>
      <w:szCs w:val="18"/>
    </w:rPr>
  </w:style>
  <w:style w:type="paragraph" w:customStyle="1" w:styleId="Revision1">
    <w:name w:val="Revision1"/>
    <w:hidden/>
    <w:uiPriority w:val="99"/>
    <w:semiHidden/>
    <w:rPr>
      <w:kern w:val="2"/>
      <w:sz w:val="22"/>
      <w:szCs w:val="22"/>
      <w14:ligatures w14:val="standardContextual"/>
    </w:rPr>
  </w:style>
  <w:style w:type="table" w:customStyle="1" w:styleId="TableGrid2">
    <w:name w:val="Table Grid2"/>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
    <w:name w:val="Table"/>
    <w:semiHidden/>
    <w:unhideWhenUsed/>
    <w:qFormat/>
    <w:pPr>
      <w:spacing w:after="200"/>
    </w:pPr>
    <w:rPr>
      <w:sz w:val="24"/>
      <w:szCs w:val="24"/>
      <w:lang w:val="zh-CN" w:eastAsia="en-GB"/>
    </w:rPr>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table" w:customStyle="1" w:styleId="PlainTable21">
    <w:name w:val="Plain Table 21"/>
    <w:basedOn w:val="TableNormal"/>
    <w:uiPriority w:val="42"/>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ath-inline">
    <w:name w:val="math-inline"/>
    <w:basedOn w:val="DefaultParagraphFont"/>
  </w:style>
  <w:style w:type="paragraph" w:customStyle="1" w:styleId="Bibliography1">
    <w:name w:val="Bibliography1"/>
    <w:basedOn w:val="Normal"/>
    <w:next w:val="Normal"/>
    <w:uiPriority w:val="37"/>
    <w:unhideWhenUsed/>
  </w:style>
  <w:style w:type="character" w:customStyle="1" w:styleId="CommentTextChar">
    <w:name w:val="Comment Text Char"/>
    <w:basedOn w:val="DefaultParagraphFont"/>
    <w:link w:val="CommentText"/>
    <w:uiPriority w:val="99"/>
    <w:rPr>
      <w:sz w:val="20"/>
      <w:szCs w:val="20"/>
    </w:rPr>
  </w:style>
  <w:style w:type="character" w:customStyle="1" w:styleId="CommentSubjectChar">
    <w:name w:val="Comment Subject Char"/>
    <w:basedOn w:val="CommentTextChar"/>
    <w:link w:val="CommentSubject"/>
    <w:uiPriority w:val="99"/>
    <w:semiHidden/>
    <w:rPr>
      <w:b/>
      <w:bCs/>
      <w:sz w:val="20"/>
      <w:szCs w:val="20"/>
    </w:rPr>
  </w:style>
  <w:style w:type="table" w:customStyle="1" w:styleId="ListTable31">
    <w:name w:val="List Table 31"/>
    <w:basedOn w:val="TableNormal"/>
    <w:uiPriority w:val="48"/>
    <w:tblPr>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ListTable3-Accent31">
    <w:name w:val="List Table 3 - Accent 31"/>
    <w:basedOn w:val="TableNormal"/>
    <w:uiPriority w:val="48"/>
    <w:tblPr>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customStyle="1" w:styleId="ListTable4-Accent31">
    <w:name w:val="List Table 4 - Accent 31"/>
    <w:basedOn w:val="TableNormal"/>
    <w:uiPriority w:val="49"/>
    <w:tblPr>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UnresolvedMention2">
    <w:name w:val="Unresolved Mention2"/>
    <w:basedOn w:val="DefaultParagraphFont"/>
    <w:uiPriority w:val="99"/>
    <w:semiHidden/>
    <w:unhideWhenUsed/>
    <w:rPr>
      <w:color w:val="605E5C"/>
      <w:shd w:val="clear" w:color="auto" w:fill="E1DFDD"/>
    </w:rPr>
  </w:style>
  <w:style w:type="character" w:customStyle="1" w:styleId="HeaderChar">
    <w:name w:val="Header Char"/>
    <w:basedOn w:val="DefaultParagraphFont"/>
    <w:link w:val="Header"/>
    <w:uiPriority w:val="99"/>
  </w:style>
  <w:style w:type="table" w:customStyle="1" w:styleId="ListTable6Colorful1">
    <w:name w:val="List Table 6 Colorful1"/>
    <w:basedOn w:val="TableNormal"/>
    <w:uiPriority w:val="51"/>
    <w:rPr>
      <w:color w:val="000000" w:themeColor="text1"/>
    </w:rPr>
    <w:tblPr>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6Colorful-Accent31">
    <w:name w:val="List Table 6 Colorful - Accent 31"/>
    <w:basedOn w:val="TableNormal"/>
    <w:uiPriority w:val="51"/>
    <w:rPr>
      <w:color w:val="7B7B7B" w:themeColor="accent3" w:themeShade="BF"/>
    </w:rPr>
    <w:tblPr>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customStyle="1" w:styleId="PlainTable31">
    <w:name w:val="Plain Table 31"/>
    <w:basedOn w:val="TableNormal"/>
    <w:uiPriority w:val="43"/>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PlainTable210">
    <w:name w:val="Plain Table 21"/>
    <w:basedOn w:val="TableNormal"/>
    <w:uiPriority w:val="42"/>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styleId="UnresolvedMention">
    <w:name w:val="Unresolved Mention"/>
    <w:basedOn w:val="DefaultParagraphFont"/>
    <w:uiPriority w:val="99"/>
    <w:semiHidden/>
    <w:unhideWhenUsed/>
    <w:rsid w:val="000A17E3"/>
    <w:rPr>
      <w:color w:val="605E5C"/>
      <w:shd w:val="clear" w:color="auto" w:fill="E1DFDD"/>
    </w:rPr>
  </w:style>
  <w:style w:type="paragraph" w:styleId="Revision">
    <w:name w:val="Revision"/>
    <w:hidden/>
    <w:uiPriority w:val="99"/>
    <w:unhideWhenUsed/>
    <w:rsid w:val="00DD0A67"/>
    <w:rPr>
      <w:rFonts w:ascii="Times New Roman" w:hAnsi="Times New Roman"/>
      <w:kern w:val="2"/>
      <w:sz w:val="22"/>
      <w:szCs w:val="22"/>
      <w14:ligatures w14:val="standardContextual"/>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hyperlink" Target="http://www.fao.org/fishery/statistics/en" TargetMode="External"/><Relationship Id="rId55" Type="http://schemas.openxmlformats.org/officeDocument/2006/relationships/hyperlink" Target="https://hadoop.apache.org" TargetMode="Externa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6.png"/><Relationship Id="rId11" Type="http://schemas.openxmlformats.org/officeDocument/2006/relationships/header" Target="head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hyperlink" Target="http://faolex.fao.org/docs/pdf/ken160882.pdf" TargetMode="External"/><Relationship Id="rId5" Type="http://schemas.openxmlformats.org/officeDocument/2006/relationships/settings" Target="settings.xml"/><Relationship Id="rId19" Type="http://schemas.openxmlformats.org/officeDocument/2006/relationships/image" Target="media/image6.png"/><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hyperlink" Target="https://www.bluelifehub.com/" TargetMode="External"/><Relationship Id="rId56"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hyperlink" Target="http://faolex.fao.org/docs/pdf/ken160880.pdf" TargetMode="External"/><Relationship Id="rId3" Type="http://schemas.openxmlformats.org/officeDocument/2006/relationships/numbering" Target="numbering.xml"/><Relationship Id="rId12" Type="http://schemas.openxmlformats.org/officeDocument/2006/relationships/footer" Target="footer3.xml"/><Relationship Id="rId17" Type="http://schemas.openxmlformats.org/officeDocument/2006/relationships/footer" Target="footer4.xml"/><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hyperlink" Target="http://faolex.fao.org/docs/pdf/ken160882.pdf"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hyperlink" Target="https://blueventures.org/" TargetMode="External"/><Relationship Id="rId57" Type="http://schemas.openxmlformats.org/officeDocument/2006/relationships/theme" Target="theme/theme1.xml"/><Relationship Id="rId10" Type="http://schemas.openxmlformats.org/officeDocument/2006/relationships/footer" Target="footer2.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hyperlink" Target="http://faolex.fao.org/docs/pdf/ken160880.pdf" TargetMode="External"/><Relationship Id="rId58" Type="http://schemas.openxmlformats.org/officeDocument/2006/relationships/image" Target="media/image35.png"/><Relationship Id="rId59" Type="http://schemas.openxmlformats.org/officeDocument/2006/relationships/image" Target="media/image36.png"/><Relationship Id="rId60" Type="http://schemas.openxmlformats.org/officeDocument/2006/relationships/image" Target="media/image37.png"/><Relationship Id="rId61" Type="http://schemas.openxmlformats.org/officeDocument/2006/relationships/image" Target="media/image38.png"/><Relationship Id="rId62" Type="http://schemas.openxmlformats.org/officeDocument/2006/relationships/image" Target="media/image39.png"/><Relationship Id="rId63" Type="http://schemas.openxmlformats.org/officeDocument/2006/relationships/image" Target="media/image40.png"/><Relationship Id="rId64" Type="http://schemas.openxmlformats.org/officeDocument/2006/relationships/image" Target="media/image41.png"/><Relationship Id="rId65" Type="http://schemas.openxmlformats.org/officeDocument/2006/relationships/image" Target="media/image42.png"/><Relationship Id="rId66" Type="http://schemas.openxmlformats.org/officeDocument/2006/relationships/image" Target="media/image43.png"/><Relationship Id="rId67" Type="http://schemas.openxmlformats.org/officeDocument/2006/relationships/image" Target="media/image44.png"/><Relationship Id="rId68" Type="http://schemas.openxmlformats.org/officeDocument/2006/relationships/image" Target="media/image45.png"/><Relationship Id="rId69" Type="http://schemas.openxmlformats.org/officeDocument/2006/relationships/image" Target="media/image46.png"/><Relationship Id="rId70" Type="http://schemas.openxmlformats.org/officeDocument/2006/relationships/image" Target="media/image47.png"/><Relationship Id="rId71" Type="http://schemas.openxmlformats.org/officeDocument/2006/relationships/image" Target="media/image48.png"/><Relationship Id="rId72" Type="http://schemas.openxmlformats.org/officeDocument/2006/relationships/image" Target="media/image49.png"/><Relationship Id="rId73" Type="http://schemas.openxmlformats.org/officeDocument/2006/relationships/image" Target="media/image50.png"/><Relationship Id="rId74" Type="http://schemas.openxmlformats.org/officeDocument/2006/relationships/image" Target="media/image51.png"/><Relationship Id="rId75" Type="http://schemas.openxmlformats.org/officeDocument/2006/relationships/image" Target="media/image52.png"/><Relationship Id="rId76" Type="http://schemas.openxmlformats.org/officeDocument/2006/relationships/image" Target="media/image53.png"/><Relationship Id="rId77" Type="http://schemas.openxmlformats.org/officeDocument/2006/relationships/image" Target="media/image54.png"/><Relationship Id="rId78" Type="http://schemas.openxmlformats.org/officeDocument/2006/relationships/image" Target="media/image55.png"/><Relationship Id="rId79" Type="http://schemas.openxmlformats.org/officeDocument/2006/relationships/image" Target="media/image56.png"/><Relationship Id="rId80" Type="http://schemas.openxmlformats.org/officeDocument/2006/relationships/image" Target="media/image57.png"/><Relationship Id="rId81" Type="http://schemas.openxmlformats.org/officeDocument/2006/relationships/image" Target="media/image58.png"/><Relationship Id="rId82" Type="http://schemas.openxmlformats.org/officeDocument/2006/relationships/image" Target="media/image59.png"/><Relationship Id="rId83" Type="http://schemas.openxmlformats.org/officeDocument/2006/relationships/image" Target="media/image60.png"/><Relationship Id="rId84" Type="http://schemas.openxmlformats.org/officeDocument/2006/relationships/image" Target="media/image61.png"/><Relationship Id="rId85" Type="http://schemas.openxmlformats.org/officeDocument/2006/relationships/image" Target="media/image62.png"/><Relationship Id="rId86" Type="http://schemas.openxmlformats.org/officeDocument/2006/relationships/image" Target="media/image63.png"/><Relationship Id="rId87" Type="http://schemas.openxmlformats.org/officeDocument/2006/relationships/image" Target="media/image64.png"/><Relationship Id="rId88" Type="http://schemas.openxmlformats.org/officeDocument/2006/relationships/image" Target="media/image65.png"/><Relationship Id="rId89" Type="http://schemas.openxmlformats.org/officeDocument/2006/relationships/image" Target="media/image66.png"/><Relationship Id="rId90" Type="http://schemas.openxmlformats.org/officeDocument/2006/relationships/image" Target="media/image6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Cha97</b:Tag>
    <b:SourceType>JournalArticle</b:SourceType>
    <b:Guid>{7695BBD2-1354-4C49-94C8-D4B68F3C631E}</b:Guid>
    <b:Author>
      <b:Author>
        <b:NameList>
          <b:Person>
            <b:Last>Chan</b:Last>
            <b:First>Y.,</b:First>
            <b:Middle>Walmsley, R.P., 1997.</b:Middle>
          </b:Person>
        </b:NameList>
      </b:Author>
    </b:Author>
    <b:Title>Learning and understanding the Kruskal-Wallis one-way analysis-of-variance-by-ranks test for differences among</b:Title>
    <b:JournalName>Phys Ther 77</b:JournalName>
    <b:Year>1997</b:Year>
    <b:Pages> 1755–1762</b:Pages>
    <b:RefOrder>10</b:RefOrder>
  </b:Source>
  <b:Source>
    <b:Tag>Sha00</b:Tag>
    <b:SourceType>JournalArticle</b:SourceType>
    <b:Guid>{5FDE8882-B65C-4FD9-817E-E1EA5F66BD13}</b:Guid>
    <b:Author>
      <b:Author>
        <b:NameList>
          <b:Person>
            <b:Last>Shalesha</b:Last>
            <b:First>A.</b:First>
            <b:Middle>and Stanley, V. A.</b:Middle>
          </b:Person>
        </b:NameList>
      </b:Author>
    </b:Author>
    <b:Title>Involvement of Rural Women in Agriculture: An Innovation Approach</b:Title>
    <b:JournalName>NAGA, The ICLARM Quarterly</b:JournalName>
    <b:Year>2000</b:Year>
    <b:Pages>13--17</b:Pages>
    <b:RefOrder>11</b:RefOrder>
  </b:Source>
  <b:Source>
    <b:Tag>Bhu21</b:Tag>
    <b:SourceType>JournalArticle</b:SourceType>
    <b:Guid>{674116B9-6FAA-418E-86B3-D27DF366EBE4}</b:Guid>
    <b:Author>
      <b:Author>
        <b:NameList>
          <b:Person>
            <b:Last>Bhuiyan</b:Last>
            <b:First>Md</b:First>
            <b:Middle>Sumon and Shamsuzzaman, Md Mostafa and Hossain, Mohammad Mosarof and Mitu, Sabrina Jannat and Mozumder, Mohammad Mojibul Hoque</b:Middle>
          </b:Person>
        </b:NameList>
      </b:Author>
    </b:Author>
    <b:Title>Mud crab (Scylla serrata Forsskal 1775) value chain analysis in the Khulna region of Bangladesh</b:Title>
    <b:JournalName>Aquaculture and Fisheries</b:JournalName>
    <b:Year>2021</b:Year>
    <b:Pages>330--336</b:Pages>
    <b:RefOrder>12</b:RefOrder>
  </b:Source>
  <b:Source>
    <b:Tag>Val</b:Tag>
    <b:SourceType>JournalArticle</b:SourceType>
    <b:Guid>{12536EEC-69C8-4EDD-8C71-F15972E71B0E}</b:Guid>
    <b:Author>
      <b:Author>
        <b:NameList>
          <b:Person>
            <b:Last>Mangubhai</b:Last>
            <b:First>S.,</b:First>
            <b:Middle>Fox, M., Nand, Y., &amp; Mason, N. (2024).</b:Middle>
          </b:Person>
        </b:NameList>
      </b:Author>
    </b:Author>
    <b:Title>Value chain analysis of a women-dominated wild-caught mud crab</b:Title>
    <b:Pages>781</b:Pages>
    <b:Year>2024</b:Year>
    <b:RefOrder>13</b:RefOrder>
  </b:Source>
  <b:Source>
    <b:Tag>xxx</b:Tag>
    <b:SourceType>JournalArticle</b:SourceType>
    <b:Guid>{F6470D3F-CF86-421D-A7F8-CA764023F0F1}</b:Guid>
    <b:Author>
      <b:Author>
        <b:NameList>
          <b:Person>
            <b:Last>Pomeroy</b:Last>
            <b:First>R.</b:First>
            <b:Middle>and Andrew, N.,</b:Middle>
          </b:Person>
        </b:NameList>
      </b:Author>
    </b:Author>
    <b:Title>Small-scale fisheries management: Frameworks and approaches for the developing world</b:Title>
    <b:JournalName>CABI</b:JournalName>
    <b:Year>2012</b:Year>
    <b:RefOrder>14</b:RefOrder>
  </b:Source>
  <b:Source>
    <b:Tag>Eli23</b:Tag>
    <b:SourceType>JournalArticle</b:SourceType>
    <b:Guid>{74A96217-27E3-4424-9C78-DB625DB17F55}</b:Guid>
    <b:Author>
      <b:Author>
        <b:NameList>
          <b:Person>
            <b:Last>Elina Apine</b:Last>
            <b:First>Prashanth</b:First>
            <b:Middle>Ramappa, Ramachandra Bhatta, Lucy M. Turner, Lynda D. Rodwell,</b:Middle>
          </b:Person>
        </b:NameList>
      </b:Author>
    </b:Author>
    <b:Title>Challenges and opportunities in achieving sustainable mud crab aquaculture in tropical coastal regions</b:Title>
    <b:JournalName>Ocean &amp; Coastal Management</b:JournalName>
    <b:Year>2023</b:Year>
    <b:RefOrder>15</b:RefOrder>
  </b:Source>
  <b:Source>
    <b:Tag>Blu20</b:Tag>
    <b:SourceType>JournalArticle</b:SourceType>
    <b:Guid>{31E20837-A2BB-4E46-AF78-12B205260C60}</b:Guid>
    <b:Author>
      <b:Author>
        <b:Corporate>Blue Ventures</b:Corporate>
      </b:Author>
    </b:Author>
    <b:Title>Securing sustainable small-scale fisheries: Mud crab case study</b:Title>
    <b:Year>2020</b:Year>
    <b:RefOrder>4</b:RefOrder>
  </b:Source>
  <b:Source>
    <b:Tag>Blu24</b:Tag>
    <b:SourceType>JournalArticle</b:SourceType>
    <b:Guid>{10128BFE-4AE9-4552-9670-825435B4CE54}</b:Guid>
    <b:Author>
      <b:Author>
        <b:Corporate>Blue Life Hub</b:Corporate>
      </b:Author>
    </b:Author>
    <b:Title>Mud crab farming revolutionised in Kenya</b:Title>
    <b:Year>2024</b:Year>
    <b:RefOrder>16</b:RefOrder>
  </b:Source>
  <b:Source>
    <b:Tag>Foo25</b:Tag>
    <b:SourceType>JournalArticle</b:SourceType>
    <b:Guid>{316333C4-C543-41EA-9305-9234729240F7}</b:Guid>
    <b:Author>
      <b:Author>
        <b:Corporate>FAO</b:Corporate>
      </b:Author>
    </b:Author>
    <b:Title>Transitioning to sustainable mud crab farming. https://www.fao.org</b:Title>
    <b:Year>2025</b:Year>
    <b:RefOrder>3</b:RefOrder>
  </b:Source>
  <b:Source>
    <b:Tag>Fon21</b:Tag>
    <b:SourceType>JournalArticle</b:SourceType>
    <b:Guid>{DCFA9CA2-44F7-4900-BB51-6E6215D0E1ED}</b:Guid>
    <b:Author>
      <b:Author>
        <b:NameList>
          <b:Person>
            <b:Last>Fondo</b:Last>
            <b:First>E.</b:First>
            <b:Middle>N., Ogutu, B.</b:Middle>
          </b:Person>
        </b:NameList>
      </b:Author>
    </b:Author>
    <b:Title>Sustainable crab fishery for Blue Economy in Kenya. Aquatic Ecosystem Health &amp; Management</b:Title>
    <b:JournalName>Aquatic Ecosystem Health &amp; Management</b:JournalName>
    <b:Year>2021</b:Year>
    <b:Pages>21–26</b:Pages>
    <b:RefOrder>7</b:RefOrder>
  </b:Source>
  <b:Source>
    <b:Tag>Mir17</b:Tag>
    <b:SourceType>JournalArticle</b:SourceType>
    <b:Guid>{958E98BF-21A5-4F62-890F-FD8C8CAB9874}</b:Guid>
    <b:Author>
      <b:Author>
        <b:NameList>
          <b:Person>
            <b:Last>Mirera</b:Last>
            <b:First>D.</b:First>
          </b:Person>
        </b:NameList>
      </b:Author>
    </b:Author>
    <b:Title>Mud Crab Production in Kenya</b:Title>
    <b:JournalName>Fisheries Science Journal</b:JournalName>
    <b:Year>2017</b:Year>
    <b:RefOrder>17</b:RefOrder>
  </b:Source>
  <b:Source>
    <b:Tag>Mir13</b:Tag>
    <b:SourceType>JournalArticle</b:SourceType>
    <b:Guid>{EB2F8687-096A-469A-9554-D5C7C1C33CD8}</b:Guid>
    <b:Author>
      <b:Author>
        <b:NameList>
          <b:Person>
            <b:Last>Mirera</b:Last>
            <b:First>OD</b:First>
          </b:Person>
        </b:NameList>
      </b:Author>
    </b:Author>
    <b:Title>Capture-based mud crab (Scylla serrata) aquaculture and artisanal fishery in East Africa –Practical and ecological perspective. PhD thesis, Linnaeus University Dissertations No 159/2013</b:Title>
    <b:Year>2013</b:Year>
    <b:RefOrder>18</b:RefOrder>
  </b:Source>
  <b:Source>
    <b:Tag>Mir171</b:Tag>
    <b:SourceType>JournalArticle</b:SourceType>
    <b:Guid>{987008F4-AED7-41EA-B53C-FBB70D747A51}</b:Guid>
    <b:Author>
      <b:Author>
        <b:NameList>
          <b:Person>
            <b:Last>Mirera</b:Last>
            <b:First>OD</b:First>
          </b:Person>
        </b:NameList>
      </b:Author>
    </b:Author>
    <b:Title>Intertidal mangrove boundary zones are nursery grounds for the mud crab Scylla serrata</b:Title>
    <b:JournalName>African Journal of Marine Science</b:JournalName>
    <b:Year>2017</b:Year>
    <b:Pages>315-325</b:Pages>
    <b:RefOrder>19</b:RefOrder>
  </b:Source>
  <b:Source>
    <b:Tag>Mir09</b:Tag>
    <b:SourceType>JournalArticle</b:SourceType>
    <b:Guid>{B9E0BD57-06E8-4EF2-80A8-530E49F5FF5B}</b:Guid>
    <b:Author>
      <b:Author>
        <b:NameList>
          <b:Person>
            <b:Last>Mirera</b:Last>
            <b:First>O.</b:First>
            <b:Middle>D., Ngugi, C. C.</b:Middle>
          </b:Person>
        </b:NameList>
      </b:Author>
    </b:Author>
    <b:Title>Sustainability and Income Opportunities of Farming Milkfish (Chanos Chanos) To Local Communities in Kenya: Assessment of Initial Trials of Earthen Ponds</b:Title>
    <b:Year>2009</b:Year>
    <b:Pages> 24</b:Pages>
    <b:RefOrder>20</b:RefOrder>
  </b:Source>
  <b:Source>
    <b:Tag>Mir131</b:Tag>
    <b:SourceType>JournalArticle</b:SourceType>
    <b:Guid>{D74274CB-23AB-4264-A04F-53EABC0DF817}</b:Guid>
    <b:Author>
      <b:Author>
        <b:NameList>
          <b:Person>
            <b:Last>Mirera OD</b:Last>
            <b:First>Ochiewo</b:First>
            <b:Middle>J, Munyi F, Muriuki T</b:Middle>
          </b:Person>
        </b:NameList>
      </b:Author>
    </b:Author>
    <b:Title>Heredity or traditional knowledge: Fishing tactics and dynamics of artisanal mangrove crab (Scylla serrata) fishery. </b:Title>
    <b:JournalName> Ocean &amp; Coastal Management</b:JournalName>
    <b:Year>2013</b:Year>
    <b:Pages>119-129</b:Pages>
    <b:RefOrder>21</b:RefOrder>
  </b:Source>
  <b:Source>
    <b:Tag>Pla24</b:Tag>
    <b:SourceType>InternetSite</b:SourceType>
    <b:Guid>{FE22540E-D4D6-4A60-A5EE-36F61734BFCE}</b:Guid>
    <b:Author>
      <b:Author>
        <b:Corporate>https://big3africa.org/2026/</b:Corporate>
      </b:Author>
    </b:Author>
    <b:Title>https://big3africa.org/category/food-systems/</b:Title>
    <b:Year>2024</b:Year>
    <b:URL>https://big3africa.org/2026/</b:URL>
    <b:RefOrder>2</b:RefOrder>
  </b:Source>
  <b:Source>
    <b:Tag>Man24</b:Tag>
    <b:SourceType>JournalArticle</b:SourceType>
    <b:Guid>{578C0134-C7EA-4FC5-A6E1-C7D4F54E085D}</b:Guid>
    <b:Title>Socioeconomic Importance of the Small-Scale Mud Crab Fishing (Scylla Serrata, Forskall 1775) in the Bons Sinais Estuary—Mozambique</b:Title>
    <b:Year>2024</b:Year>
    <b:Author>
      <b:Author>
        <b:NameList>
          <b:Person>
            <b:Last>Manuessa</b:Last>
            <b:First>Bonifácio</b:First>
            <b:Middle>Carlitos and Cuinhane, Calmila J. O. and Borges, Teresa Cerveira and Teodósio, Maria Alexandra and Leitão, Francisco</b:Middle>
          </b:Person>
        </b:NameList>
      </b:Author>
    </b:Author>
    <b:JournalName>Sustainability</b:JournalName>
    <b:RefOrder>1</b:RefOrder>
  </b:Source>
  <b:Source>
    <b:Tag>Yam67</b:Tag>
    <b:SourceType>JournalArticle</b:SourceType>
    <b:Guid>{6E9D6684-B547-4EF4-8890-D870B76C0090}</b:Guid>
    <b:Title>Statistics: An Introductory Analysis (2nd ed.). New York: Harper and Row.</b:Title>
    <b:Year>1967</b:Year>
    <b:Author>
      <b:Author>
        <b:NameList>
          <b:Person>
            <b:Last>Yamane</b:Last>
            <b:First>T.</b:First>
          </b:Person>
        </b:NameList>
      </b:Author>
    </b:Author>
    <b:RefOrder>8</b:RefOrder>
  </b:Source>
  <b:Source>
    <b:Tag>Gil10</b:Tag>
    <b:SourceType>JournalArticle</b:SourceType>
    <b:Guid>{D139BCBB-8F2E-4E4A-BCE4-8B174F4601D9}</b:Guid>
    <b:Author>
      <b:Author>
        <b:NameList>
          <b:Person>
            <b:Last>Gill</b:Last>
            <b:First>John</b:First>
            <b:Middle>and Johnson, Phil</b:Middle>
          </b:Person>
        </b:NameList>
      </b:Author>
    </b:Author>
    <b:Title>Research methods for managers</b:Title>
    <b:JournalName>Sage</b:JournalName>
    <b:Year>2010</b:Year>
    <b:RefOrder>9</b:RefOrder>
  </b:Source>
  <b:Source>
    <b:Tag>Els</b:Tag>
    <b:SourceType>JournalArticle</b:SourceType>
    <b:Guid>{CB759F09-C514-4BC0-9C88-F1A018B8F9CE}</b:Guid>
    <b:Author>
      <b:Author>
        <b:NameList>
          <b:Person>
            <b:Last>Elsevier</b:Last>
          </b:Person>
        </b:NameList>
      </b:Author>
    </b:Author>
    <b:Title>Structure--Conduct--Performance Paradigm</b:Title>
    <b:RefOrder>5</b:RefOrder>
  </b:Source>
  <b:Source>
    <b:Tag>Jac04</b:Tag>
    <b:SourceType>JournalArticle</b:SourceType>
    <b:Guid>{B36CFA6E-C717-409F-A49B-F430F09AAE1B}</b:Guid>
    <b:Author>
      <b:Author>
        <b:NameList>
          <b:Person>
            <b:Last>Jacinto</b:Last>
            <b:First>Eusebio</b:First>
            <b:Middle>R</b:Middle>
          </b:Person>
        </b:NameList>
      </b:Author>
    </b:Author>
    <b:Title>A research framework on value chain analysis in small scale fisheries</b:Title>
    <b:Year>2004</b:Year>
    <b:RefOrder>6</b:RefOrder>
  </b:Source>
</b:Sources>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C09F74A1-49B6-48CF-A4BE-B721B7736721}">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124</Pages>
  <Words>27629</Words>
  <Characters>157486</Characters>
  <Application>Microsoft Office Word</Application>
  <DocSecurity>0</DocSecurity>
  <Lines>1312</Lines>
  <Paragraphs>369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Market Structure for Mud Crabs in South Coast Kenya</dc:title>
  <dc:subject>Revised and humanized thesis with aligned framework and methods</dc:subject>
  <dc:creator>Joel Nyongesa</dc:creator>
  <cp:lastModifiedBy>joel nyongesa</cp:lastModifiedBy>
  <cp:revision>3</cp:revision>
  <cp:lastPrinted>2026-09-13T14:48:00Z</cp:lastPrinted>
  <dcterms:created xsi:type="dcterms:W3CDTF">2026-09-13T16:21:00Z</dcterms:created>
  <dcterms:modified xsi:type="dcterms:W3CDTF">2026-09-27T17:08:00Z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eyJoZGlkIjoiMWMzZGMxODdjMDU3YTAzZjFlYzZlMDM5OWRiYmVlOGQifQ==</vt:lpwstr>
  </property>
  <property fmtid="{D5CDD505-2E9C-101B-9397-08002B2CF9AE}" pid="3" name="KSOProductBuildVer">
    <vt:lpwstr>1033-12.1.0.28032</vt:lpwstr>
  </property>
  <property fmtid="{D5CDD505-2E9C-101B-9397-08002B2CF9AE}" pid="4" name="ICV">
    <vt:lpwstr>F9C845A5A58849029A1E76F48812849B_13</vt:lpwstr>
  </property>
</Properties>
</file>