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PILOT FOLLOW-UP</w:t>
      </w:r>
    </w:p>
    <w:p>
      <w:pPr>
        <w:spacing w:before="0" w:after="40"/>
        <w:jc w:val="center"/>
      </w:pPr>
      <w:r>
        <w:rPr>
          <w:rFonts w:ascii="Calibri" w:hAnsi="Calibri"/>
          <w:b/>
          <w:i w:val="0"/>
          <w:color w:val="1F4D78"/>
          <w:sz w:val="25"/>
        </w:rPr>
        <w:t>What the choice experiment is telling us, what to change in the questionnaire, and how large the full study needs to be</w:t>
      </w:r>
    </w:p>
    <w:p>
      <w:pPr>
        <w:spacing w:before="0" w:after="280"/>
        <w:jc w:val="center"/>
      </w:pPr>
      <w:r>
        <w:rPr>
          <w:rFonts w:ascii="Calibri" w:hAnsi="Calibri"/>
          <w:b w:val="0"/>
          <w:i/>
          <w:color w:val="595959"/>
          <w:sz w:val="20"/>
        </w:rPr>
        <w:t>Gender-Responsive Childcare Services in Uasin Gishu County Markets  ·  Companion to the Pilot DCE Reliability and Validity Report</w:t>
      </w:r>
    </w:p>
    <w:p>
      <w:pPr>
        <w:pStyle w:val="Heading2"/>
      </w:pPr>
      <w:r>
        <w:t>In one page</w:t>
      </w:r>
    </w:p>
    <w:p>
      <w:pPr>
        <w:spacing w:before="0" w:after="120"/>
      </w:pPr>
      <w:r>
        <w:rPr>
          <w:rFonts w:ascii="Calibri" w:hAnsi="Calibri"/>
          <w:b w:val="0"/>
          <w:i w:val="0"/>
          <w:color w:val="000000"/>
          <w:sz w:val="22"/>
        </w:rPr>
        <w:t>The pilot did its job. Twenty-three traders completed all six choice tasks each — a 100% task completion rate — and the fieldwork ran. What the pilot also did, which is the point of a pilot, is expose two faults that would have wasted the full survey if they had gone undetected.</w:t>
      </w:r>
    </w:p>
    <w:p>
      <w:pPr>
        <w:spacing w:before="0" w:after="120"/>
      </w:pPr>
      <w:r>
        <w:rPr>
          <w:rFonts w:ascii="Calibri" w:hAnsi="Calibri"/>
          <w:b w:val="0"/>
          <w:i w:val="0"/>
          <w:color w:val="000000"/>
          <w:sz w:val="22"/>
        </w:rPr>
        <w:t>The first is a design fault. On nine of the twelve choice cards used, the cheaper option was printed on the left. Price and position therefore move together on 75% of cards, and no analysis can fully separate them. Adding a single term for position moves the price coefficient from −0.85 to +1.31 — from "people prefer cheaper" to "people prefer to pay more". Neither figure is trustworthy, and no willingness-to-pay number can be reported from this pilot.</w:t>
      </w:r>
    </w:p>
    <w:p>
      <w:pPr>
        <w:spacing w:before="0" w:after="120"/>
      </w:pPr>
      <w:r>
        <w:rPr>
          <w:rFonts w:ascii="Calibri" w:hAnsi="Calibri"/>
          <w:b w:val="0"/>
          <w:i w:val="0"/>
          <w:color w:val="000000"/>
          <w:sz w:val="22"/>
        </w:rPr>
        <w:t>The second is a respondent-engagement fault. Four of the twenty-three traders chose the left-hand option on all six tasks. Remove those four and the position effect is no longer statistically significant. So this is not a general left-side bias among traders; it is a small number of people not engaging with the task, sitting on top of a design that made the left side look consistently cheaper.</w:t>
      </w:r>
    </w:p>
    <w:p>
      <w:pPr>
        <w:spacing w:before="0" w:after="120"/>
      </w:pPr>
      <w:r>
        <w:rPr>
          <w:rFonts w:ascii="Calibri" w:hAnsi="Calibri"/>
          <w:b w:val="0"/>
          <w:i w:val="0"/>
          <w:color w:val="000000"/>
          <w:sz w:val="22"/>
        </w:rPr>
        <w:t>Both are fixable, and the fixes are different. The design is replaced with a balanced one. The engagement problem is handled by rotating which option appears first and by flagging straight-lining automatically in the form.</w:t>
      </w:r>
    </w:p>
    <w:p>
      <w:pPr>
        <w:spacing w:before="120" w:after="160"/>
        <w:ind w:left="283"/>
        <w:pBdr>
          <w:left w:val="single" w:sz="18" w:space="8" w:color="1F4D78"/>
        </w:pBdr>
      </w:pPr>
      <w:r>
        <w:rPr>
          <w:rFonts w:ascii="Calibri" w:hAnsi="Calibri"/>
          <w:b/>
          <w:color w:val="1F4D78"/>
          <w:sz w:val="21"/>
        </w:rPr>
        <w:t xml:space="preserve">Finding:  </w:t>
      </w:r>
      <w:r>
        <w:rPr>
          <w:rFonts w:ascii="Calibri" w:hAnsi="Calibri"/>
          <w:sz w:val="21"/>
        </w:rPr>
        <w:t>The pilot cannot tell us what traders value in a childcare service. It was never going to — twelve cards and fifteen parameters leaves too little information. What it can and did tell us is whether the instrument works. That question has been answered, and the answer is "after these corrections, yes".</w:t>
      </w:r>
    </w:p>
    <w:p>
      <w:pPr>
        <w:spacing w:before="0" w:after="200"/>
      </w:pPr>
      <w:r>
        <w:rPr>
          <w:rFonts w:ascii="Calibri" w:hAnsi="Calibri"/>
          <w:b w:val="0"/>
          <w:i w:val="0"/>
          <w:color w:val="000000"/>
          <w:sz w:val="22"/>
        </w:rPr>
        <w:t>The study is achievable. We recommend 300 completed interviews for the full round, which supports the main model comfortably and allows two subgroups to be analysed separately. The reasoning is in section 5.</w:t>
      </w:r>
    </w:p>
    <w:p>
      <w:r>
        <w:br w:type="page"/>
      </w:r>
    </w:p>
    <w:p>
      <w:pPr>
        <w:pStyle w:val="Heading1"/>
        <w:pBdr>
          <w:bottom w:val="single" w:sz="6" w:space="4" w:color="1F3864"/>
        </w:pBdr>
      </w:pPr>
      <w:r>
        <w:t>1.  What the choice experiment actually shows</w:t>
      </w:r>
    </w:p>
    <w:p>
      <w:pPr>
        <w:pStyle w:val="Heading2"/>
      </w:pPr>
      <w:r>
        <w:t>1.1  The headline number, and why it misleads</w:t>
      </w:r>
    </w:p>
    <w:tbl>
      <w:tblPr>
        <w:tblStyle w:val="TableGrid"/>
        <w:tblW w:type="auto" w:w="0"/>
        <w:jc w:val="left"/>
        <w:tblLayout w:type="fixed"/>
        <w:tblLook w:firstColumn="1" w:firstRow="1" w:lastColumn="0" w:lastRow="0" w:noHBand="0" w:noVBand="1" w:val="04A0"/>
      </w:tblPr>
      <w:tblGrid>
        <w:gridCol w:w="3362"/>
        <w:gridCol w:w="3362"/>
        <w:gridCol w:w="3362"/>
      </w:tblGrid>
      <w:tr>
        <w:trPr>
          <w:tblHeader w:val="true"/>
        </w:trPr>
        <w:tc>
          <w:tcPr>
            <w:tcW w:type="dxa" w:w="2268"/>
            <w:shd w:val="clear" w:color="auto" w:fill="DEEAF6"/>
          </w:tcPr>
          <w:p>
            <w:pPr>
              <w:spacing w:before="20" w:after="20"/>
              <w:jc w:val="center"/>
            </w:pPr>
            <w:r/>
            <w:r>
              <w:rPr>
                <w:rFonts w:ascii="Calibri" w:hAnsi="Calibri"/>
                <w:b/>
                <w:color w:val="000000"/>
                <w:sz w:val="18"/>
              </w:rPr>
              <w:t>Measure</w:t>
            </w:r>
          </w:p>
        </w:tc>
        <w:tc>
          <w:tcPr>
            <w:tcW w:type="dxa" w:w="2608"/>
            <w:shd w:val="clear" w:color="auto" w:fill="DEEAF6"/>
          </w:tcPr>
          <w:p>
            <w:pPr>
              <w:spacing w:before="20" w:after="20"/>
              <w:jc w:val="center"/>
            </w:pPr>
            <w:r/>
            <w:r>
              <w:rPr>
                <w:rFonts w:ascii="Calibri" w:hAnsi="Calibri"/>
                <w:b/>
                <w:color w:val="000000"/>
                <w:sz w:val="18"/>
              </w:rPr>
              <w:t>Result</w:t>
            </w:r>
          </w:p>
        </w:tc>
        <w:tc>
          <w:tcPr>
            <w:tcW w:type="dxa" w:w="4309"/>
            <w:shd w:val="clear" w:color="auto" w:fill="DEEAF6"/>
          </w:tcPr>
          <w:p>
            <w:pPr>
              <w:spacing w:before="20" w:after="20"/>
              <w:jc w:val="center"/>
            </w:pPr>
            <w:r/>
            <w:r>
              <w:rPr>
                <w:rFonts w:ascii="Calibri" w:hAnsi="Calibri"/>
                <w:b/>
                <w:color w:val="000000"/>
                <w:sz w:val="18"/>
              </w:rPr>
              <w:t>What it means</w:t>
            </w:r>
          </w:p>
        </w:tc>
      </w:tr>
      <w:tr>
        <w:tc>
          <w:tcPr>
            <w:tcW w:type="dxa" w:w="2268"/>
          </w:tcPr>
          <w:p>
            <w:pPr>
              <w:spacing w:before="20" w:after="20"/>
            </w:pPr>
            <w:r/>
            <w:r>
              <w:rPr>
                <w:rFonts w:ascii="Calibri" w:hAnsi="Calibri"/>
                <w:b/>
                <w:color w:val="000000"/>
                <w:sz w:val="18"/>
              </w:rPr>
              <w:t>Tasks completed</w:t>
            </w:r>
          </w:p>
        </w:tc>
        <w:tc>
          <w:tcPr>
            <w:tcW w:type="dxa" w:w="2608"/>
          </w:tcPr>
          <w:p>
            <w:pPr>
              <w:spacing w:before="20" w:after="20"/>
            </w:pPr>
            <w:r/>
            <w:r>
              <w:rPr>
                <w:rFonts w:ascii="Calibri" w:hAnsi="Calibri"/>
                <w:b w:val="0"/>
                <w:color w:val="000000"/>
                <w:sz w:val="18"/>
              </w:rPr>
              <w:t>138 of 138 (23 traders x 6)</w:t>
            </w:r>
          </w:p>
        </w:tc>
        <w:tc>
          <w:tcPr>
            <w:tcW w:type="dxa" w:w="4309"/>
          </w:tcPr>
          <w:p>
            <w:pPr>
              <w:spacing w:before="20" w:after="20"/>
            </w:pPr>
            <w:r/>
            <w:r>
              <w:rPr>
                <w:rFonts w:ascii="Calibri" w:hAnsi="Calibri"/>
                <w:b w:val="0"/>
                <w:color w:val="000000"/>
                <w:sz w:val="18"/>
              </w:rPr>
              <w:t>No task fatigue. Six cards is a workable length.</w:t>
            </w:r>
          </w:p>
        </w:tc>
      </w:tr>
      <w:tr>
        <w:tc>
          <w:tcPr>
            <w:tcW w:type="dxa" w:w="2268"/>
          </w:tcPr>
          <w:p>
            <w:pPr>
              <w:spacing w:before="20" w:after="20"/>
            </w:pPr>
            <w:r/>
            <w:r>
              <w:rPr>
                <w:rFonts w:ascii="Calibri" w:hAnsi="Calibri"/>
                <w:b/>
                <w:color w:val="000000"/>
                <w:sz w:val="18"/>
              </w:rPr>
              <w:t>Chose Alternative A</w:t>
            </w:r>
          </w:p>
        </w:tc>
        <w:tc>
          <w:tcPr>
            <w:tcW w:type="dxa" w:w="2608"/>
          </w:tcPr>
          <w:p>
            <w:pPr>
              <w:spacing w:before="20" w:after="20"/>
            </w:pPr>
            <w:r/>
            <w:r>
              <w:rPr>
                <w:rFonts w:ascii="Calibri" w:hAnsi="Calibri"/>
                <w:b w:val="0"/>
                <w:color w:val="000000"/>
                <w:sz w:val="18"/>
              </w:rPr>
              <w:t>59.1%  (95% CI 50.2–67.6, p = 0.045)</w:t>
            </w:r>
          </w:p>
        </w:tc>
        <w:tc>
          <w:tcPr>
            <w:tcW w:type="dxa" w:w="4309"/>
          </w:tcPr>
          <w:p>
            <w:pPr>
              <w:spacing w:before="20" w:after="20"/>
            </w:pPr>
            <w:r/>
            <w:r>
              <w:rPr>
                <w:rFonts w:ascii="Calibri" w:hAnsi="Calibri"/>
                <w:b w:val="0"/>
                <w:color w:val="000000"/>
                <w:sz w:val="18"/>
              </w:rPr>
              <w:t>Looks like a left-side bias.</w:t>
            </w:r>
          </w:p>
        </w:tc>
      </w:tr>
      <w:tr>
        <w:tc>
          <w:tcPr>
            <w:tcW w:type="dxa" w:w="2268"/>
          </w:tcPr>
          <w:p>
            <w:pPr>
              <w:spacing w:before="20" w:after="20"/>
            </w:pPr>
            <w:r/>
            <w:r>
              <w:rPr>
                <w:rFonts w:ascii="Calibri" w:hAnsi="Calibri"/>
                <w:b/>
                <w:color w:val="000000"/>
                <w:sz w:val="18"/>
              </w:rPr>
              <w:t>Chose the cheaper option</w:t>
            </w:r>
          </w:p>
        </w:tc>
        <w:tc>
          <w:tcPr>
            <w:tcW w:type="dxa" w:w="2608"/>
          </w:tcPr>
          <w:p>
            <w:pPr>
              <w:spacing w:before="20" w:after="20"/>
            </w:pPr>
            <w:r/>
            <w:r>
              <w:rPr>
                <w:rFonts w:ascii="Calibri" w:hAnsi="Calibri"/>
                <w:b w:val="0"/>
                <w:color w:val="000000"/>
                <w:sz w:val="18"/>
              </w:rPr>
              <w:t>47.7%  (63 of 132)</w:t>
            </w:r>
          </w:p>
        </w:tc>
        <w:tc>
          <w:tcPr>
            <w:tcW w:type="dxa" w:w="4309"/>
          </w:tcPr>
          <w:p>
            <w:pPr>
              <w:spacing w:before="20" w:after="20"/>
            </w:pPr>
            <w:r/>
            <w:r>
              <w:rPr>
                <w:rFonts w:ascii="Calibri" w:hAnsi="Calibri"/>
                <w:b w:val="0"/>
                <w:color w:val="000000"/>
                <w:sz w:val="18"/>
              </w:rPr>
              <w:t>A coin flip. Price is not visibly driving choices.</w:t>
            </w:r>
          </w:p>
        </w:tc>
      </w:tr>
      <w:tr>
        <w:tc>
          <w:tcPr>
            <w:tcW w:type="dxa" w:w="2268"/>
          </w:tcPr>
          <w:p>
            <w:pPr>
              <w:spacing w:before="20" w:after="20"/>
            </w:pPr>
            <w:r/>
            <w:r>
              <w:rPr>
                <w:rFonts w:ascii="Calibri" w:hAnsi="Calibri"/>
                <w:b/>
                <w:color w:val="000000"/>
                <w:sz w:val="18"/>
              </w:rPr>
              <w:t>Opted out entirely</w:t>
            </w:r>
          </w:p>
        </w:tc>
        <w:tc>
          <w:tcPr>
            <w:tcW w:type="dxa" w:w="2608"/>
          </w:tcPr>
          <w:p>
            <w:pPr>
              <w:spacing w:before="20" w:after="20"/>
            </w:pPr>
            <w:r/>
            <w:r>
              <w:rPr>
                <w:rFonts w:ascii="Calibri" w:hAnsi="Calibri"/>
                <w:b w:val="0"/>
                <w:color w:val="000000"/>
                <w:sz w:val="18"/>
              </w:rPr>
              <w:t>4.3%</w:t>
            </w:r>
          </w:p>
        </w:tc>
        <w:tc>
          <w:tcPr>
            <w:tcW w:type="dxa" w:w="4309"/>
          </w:tcPr>
          <w:p>
            <w:pPr>
              <w:spacing w:before="20" w:after="20"/>
            </w:pPr>
            <w:r/>
            <w:r>
              <w:rPr>
                <w:rFonts w:ascii="Calibri" w:hAnsi="Calibri"/>
                <w:b w:val="0"/>
                <w:color w:val="000000"/>
                <w:sz w:val="18"/>
              </w:rPr>
              <w:t>Traders engaged with the service options rather than refusing them.</w:t>
            </w:r>
          </w:p>
        </w:tc>
      </w:tr>
      <w:tr>
        <w:tc>
          <w:tcPr>
            <w:tcW w:type="dxa" w:w="2268"/>
          </w:tcPr>
          <w:p>
            <w:pPr>
              <w:spacing w:before="20" w:after="20"/>
            </w:pPr>
            <w:r/>
            <w:r>
              <w:rPr>
                <w:rFonts w:ascii="Calibri" w:hAnsi="Calibri"/>
                <w:b/>
                <w:color w:val="000000"/>
                <w:sz w:val="18"/>
              </w:rPr>
              <w:t>Cards where A was cheaper</w:t>
            </w:r>
          </w:p>
        </w:tc>
        <w:tc>
          <w:tcPr>
            <w:tcW w:type="dxa" w:w="2608"/>
          </w:tcPr>
          <w:p>
            <w:pPr>
              <w:spacing w:before="20" w:after="20"/>
            </w:pPr>
            <w:r/>
            <w:r>
              <w:rPr>
                <w:rFonts w:ascii="Calibri" w:hAnsi="Calibri"/>
                <w:b w:val="0"/>
                <w:color w:val="000000"/>
                <w:sz w:val="18"/>
              </w:rPr>
              <w:t>9 of 12  (75%)</w:t>
            </w:r>
          </w:p>
        </w:tc>
        <w:tc>
          <w:tcPr>
            <w:tcW w:type="dxa" w:w="4309"/>
          </w:tcPr>
          <w:p>
            <w:pPr>
              <w:spacing w:before="20" w:after="20"/>
            </w:pPr>
            <w:r/>
            <w:r>
              <w:rPr>
                <w:rFonts w:ascii="Calibri" w:hAnsi="Calibri"/>
                <w:b w:val="0"/>
                <w:color w:val="000000"/>
                <w:sz w:val="18"/>
              </w:rPr>
              <w:t>The reason the first two rows disagree.</w:t>
            </w:r>
          </w:p>
        </w:tc>
      </w:tr>
    </w:tbl>
    <w:p>
      <w:pPr>
        <w:spacing w:before="0" w:after="120"/>
      </w:pPr>
      <w:r>
        <w:rPr>
          <w:rFonts w:ascii="Calibri" w:hAnsi="Calibri"/>
          <w:b w:val="0"/>
          <w:i w:val="0"/>
          <w:color w:val="000000"/>
          <w:sz w:val="22"/>
        </w:rPr>
        <w:t>If traders were answering on price, the "chose cheaper" figure would be high, because the cheaper option was usually on the left. It is not high. They were not answering on price. But because the cheaper option was usually on the left, we cannot cleanly measure what they were answering on.</w:t>
      </w:r>
    </w:p>
    <w:p>
      <w:pPr>
        <w:pStyle w:val="Heading2"/>
      </w:pPr>
      <w:r>
        <w:t>1.2  The cost coefficient changes sign</w:t>
      </w:r>
    </w:p>
    <w:tbl>
      <w:tblPr>
        <w:tblStyle w:val="TableGrid"/>
        <w:tblW w:type="auto" w:w="0"/>
        <w:jc w:val="left"/>
        <w:tblLayout w:type="fixed"/>
        <w:tblLook w:firstColumn="1" w:firstRow="1" w:lastColumn="0" w:lastRow="0" w:noHBand="0" w:noVBand="1" w:val="04A0"/>
      </w:tblPr>
      <w:tblGrid>
        <w:gridCol w:w="2521"/>
        <w:gridCol w:w="2521"/>
        <w:gridCol w:w="2521"/>
        <w:gridCol w:w="2521"/>
      </w:tblGrid>
      <w:tr>
        <w:trPr>
          <w:tblHeader w:val="true"/>
        </w:trPr>
        <w:tc>
          <w:tcPr>
            <w:tcW w:type="dxa" w:w="2608"/>
            <w:shd w:val="clear" w:color="auto" w:fill="DEEAF6"/>
          </w:tcPr>
          <w:p>
            <w:pPr>
              <w:spacing w:before="20" w:after="20"/>
              <w:jc w:val="center"/>
            </w:pPr>
            <w:r/>
            <w:r>
              <w:rPr>
                <w:rFonts w:ascii="Calibri" w:hAnsi="Calibri"/>
                <w:b/>
                <w:color w:val="000000"/>
                <w:sz w:val="18"/>
              </w:rPr>
              <w:t>Model</w:t>
            </w:r>
          </w:p>
        </w:tc>
        <w:tc>
          <w:tcPr>
            <w:tcW w:type="dxa" w:w="2494"/>
            <w:shd w:val="clear" w:color="auto" w:fill="DEEAF6"/>
          </w:tcPr>
          <w:p>
            <w:pPr>
              <w:spacing w:before="20" w:after="20"/>
              <w:jc w:val="center"/>
            </w:pPr>
            <w:r/>
            <w:r>
              <w:rPr>
                <w:rFonts w:ascii="Calibri" w:hAnsi="Calibri"/>
                <w:b/>
                <w:color w:val="000000"/>
                <w:sz w:val="18"/>
              </w:rPr>
              <w:t>Cost coefficient</w:t>
            </w:r>
          </w:p>
        </w:tc>
        <w:tc>
          <w:tcPr>
            <w:tcW w:type="dxa" w:w="2381"/>
            <w:shd w:val="clear" w:color="auto" w:fill="DEEAF6"/>
          </w:tcPr>
          <w:p>
            <w:pPr>
              <w:spacing w:before="20" w:after="20"/>
              <w:jc w:val="center"/>
            </w:pPr>
            <w:r/>
            <w:r>
              <w:rPr>
                <w:rFonts w:ascii="Calibri" w:hAnsi="Calibri"/>
                <w:b/>
                <w:color w:val="000000"/>
                <w:sz w:val="18"/>
              </w:rPr>
              <w:t>Position (A)</w:t>
            </w:r>
          </w:p>
        </w:tc>
        <w:tc>
          <w:tcPr>
            <w:tcW w:type="dxa" w:w="1701"/>
            <w:shd w:val="clear" w:color="auto" w:fill="DEEAF6"/>
          </w:tcPr>
          <w:p>
            <w:pPr>
              <w:spacing w:before="20" w:after="20"/>
              <w:jc w:val="center"/>
            </w:pPr>
            <w:r/>
            <w:r>
              <w:rPr>
                <w:rFonts w:ascii="Calibri" w:hAnsi="Calibri"/>
                <w:b/>
                <w:color w:val="000000"/>
                <w:sz w:val="18"/>
              </w:rPr>
              <w:t>Log-likelihood</w:t>
            </w:r>
          </w:p>
        </w:tc>
      </w:tr>
      <w:tr>
        <w:tc>
          <w:tcPr>
            <w:tcW w:type="dxa" w:w="2608"/>
          </w:tcPr>
          <w:p>
            <w:pPr>
              <w:spacing w:before="20" w:after="20"/>
            </w:pPr>
            <w:r/>
            <w:r>
              <w:rPr>
                <w:rFonts w:ascii="Calibri" w:hAnsi="Calibri"/>
                <w:b/>
                <w:color w:val="000000"/>
                <w:sz w:val="18"/>
              </w:rPr>
              <w:t>Attributes only</w:t>
            </w:r>
          </w:p>
        </w:tc>
        <w:tc>
          <w:tcPr>
            <w:tcW w:type="dxa" w:w="2494"/>
          </w:tcPr>
          <w:p>
            <w:pPr>
              <w:spacing w:before="20" w:after="20"/>
            </w:pPr>
            <w:r/>
            <w:r>
              <w:rPr>
                <w:rFonts w:ascii="Calibri" w:hAnsi="Calibri"/>
                <w:b w:val="0"/>
                <w:color w:val="000000"/>
                <w:sz w:val="18"/>
              </w:rPr>
              <w:t>−0.850  (p = 0.159)</w:t>
            </w:r>
          </w:p>
        </w:tc>
        <w:tc>
          <w:tcPr>
            <w:tcW w:type="dxa" w:w="2381"/>
          </w:tcPr>
          <w:p>
            <w:pPr>
              <w:spacing w:before="20" w:after="20"/>
            </w:pPr>
            <w:r/>
            <w:r>
              <w:rPr>
                <w:rFonts w:ascii="Calibri" w:hAnsi="Calibri"/>
                <w:b w:val="0"/>
                <w:color w:val="000000"/>
                <w:sz w:val="18"/>
              </w:rPr>
              <w:t>not included</w:t>
            </w:r>
          </w:p>
        </w:tc>
        <w:tc>
          <w:tcPr>
            <w:tcW w:type="dxa" w:w="1701"/>
          </w:tcPr>
          <w:p>
            <w:pPr>
              <w:spacing w:before="20" w:after="20"/>
            </w:pPr>
            <w:r/>
            <w:r>
              <w:rPr>
                <w:rFonts w:ascii="Calibri" w:hAnsi="Calibri"/>
                <w:b w:val="0"/>
                <w:color w:val="000000"/>
                <w:sz w:val="18"/>
              </w:rPr>
              <w:t>−104.61</w:t>
            </w:r>
          </w:p>
        </w:tc>
      </w:tr>
      <w:tr>
        <w:tc>
          <w:tcPr>
            <w:tcW w:type="dxa" w:w="2608"/>
          </w:tcPr>
          <w:p>
            <w:pPr>
              <w:spacing w:before="20" w:after="20"/>
            </w:pPr>
            <w:r/>
            <w:r>
              <w:rPr>
                <w:rFonts w:ascii="Calibri" w:hAnsi="Calibri"/>
                <w:b/>
                <w:color w:val="000000"/>
                <w:sz w:val="18"/>
              </w:rPr>
              <w:t>Attributes + position</w:t>
            </w:r>
          </w:p>
        </w:tc>
        <w:tc>
          <w:tcPr>
            <w:tcW w:type="dxa" w:w="2494"/>
          </w:tcPr>
          <w:p>
            <w:pPr>
              <w:spacing w:before="20" w:after="20"/>
            </w:pPr>
            <w:r/>
            <w:r>
              <w:rPr>
                <w:rFonts w:ascii="Calibri" w:hAnsi="Calibri"/>
                <w:b w:val="0"/>
                <w:color w:val="000000"/>
                <w:sz w:val="18"/>
              </w:rPr>
              <w:t>+1.306  (p = 0.315)</w:t>
            </w:r>
          </w:p>
        </w:tc>
        <w:tc>
          <w:tcPr>
            <w:tcW w:type="dxa" w:w="2381"/>
          </w:tcPr>
          <w:p>
            <w:pPr>
              <w:spacing w:before="20" w:after="20"/>
            </w:pPr>
            <w:r/>
            <w:r>
              <w:rPr>
                <w:rFonts w:ascii="Calibri" w:hAnsi="Calibri"/>
                <w:b w:val="0"/>
                <w:color w:val="000000"/>
                <w:sz w:val="18"/>
              </w:rPr>
              <w:t>+1.581  (p = 0.048)</w:t>
            </w:r>
          </w:p>
        </w:tc>
        <w:tc>
          <w:tcPr>
            <w:tcW w:type="dxa" w:w="1701"/>
          </w:tcPr>
          <w:p>
            <w:pPr>
              <w:spacing w:before="20" w:after="20"/>
            </w:pPr>
            <w:r/>
            <w:r>
              <w:rPr>
                <w:rFonts w:ascii="Calibri" w:hAnsi="Calibri"/>
                <w:b w:val="0"/>
                <w:color w:val="000000"/>
                <w:sz w:val="18"/>
              </w:rPr>
              <w:t>−102.51</w:t>
            </w:r>
          </w:p>
        </w:tc>
      </w:tr>
    </w:tbl>
    <w:p>
      <w:pPr>
        <w:spacing w:before="0" w:after="120"/>
      </w:pPr>
      <w:r>
        <w:rPr>
          <w:rFonts w:ascii="Calibri" w:hAnsi="Calibri"/>
          <w:b w:val="0"/>
          <w:i w:val="0"/>
          <w:color w:val="000000"/>
          <w:sz w:val="22"/>
        </w:rPr>
        <w:t>The likelihood-ratio test for adding the position term gives chi-squared 4.20 on 1 degree of freedom, p = 0.041. So position earns its place in the model — and once it is there, price flips sign and stays insignificant.</w:t>
      </w:r>
    </w:p>
    <w:p>
      <w:pPr>
        <w:spacing w:before="120" w:after="160"/>
        <w:ind w:left="283"/>
        <w:pBdr>
          <w:left w:val="single" w:sz="18" w:space="8" w:color="1F4D78"/>
        </w:pBdr>
      </w:pPr>
      <w:r>
        <w:rPr>
          <w:rFonts w:ascii="Calibri" w:hAnsi="Calibri"/>
          <w:b/>
          <w:color w:val="1F4D78"/>
          <w:sz w:val="21"/>
        </w:rPr>
        <w:t xml:space="preserve">Finding:  </w:t>
      </w:r>
      <w:r>
        <w:rPr>
          <w:rFonts w:ascii="Calibri" w:hAnsi="Calibri"/>
          <w:sz w:val="21"/>
        </w:rPr>
        <w:t>A positive price coefficient means the model is saying traders prefer to pay more. That is not a finding about traders; it is the model telling us the data cannot separate price from position. Any willingness-to-pay figure computed from this pilot would be an artefact.</w:t>
      </w:r>
    </w:p>
    <w:p>
      <w:pPr>
        <w:pStyle w:val="Heading2"/>
      </w:pPr>
      <w:r>
        <w:t>1.3  It is four people, not a general bias</w:t>
      </w:r>
    </w:p>
    <w:p>
      <w:pPr>
        <w:spacing w:before="0" w:after="120"/>
      </w:pPr>
      <w:r>
        <w:rPr>
          <w:rFonts w:ascii="Calibri" w:hAnsi="Calibri"/>
          <w:b w:val="0"/>
          <w:i w:val="0"/>
          <w:color w:val="000000"/>
          <w:sz w:val="22"/>
        </w:rPr>
        <w:t>Four of the twenty-three traders chose Alternative A on every one of their six tasks. Dropping those four and refitting:</w:t>
      </w:r>
    </w:p>
    <w:tbl>
      <w:tblPr>
        <w:tblStyle w:val="TableGrid"/>
        <w:tblW w:type="auto" w:w="0"/>
        <w:jc w:val="left"/>
        <w:tblLayout w:type="fixed"/>
        <w:tblLook w:firstColumn="1" w:firstRow="1" w:lastColumn="0" w:lastRow="0" w:noHBand="0" w:noVBand="1" w:val="04A0"/>
      </w:tblPr>
      <w:tblGrid>
        <w:gridCol w:w="3362"/>
        <w:gridCol w:w="3362"/>
        <w:gridCol w:w="3362"/>
      </w:tblGrid>
      <w:tr>
        <w:trPr>
          <w:tblHeader w:val="true"/>
        </w:trPr>
        <w:tc>
          <w:tcPr>
            <w:tcW w:type="dxa" w:w="2835"/>
            <w:shd w:val="clear" w:color="auto" w:fill="DEEAF6"/>
          </w:tcPr>
          <w:p>
            <w:pPr>
              <w:spacing w:before="20" w:after="20"/>
              <w:jc w:val="center"/>
            </w:pPr>
            <w:r/>
            <w:r>
              <w:rPr>
                <w:rFonts w:ascii="Calibri" w:hAnsi="Calibri"/>
                <w:b/>
                <w:color w:val="000000"/>
                <w:sz w:val="18"/>
              </w:rPr>
              <w:t>Term</w:t>
            </w:r>
          </w:p>
        </w:tc>
        <w:tc>
          <w:tcPr>
            <w:tcW w:type="dxa" w:w="3175"/>
            <w:shd w:val="clear" w:color="auto" w:fill="DEEAF6"/>
          </w:tcPr>
          <w:p>
            <w:pPr>
              <w:spacing w:before="20" w:after="20"/>
              <w:jc w:val="center"/>
            </w:pPr>
            <w:r/>
            <w:r>
              <w:rPr>
                <w:rFonts w:ascii="Calibri" w:hAnsi="Calibri"/>
                <w:b/>
                <w:color w:val="000000"/>
                <w:sz w:val="18"/>
              </w:rPr>
              <w:t>All 23 traders</w:t>
            </w:r>
          </w:p>
        </w:tc>
        <w:tc>
          <w:tcPr>
            <w:tcW w:type="dxa" w:w="3175"/>
            <w:shd w:val="clear" w:color="auto" w:fill="DEEAF6"/>
          </w:tcPr>
          <w:p>
            <w:pPr>
              <w:spacing w:before="20" w:after="20"/>
              <w:jc w:val="center"/>
            </w:pPr>
            <w:r/>
            <w:r>
              <w:rPr>
                <w:rFonts w:ascii="Calibri" w:hAnsi="Calibri"/>
                <w:b/>
                <w:color w:val="000000"/>
                <w:sz w:val="18"/>
              </w:rPr>
              <w:t>Excluding the 4 straight-liners</w:t>
            </w:r>
          </w:p>
        </w:tc>
      </w:tr>
      <w:tr>
        <w:tc>
          <w:tcPr>
            <w:tcW w:type="dxa" w:w="2835"/>
          </w:tcPr>
          <w:p>
            <w:pPr>
              <w:spacing w:before="20" w:after="20"/>
            </w:pPr>
            <w:r/>
            <w:r>
              <w:rPr>
                <w:rFonts w:ascii="Calibri" w:hAnsi="Calibri"/>
                <w:b/>
                <w:color w:val="000000"/>
                <w:sz w:val="18"/>
              </w:rPr>
              <w:t>Position (A)</w:t>
            </w:r>
          </w:p>
        </w:tc>
        <w:tc>
          <w:tcPr>
            <w:tcW w:type="dxa" w:w="3175"/>
          </w:tcPr>
          <w:p>
            <w:pPr>
              <w:spacing w:before="20" w:after="20"/>
            </w:pPr>
            <w:r/>
            <w:r>
              <w:rPr>
                <w:rFonts w:ascii="Calibri" w:hAnsi="Calibri"/>
                <w:b w:val="0"/>
                <w:color w:val="000000"/>
                <w:sz w:val="18"/>
              </w:rPr>
              <w:t>+1.581  (p = 0.048)</w:t>
            </w:r>
          </w:p>
        </w:tc>
        <w:tc>
          <w:tcPr>
            <w:tcW w:type="dxa" w:w="3175"/>
          </w:tcPr>
          <w:p>
            <w:pPr>
              <w:spacing w:before="20" w:after="20"/>
            </w:pPr>
            <w:r/>
            <w:r>
              <w:rPr>
                <w:rFonts w:ascii="Calibri" w:hAnsi="Calibri"/>
                <w:b w:val="0"/>
                <w:color w:val="000000"/>
                <w:sz w:val="18"/>
              </w:rPr>
              <w:t>+0.990  (p = 0.414)</w:t>
            </w:r>
          </w:p>
        </w:tc>
      </w:tr>
      <w:tr>
        <w:tc>
          <w:tcPr>
            <w:tcW w:type="dxa" w:w="2835"/>
          </w:tcPr>
          <w:p>
            <w:pPr>
              <w:spacing w:before="20" w:after="20"/>
            </w:pPr>
            <w:r/>
            <w:r>
              <w:rPr>
                <w:rFonts w:ascii="Calibri" w:hAnsi="Calibri"/>
                <w:b/>
                <w:color w:val="000000"/>
                <w:sz w:val="18"/>
              </w:rPr>
              <w:t>Cost</w:t>
            </w:r>
          </w:p>
        </w:tc>
        <w:tc>
          <w:tcPr>
            <w:tcW w:type="dxa" w:w="3175"/>
          </w:tcPr>
          <w:p>
            <w:pPr>
              <w:spacing w:before="20" w:after="20"/>
            </w:pPr>
            <w:r/>
            <w:r>
              <w:rPr>
                <w:rFonts w:ascii="Calibri" w:hAnsi="Calibri"/>
                <w:b w:val="0"/>
                <w:color w:val="000000"/>
                <w:sz w:val="18"/>
              </w:rPr>
              <w:t>+1.306  (p = 0.315)</w:t>
            </w:r>
          </w:p>
        </w:tc>
        <w:tc>
          <w:tcPr>
            <w:tcW w:type="dxa" w:w="3175"/>
          </w:tcPr>
          <w:p>
            <w:pPr>
              <w:spacing w:before="20" w:after="20"/>
            </w:pPr>
            <w:r/>
            <w:r>
              <w:rPr>
                <w:rFonts w:ascii="Calibri" w:hAnsi="Calibri"/>
                <w:b w:val="0"/>
                <w:color w:val="000000"/>
                <w:sz w:val="18"/>
              </w:rPr>
              <w:t>+0.453  (p = 0.833)</w:t>
            </w:r>
          </w:p>
        </w:tc>
      </w:tr>
      <w:tr>
        <w:tc>
          <w:tcPr>
            <w:tcW w:type="dxa" w:w="2835"/>
          </w:tcPr>
          <w:p>
            <w:pPr>
              <w:spacing w:before="20" w:after="20"/>
            </w:pPr>
            <w:r/>
            <w:r>
              <w:rPr>
                <w:rFonts w:ascii="Calibri" w:hAnsi="Calibri"/>
                <w:b/>
                <w:color w:val="000000"/>
                <w:sz w:val="18"/>
              </w:rPr>
              <w:t>Opt-out constant</w:t>
            </w:r>
          </w:p>
        </w:tc>
        <w:tc>
          <w:tcPr>
            <w:tcW w:type="dxa" w:w="3175"/>
          </w:tcPr>
          <w:p>
            <w:pPr>
              <w:spacing w:before="20" w:after="20"/>
            </w:pPr>
            <w:r/>
            <w:r>
              <w:rPr>
                <w:rFonts w:ascii="Calibri" w:hAnsi="Calibri"/>
                <w:b w:val="0"/>
                <w:color w:val="000000"/>
                <w:sz w:val="18"/>
              </w:rPr>
              <w:t>−2.248  (p = 0.102)</w:t>
            </w:r>
          </w:p>
        </w:tc>
        <w:tc>
          <w:tcPr>
            <w:tcW w:type="dxa" w:w="3175"/>
          </w:tcPr>
          <w:p>
            <w:pPr>
              <w:spacing w:before="20" w:after="20"/>
            </w:pPr>
            <w:r/>
            <w:r>
              <w:rPr>
                <w:rFonts w:ascii="Calibri" w:hAnsi="Calibri"/>
                <w:b w:val="0"/>
                <w:color w:val="000000"/>
                <w:sz w:val="18"/>
              </w:rPr>
              <w:t>−5.170  (p = 0.074)</w:t>
            </w:r>
          </w:p>
        </w:tc>
      </w:tr>
    </w:tbl>
    <w:p>
      <w:pPr>
        <w:spacing w:before="0" w:after="120"/>
      </w:pPr>
      <w:r>
        <w:rPr>
          <w:rFonts w:ascii="Calibri" w:hAnsi="Calibri"/>
          <w:b w:val="0"/>
          <w:i w:val="0"/>
          <w:color w:val="000000"/>
          <w:sz w:val="22"/>
        </w:rPr>
        <w:t>The position effect is no longer significant. This matters for the fix: if traders generally favoured the left, we would need to rotate positions and little else. Because it is concentrated in four non-engaged respondents, we also need the form to detect that behaviour while the enumerator is still with the respondent.</w:t>
      </w:r>
    </w:p>
    <w:p>
      <w:pPr>
        <w:pStyle w:val="Heading2"/>
      </w:pPr>
      <w:r>
        <w:t>1.4  What the pilot can and cannot support</w:t>
      </w:r>
    </w:p>
    <w:tbl>
      <w:tblPr>
        <w:tblStyle w:val="TableGrid"/>
        <w:tblW w:type="auto" w:w="0"/>
        <w:jc w:val="left"/>
        <w:tblLayout w:type="fixed"/>
        <w:tblLook w:firstColumn="1" w:firstRow="1" w:lastColumn="0" w:lastRow="0" w:noHBand="0" w:noVBand="1" w:val="04A0"/>
      </w:tblPr>
      <w:tblGrid>
        <w:gridCol w:w="3362"/>
        <w:gridCol w:w="3362"/>
        <w:gridCol w:w="3362"/>
      </w:tblGrid>
      <w:tr>
        <w:trPr>
          <w:tblHeader w:val="true"/>
        </w:trPr>
        <w:tc>
          <w:tcPr>
            <w:tcW w:type="dxa" w:w="2948"/>
            <w:shd w:val="clear" w:color="auto" w:fill="DEEAF6"/>
          </w:tcPr>
          <w:p>
            <w:pPr>
              <w:spacing w:before="20" w:after="20"/>
              <w:jc w:val="center"/>
            </w:pPr>
            <w:r/>
            <w:r>
              <w:rPr>
                <w:rFonts w:ascii="Calibri" w:hAnsi="Calibri"/>
                <w:b/>
                <w:color w:val="000000"/>
                <w:sz w:val="18"/>
              </w:rPr>
              <w:t>Question</w:t>
            </w:r>
          </w:p>
        </w:tc>
        <w:tc>
          <w:tcPr>
            <w:tcW w:type="dxa" w:w="2154"/>
            <w:shd w:val="clear" w:color="auto" w:fill="DEEAF6"/>
          </w:tcPr>
          <w:p>
            <w:pPr>
              <w:spacing w:before="20" w:after="20"/>
              <w:jc w:val="center"/>
            </w:pPr>
            <w:r/>
            <w:r>
              <w:rPr>
                <w:rFonts w:ascii="Calibri" w:hAnsi="Calibri"/>
                <w:b/>
                <w:color w:val="000000"/>
                <w:sz w:val="18"/>
              </w:rPr>
              <w:t>Can the pilot answer it?</w:t>
            </w:r>
          </w:p>
        </w:tc>
        <w:tc>
          <w:tcPr>
            <w:tcW w:type="dxa" w:w="4082"/>
            <w:shd w:val="clear" w:color="auto" w:fill="DEEAF6"/>
          </w:tcPr>
          <w:p>
            <w:pPr>
              <w:spacing w:before="20" w:after="20"/>
              <w:jc w:val="center"/>
            </w:pPr>
            <w:r/>
            <w:r>
              <w:rPr>
                <w:rFonts w:ascii="Calibri" w:hAnsi="Calibri"/>
                <w:b/>
                <w:color w:val="000000"/>
                <w:sz w:val="18"/>
              </w:rPr>
              <w:t>Why</w:t>
            </w:r>
          </w:p>
        </w:tc>
      </w:tr>
      <w:tr>
        <w:tc>
          <w:tcPr>
            <w:tcW w:type="dxa" w:w="2948"/>
          </w:tcPr>
          <w:p>
            <w:pPr>
              <w:spacing w:before="20" w:after="20"/>
            </w:pPr>
            <w:r/>
            <w:r>
              <w:rPr>
                <w:rFonts w:ascii="Calibri" w:hAnsi="Calibri"/>
                <w:b/>
                <w:color w:val="000000"/>
                <w:sz w:val="18"/>
              </w:rPr>
              <w:t>Does the instrument work in the field?</w:t>
            </w:r>
          </w:p>
        </w:tc>
        <w:tc>
          <w:tcPr>
            <w:tcW w:type="dxa" w:w="2154"/>
          </w:tcPr>
          <w:p>
            <w:pPr>
              <w:spacing w:before="20" w:after="20"/>
            </w:pPr>
            <w:r/>
            <w:r>
              <w:rPr>
                <w:rFonts w:ascii="Calibri" w:hAnsi="Calibri"/>
                <w:b w:val="0"/>
                <w:color w:val="000000"/>
                <w:sz w:val="18"/>
              </w:rPr>
              <w:t>Yes</w:t>
            </w:r>
          </w:p>
        </w:tc>
        <w:tc>
          <w:tcPr>
            <w:tcW w:type="dxa" w:w="4082"/>
          </w:tcPr>
          <w:p>
            <w:pPr>
              <w:spacing w:before="20" w:after="20"/>
            </w:pPr>
            <w:r/>
            <w:r>
              <w:rPr>
                <w:rFonts w:ascii="Calibri" w:hAnsi="Calibri"/>
                <w:b w:val="0"/>
                <w:color w:val="000000"/>
                <w:sz w:val="18"/>
              </w:rPr>
              <w:t>All tasks completed, median interview 42.5 minutes, routing behaved.</w:t>
            </w:r>
          </w:p>
        </w:tc>
      </w:tr>
      <w:tr>
        <w:tc>
          <w:tcPr>
            <w:tcW w:type="dxa" w:w="2948"/>
          </w:tcPr>
          <w:p>
            <w:pPr>
              <w:spacing w:before="20" w:after="20"/>
            </w:pPr>
            <w:r/>
            <w:r>
              <w:rPr>
                <w:rFonts w:ascii="Calibri" w:hAnsi="Calibri"/>
                <w:b/>
                <w:color w:val="000000"/>
                <w:sz w:val="18"/>
              </w:rPr>
              <w:t>Is the choice task understood?</w:t>
            </w:r>
          </w:p>
        </w:tc>
        <w:tc>
          <w:tcPr>
            <w:tcW w:type="dxa" w:w="2154"/>
          </w:tcPr>
          <w:p>
            <w:pPr>
              <w:spacing w:before="20" w:after="20"/>
            </w:pPr>
            <w:r/>
            <w:r>
              <w:rPr>
                <w:rFonts w:ascii="Calibri" w:hAnsi="Calibri"/>
                <w:b w:val="0"/>
                <w:color w:val="000000"/>
                <w:sz w:val="18"/>
              </w:rPr>
              <w:t>Mostly</w:t>
            </w:r>
          </w:p>
        </w:tc>
        <w:tc>
          <w:tcPr>
            <w:tcW w:type="dxa" w:w="4082"/>
          </w:tcPr>
          <w:p>
            <w:pPr>
              <w:spacing w:before="20" w:after="20"/>
            </w:pPr>
            <w:r/>
            <w:r>
              <w:rPr>
                <w:rFonts w:ascii="Calibri" w:hAnsi="Calibri"/>
                <w:b w:val="0"/>
                <w:color w:val="000000"/>
                <w:sz w:val="18"/>
              </w:rPr>
              <w:t>19 of 23 traded off between options; 4 did not engage.</w:t>
            </w:r>
          </w:p>
        </w:tc>
      </w:tr>
      <w:tr>
        <w:tc>
          <w:tcPr>
            <w:tcW w:type="dxa" w:w="2948"/>
          </w:tcPr>
          <w:p>
            <w:pPr>
              <w:spacing w:before="20" w:after="20"/>
            </w:pPr>
            <w:r/>
            <w:r>
              <w:rPr>
                <w:rFonts w:ascii="Calibri" w:hAnsi="Calibri"/>
                <w:b/>
                <w:color w:val="000000"/>
                <w:sz w:val="18"/>
              </w:rPr>
              <w:t>What do traders value in a service?</w:t>
            </w:r>
          </w:p>
        </w:tc>
        <w:tc>
          <w:tcPr>
            <w:tcW w:type="dxa" w:w="2154"/>
          </w:tcPr>
          <w:p>
            <w:pPr>
              <w:spacing w:before="20" w:after="20"/>
            </w:pPr>
            <w:r/>
            <w:r>
              <w:rPr>
                <w:rFonts w:ascii="Calibri" w:hAnsi="Calibri"/>
                <w:b w:val="0"/>
                <w:color w:val="000000"/>
                <w:sz w:val="18"/>
              </w:rPr>
              <w:t>No</w:t>
            </w:r>
          </w:p>
        </w:tc>
        <w:tc>
          <w:tcPr>
            <w:tcW w:type="dxa" w:w="4082"/>
          </w:tcPr>
          <w:p>
            <w:pPr>
              <w:spacing w:before="20" w:after="20"/>
            </w:pPr>
            <w:r/>
            <w:r>
              <w:rPr>
                <w:rFonts w:ascii="Calibri" w:hAnsi="Calibri"/>
                <w:b w:val="0"/>
                <w:color w:val="000000"/>
                <w:sz w:val="18"/>
              </w:rPr>
              <w:t>Not one attribute reaches significance. 12 cards, 15 parameters.</w:t>
            </w:r>
          </w:p>
        </w:tc>
      </w:tr>
      <w:tr>
        <w:tc>
          <w:tcPr>
            <w:tcW w:type="dxa" w:w="2948"/>
          </w:tcPr>
          <w:p>
            <w:pPr>
              <w:spacing w:before="20" w:after="20"/>
            </w:pPr>
            <w:r/>
            <w:r>
              <w:rPr>
                <w:rFonts w:ascii="Calibri" w:hAnsi="Calibri"/>
                <w:b/>
                <w:color w:val="000000"/>
                <w:sz w:val="18"/>
              </w:rPr>
              <w:t>What would they pay?</w:t>
            </w:r>
          </w:p>
        </w:tc>
        <w:tc>
          <w:tcPr>
            <w:tcW w:type="dxa" w:w="2154"/>
          </w:tcPr>
          <w:p>
            <w:pPr>
              <w:spacing w:before="20" w:after="20"/>
            </w:pPr>
            <w:r/>
            <w:r>
              <w:rPr>
                <w:rFonts w:ascii="Calibri" w:hAnsi="Calibri"/>
                <w:b w:val="0"/>
                <w:color w:val="000000"/>
                <w:sz w:val="18"/>
              </w:rPr>
              <w:t>No</w:t>
            </w:r>
          </w:p>
        </w:tc>
        <w:tc>
          <w:tcPr>
            <w:tcW w:type="dxa" w:w="4082"/>
          </w:tcPr>
          <w:p>
            <w:pPr>
              <w:spacing w:before="20" w:after="20"/>
            </w:pPr>
            <w:r/>
            <w:r>
              <w:rPr>
                <w:rFonts w:ascii="Calibri" w:hAnsi="Calibri"/>
                <w:b w:val="0"/>
                <w:color w:val="000000"/>
                <w:sz w:val="18"/>
              </w:rPr>
              <w:t>The price coefficient is insignificant and sign-unstable.</w:t>
            </w:r>
          </w:p>
        </w:tc>
      </w:tr>
      <w:tr>
        <w:tc>
          <w:tcPr>
            <w:tcW w:type="dxa" w:w="2948"/>
          </w:tcPr>
          <w:p>
            <w:pPr>
              <w:spacing w:before="20" w:after="20"/>
            </w:pPr>
            <w:r/>
            <w:r>
              <w:rPr>
                <w:rFonts w:ascii="Calibri" w:hAnsi="Calibri"/>
                <w:b/>
                <w:color w:val="000000"/>
                <w:sz w:val="18"/>
              </w:rPr>
              <w:t>Which management model do they prefer?</w:t>
            </w:r>
          </w:p>
        </w:tc>
        <w:tc>
          <w:tcPr>
            <w:tcW w:type="dxa" w:w="2154"/>
          </w:tcPr>
          <w:p>
            <w:pPr>
              <w:spacing w:before="20" w:after="20"/>
            </w:pPr>
            <w:r/>
            <w:r>
              <w:rPr>
                <w:rFonts w:ascii="Calibri" w:hAnsi="Calibri"/>
                <w:b w:val="0"/>
                <w:color w:val="000000"/>
                <w:sz w:val="18"/>
              </w:rPr>
              <w:t>No</w:t>
            </w:r>
          </w:p>
        </w:tc>
        <w:tc>
          <w:tcPr>
            <w:tcW w:type="dxa" w:w="4082"/>
          </w:tcPr>
          <w:p>
            <w:pPr>
              <w:spacing w:before="20" w:after="20"/>
            </w:pPr>
            <w:r/>
            <w:r>
              <w:rPr>
                <w:rFonts w:ascii="Calibri" w:hAnsi="Calibri"/>
                <w:b w:val="0"/>
                <w:color w:val="000000"/>
                <w:sz w:val="18"/>
              </w:rPr>
              <w:t>All four operator coefficients are insignificant.</w:t>
            </w:r>
          </w:p>
        </w:tc>
      </w:tr>
      <w:tr>
        <w:tc>
          <w:tcPr>
            <w:tcW w:type="dxa" w:w="2948"/>
          </w:tcPr>
          <w:p>
            <w:pPr>
              <w:spacing w:before="20" w:after="20"/>
            </w:pPr>
            <w:r/>
            <w:r>
              <w:rPr>
                <w:rFonts w:ascii="Calibri" w:hAnsi="Calibri"/>
                <w:b/>
                <w:color w:val="000000"/>
                <w:sz w:val="18"/>
              </w:rPr>
              <w:t>Is the design fit for the full study?</w:t>
            </w:r>
          </w:p>
        </w:tc>
        <w:tc>
          <w:tcPr>
            <w:tcW w:type="dxa" w:w="2154"/>
          </w:tcPr>
          <w:p>
            <w:pPr>
              <w:spacing w:before="20" w:after="20"/>
            </w:pPr>
            <w:r/>
            <w:r>
              <w:rPr>
                <w:rFonts w:ascii="Calibri" w:hAnsi="Calibri"/>
                <w:b w:val="0"/>
                <w:color w:val="000000"/>
                <w:sz w:val="18"/>
              </w:rPr>
              <w:t>No — and it has been replaced</w:t>
            </w:r>
          </w:p>
        </w:tc>
        <w:tc>
          <w:tcPr>
            <w:tcW w:type="dxa" w:w="4082"/>
          </w:tcPr>
          <w:p>
            <w:pPr>
              <w:spacing w:before="20" w:after="20"/>
            </w:pPr>
            <w:r/>
            <w:r>
              <w:rPr>
                <w:rFonts w:ascii="Calibri" w:hAnsi="Calibri"/>
                <w:b w:val="0"/>
                <w:color w:val="000000"/>
                <w:sz w:val="18"/>
              </w:rPr>
              <w:t>The fielded design confounds price with position.</w:t>
            </w:r>
          </w:p>
        </w:tc>
      </w:tr>
    </w:tbl>
    <w:p>
      <w:pPr>
        <w:spacing w:before="0" w:after="200"/>
      </w:pPr>
      <w:r>
        <w:rPr>
          <w:rFonts w:ascii="Calibri" w:hAnsi="Calibri"/>
          <w:b w:val="0"/>
          <w:i w:val="0"/>
          <w:color w:val="000000"/>
          <w:sz w:val="22"/>
        </w:rPr>
        <w:t>Nothing in the third to fifth rows should be read as "traders are indifferent". The pilot simply does not carry enough information to measure those things, which is the expected outcome for a sample of this size and was not its purpose.</w:t>
      </w:r>
    </w:p>
    <w:p>
      <w:r>
        <w:br w:type="page"/>
      </w:r>
    </w:p>
    <w:p>
      <w:pPr>
        <w:pStyle w:val="Heading1"/>
        <w:pBdr>
          <w:bottom w:val="single" w:sz="6" w:space="4" w:color="1F3864"/>
        </w:pBdr>
      </w:pPr>
      <w:r>
        <w:t>2.  Changes to the questionnaire, and why</w:t>
      </w:r>
    </w:p>
    <w:p>
      <w:pPr>
        <w:spacing w:before="0" w:after="120"/>
      </w:pPr>
      <w:r>
        <w:rPr>
          <w:rFonts w:ascii="Calibri" w:hAnsi="Calibri"/>
          <w:b w:val="0"/>
          <w:i w:val="0"/>
          <w:color w:val="000000"/>
          <w:sz w:val="22"/>
        </w:rPr>
        <w:t>Each change below is tied to a specific pilot result. Nothing is changed on preference alone.</w:t>
      </w:r>
    </w:p>
    <w:tbl>
      <w:tblPr>
        <w:tblStyle w:val="TableGrid"/>
        <w:tblW w:type="auto" w:w="0"/>
        <w:jc w:val="left"/>
        <w:tblLayout w:type="fixed"/>
        <w:tblLook w:firstColumn="1" w:firstRow="1" w:lastColumn="0" w:lastRow="0" w:noHBand="0" w:noVBand="1" w:val="04A0"/>
      </w:tblPr>
      <w:tblGrid>
        <w:gridCol w:w="2521"/>
        <w:gridCol w:w="2521"/>
        <w:gridCol w:w="2521"/>
        <w:gridCol w:w="2521"/>
      </w:tblGrid>
      <w:tr>
        <w:trPr>
          <w:tblHeader w:val="true"/>
        </w:trPr>
        <w:tc>
          <w:tcPr>
            <w:tcW w:type="dxa" w:w="510"/>
            <w:shd w:val="clear" w:color="auto" w:fill="DEEAF6"/>
          </w:tcPr>
          <w:p>
            <w:pPr>
              <w:spacing w:before="20" w:after="20"/>
              <w:jc w:val="center"/>
            </w:pPr>
            <w:r/>
            <w:r>
              <w:rPr>
                <w:rFonts w:ascii="Calibri" w:hAnsi="Calibri"/>
                <w:b/>
                <w:color w:val="000000"/>
                <w:sz w:val="18"/>
              </w:rPr>
              <w:t>#</w:t>
            </w:r>
          </w:p>
        </w:tc>
        <w:tc>
          <w:tcPr>
            <w:tcW w:type="dxa" w:w="2494"/>
            <w:shd w:val="clear" w:color="auto" w:fill="DEEAF6"/>
          </w:tcPr>
          <w:p>
            <w:pPr>
              <w:spacing w:before="20" w:after="20"/>
              <w:jc w:val="center"/>
            </w:pPr>
            <w:r/>
            <w:r>
              <w:rPr>
                <w:rFonts w:ascii="Calibri" w:hAnsi="Calibri"/>
                <w:b/>
                <w:color w:val="000000"/>
                <w:sz w:val="18"/>
              </w:rPr>
              <w:t>Change</w:t>
            </w:r>
          </w:p>
        </w:tc>
        <w:tc>
          <w:tcPr>
            <w:tcW w:type="dxa" w:w="3175"/>
            <w:shd w:val="clear" w:color="auto" w:fill="DEEAF6"/>
          </w:tcPr>
          <w:p>
            <w:pPr>
              <w:spacing w:before="20" w:after="20"/>
              <w:jc w:val="center"/>
            </w:pPr>
            <w:r/>
            <w:r>
              <w:rPr>
                <w:rFonts w:ascii="Calibri" w:hAnsi="Calibri"/>
                <w:b/>
                <w:color w:val="000000"/>
                <w:sz w:val="18"/>
              </w:rPr>
              <w:t>Evidence from the pilot</w:t>
            </w:r>
          </w:p>
        </w:tc>
        <w:tc>
          <w:tcPr>
            <w:tcW w:type="dxa" w:w="3005"/>
            <w:shd w:val="clear" w:color="auto" w:fill="DEEAF6"/>
          </w:tcPr>
          <w:p>
            <w:pPr>
              <w:spacing w:before="20" w:after="20"/>
              <w:jc w:val="center"/>
            </w:pPr>
            <w:r/>
            <w:r>
              <w:rPr>
                <w:rFonts w:ascii="Calibri" w:hAnsi="Calibri"/>
                <w:b/>
                <w:color w:val="000000"/>
                <w:sz w:val="18"/>
              </w:rPr>
              <w:t>What it fixes</w:t>
            </w:r>
          </w:p>
        </w:tc>
      </w:tr>
      <w:tr>
        <w:tc>
          <w:tcPr>
            <w:tcW w:type="dxa" w:w="510"/>
          </w:tcPr>
          <w:p>
            <w:pPr>
              <w:spacing w:before="20" w:after="20"/>
            </w:pPr>
            <w:r/>
            <w:r>
              <w:rPr>
                <w:rFonts w:ascii="Calibri" w:hAnsi="Calibri"/>
                <w:b/>
                <w:color w:val="000000"/>
                <w:sz w:val="18"/>
              </w:rPr>
              <w:t>1</w:t>
            </w:r>
          </w:p>
        </w:tc>
        <w:tc>
          <w:tcPr>
            <w:tcW w:type="dxa" w:w="2494"/>
          </w:tcPr>
          <w:p>
            <w:pPr>
              <w:spacing w:before="20" w:after="20"/>
            </w:pPr>
            <w:r/>
            <w:r>
              <w:rPr>
                <w:rFonts w:ascii="Calibri" w:hAnsi="Calibri"/>
                <w:b w:val="0"/>
                <w:color w:val="000000"/>
                <w:sz w:val="18"/>
              </w:rPr>
              <w:t>Rotate which option is shown first, per respondent per card, and record the order shown</w:t>
            </w:r>
          </w:p>
        </w:tc>
        <w:tc>
          <w:tcPr>
            <w:tcW w:type="dxa" w:w="3175"/>
          </w:tcPr>
          <w:p>
            <w:pPr>
              <w:spacing w:before="20" w:after="20"/>
            </w:pPr>
            <w:r/>
            <w:r>
              <w:rPr>
                <w:rFonts w:ascii="Calibri" w:hAnsi="Calibri"/>
                <w:b w:val="0"/>
                <w:color w:val="000000"/>
                <w:sz w:val="18"/>
              </w:rPr>
              <w:t>Cheaper option appeared on the left on 9 of 12 cards; position term significant (p = 0.048)</w:t>
            </w:r>
          </w:p>
        </w:tc>
        <w:tc>
          <w:tcPr>
            <w:tcW w:type="dxa" w:w="3005"/>
          </w:tcPr>
          <w:p>
            <w:pPr>
              <w:spacing w:before="20" w:after="20"/>
            </w:pPr>
            <w:r/>
            <w:r>
              <w:rPr>
                <w:rFonts w:ascii="Calibri" w:hAnsi="Calibri"/>
                <w:b w:val="0"/>
                <w:color w:val="000000"/>
                <w:sz w:val="18"/>
              </w:rPr>
              <w:t>Breaks the price–position confound structurally, so it cannot recur whatever the design</w:t>
            </w:r>
          </w:p>
        </w:tc>
      </w:tr>
      <w:tr>
        <w:tc>
          <w:tcPr>
            <w:tcW w:type="dxa" w:w="510"/>
          </w:tcPr>
          <w:p>
            <w:pPr>
              <w:spacing w:before="20" w:after="20"/>
            </w:pPr>
            <w:r/>
            <w:r>
              <w:rPr>
                <w:rFonts w:ascii="Calibri" w:hAnsi="Calibri"/>
                <w:b/>
                <w:color w:val="000000"/>
                <w:sz w:val="18"/>
              </w:rPr>
              <w:t>2</w:t>
            </w:r>
          </w:p>
        </w:tc>
        <w:tc>
          <w:tcPr>
            <w:tcW w:type="dxa" w:w="2494"/>
          </w:tcPr>
          <w:p>
            <w:pPr>
              <w:spacing w:before="20" w:after="20"/>
            </w:pPr>
            <w:r/>
            <w:r>
              <w:rPr>
                <w:rFonts w:ascii="Calibri" w:hAnsi="Calibri"/>
                <w:b w:val="0"/>
                <w:color w:val="000000"/>
                <w:sz w:val="18"/>
              </w:rPr>
              <w:t>Replace the 12-card design with the balanced 18-card design (3 blocks of 6)</w:t>
            </w:r>
          </w:p>
        </w:tc>
        <w:tc>
          <w:tcPr>
            <w:tcW w:type="dxa" w:w="3175"/>
          </w:tcPr>
          <w:p>
            <w:pPr>
              <w:spacing w:before="20" w:after="20"/>
            </w:pPr>
            <w:r/>
            <w:r>
              <w:rPr>
                <w:rFonts w:ascii="Calibri" w:hAnsi="Calibri"/>
                <w:b w:val="0"/>
                <w:color w:val="000000"/>
                <w:sz w:val="18"/>
              </w:rPr>
              <w:t>No attribute estimable; every standard error large</w:t>
            </w:r>
          </w:p>
        </w:tc>
        <w:tc>
          <w:tcPr>
            <w:tcW w:type="dxa" w:w="3005"/>
          </w:tcPr>
          <w:p>
            <w:pPr>
              <w:spacing w:before="20" w:after="20"/>
            </w:pPr>
            <w:r/>
            <w:r>
              <w:rPr>
                <w:rFonts w:ascii="Calibri" w:hAnsi="Calibri"/>
                <w:b w:val="0"/>
                <w:color w:val="000000"/>
                <w:sz w:val="18"/>
              </w:rPr>
              <w:t>Gives enough independent variation to estimate the model; all four management models appear equally in every block</w:t>
            </w:r>
          </w:p>
        </w:tc>
      </w:tr>
      <w:tr>
        <w:tc>
          <w:tcPr>
            <w:tcW w:type="dxa" w:w="510"/>
          </w:tcPr>
          <w:p>
            <w:pPr>
              <w:spacing w:before="20" w:after="20"/>
            </w:pPr>
            <w:r/>
            <w:r>
              <w:rPr>
                <w:rFonts w:ascii="Calibri" w:hAnsi="Calibri"/>
                <w:b/>
                <w:color w:val="000000"/>
                <w:sz w:val="18"/>
              </w:rPr>
              <w:t>3</w:t>
            </w:r>
          </w:p>
        </w:tc>
        <w:tc>
          <w:tcPr>
            <w:tcW w:type="dxa" w:w="2494"/>
          </w:tcPr>
          <w:p>
            <w:pPr>
              <w:spacing w:before="20" w:after="20"/>
            </w:pPr>
            <w:r/>
            <w:r>
              <w:rPr>
                <w:rFonts w:ascii="Calibri" w:hAnsi="Calibri"/>
                <w:b w:val="0"/>
                <w:color w:val="000000"/>
                <w:sz w:val="18"/>
              </w:rPr>
              <w:t>Record the block shown as a data field</w:t>
            </w:r>
          </w:p>
        </w:tc>
        <w:tc>
          <w:tcPr>
            <w:tcW w:type="dxa" w:w="3175"/>
          </w:tcPr>
          <w:p>
            <w:pPr>
              <w:spacing w:before="20" w:after="20"/>
            </w:pPr>
            <w:r/>
            <w:r>
              <w:rPr>
                <w:rFonts w:ascii="Calibri" w:hAnsi="Calibri"/>
                <w:b w:val="0"/>
                <w:color w:val="000000"/>
                <w:sz w:val="18"/>
              </w:rPr>
              <w:t>Block was recorded as free text ("Block 1 (Odd-numbered IDs)")</w:t>
            </w:r>
          </w:p>
        </w:tc>
        <w:tc>
          <w:tcPr>
            <w:tcW w:type="dxa" w:w="3005"/>
          </w:tcPr>
          <w:p>
            <w:pPr>
              <w:spacing w:before="20" w:after="20"/>
            </w:pPr>
            <w:r/>
            <w:r>
              <w:rPr>
                <w:rFonts w:ascii="Calibri" w:hAnsi="Calibri"/>
                <w:b w:val="0"/>
                <w:color w:val="000000"/>
                <w:sz w:val="18"/>
              </w:rPr>
              <w:t>With three blocks the analysis cannot proceed without a clean block variable</w:t>
            </w:r>
          </w:p>
        </w:tc>
      </w:tr>
      <w:tr>
        <w:tc>
          <w:tcPr>
            <w:tcW w:type="dxa" w:w="510"/>
          </w:tcPr>
          <w:p>
            <w:pPr>
              <w:spacing w:before="20" w:after="20"/>
            </w:pPr>
            <w:r/>
            <w:r>
              <w:rPr>
                <w:rFonts w:ascii="Calibri" w:hAnsi="Calibri"/>
                <w:b/>
                <w:color w:val="000000"/>
                <w:sz w:val="18"/>
              </w:rPr>
              <w:t>4</w:t>
            </w:r>
          </w:p>
        </w:tc>
        <w:tc>
          <w:tcPr>
            <w:tcW w:type="dxa" w:w="2494"/>
          </w:tcPr>
          <w:p>
            <w:pPr>
              <w:spacing w:before="20" w:after="20"/>
            </w:pPr>
            <w:r/>
            <w:r>
              <w:rPr>
                <w:rFonts w:ascii="Calibri" w:hAnsi="Calibri"/>
                <w:b w:val="0"/>
                <w:color w:val="000000"/>
                <w:sz w:val="18"/>
              </w:rPr>
              <w:t>Flag straight-lining automatically and prompt the enumerator</w:t>
            </w:r>
          </w:p>
        </w:tc>
        <w:tc>
          <w:tcPr>
            <w:tcW w:type="dxa" w:w="3175"/>
          </w:tcPr>
          <w:p>
            <w:pPr>
              <w:spacing w:before="20" w:after="20"/>
            </w:pPr>
            <w:r/>
            <w:r>
              <w:rPr>
                <w:rFonts w:ascii="Calibri" w:hAnsi="Calibri"/>
                <w:b w:val="0"/>
                <w:color w:val="000000"/>
                <w:sz w:val="18"/>
              </w:rPr>
              <w:t>4 of 23 chose the same side on all six tasks</w:t>
            </w:r>
          </w:p>
        </w:tc>
        <w:tc>
          <w:tcPr>
            <w:tcW w:type="dxa" w:w="3005"/>
          </w:tcPr>
          <w:p>
            <w:pPr>
              <w:spacing w:before="20" w:after="20"/>
            </w:pPr>
            <w:r/>
            <w:r>
              <w:rPr>
                <w:rFonts w:ascii="Calibri" w:hAnsi="Calibri"/>
                <w:b w:val="0"/>
                <w:color w:val="000000"/>
                <w:sz w:val="18"/>
              </w:rPr>
              <w:t>Catches non-engagement while the enumerator is still present, instead of in analysis months later</w:t>
            </w:r>
          </w:p>
        </w:tc>
      </w:tr>
      <w:tr>
        <w:tc>
          <w:tcPr>
            <w:tcW w:type="dxa" w:w="510"/>
          </w:tcPr>
          <w:p>
            <w:pPr>
              <w:spacing w:before="20" w:after="20"/>
            </w:pPr>
            <w:r/>
            <w:r>
              <w:rPr>
                <w:rFonts w:ascii="Calibri" w:hAnsi="Calibri"/>
                <w:b/>
                <w:color w:val="000000"/>
                <w:sz w:val="18"/>
              </w:rPr>
              <w:t>5</w:t>
            </w:r>
          </w:p>
        </w:tc>
        <w:tc>
          <w:tcPr>
            <w:tcW w:type="dxa" w:w="2494"/>
          </w:tcPr>
          <w:p>
            <w:pPr>
              <w:spacing w:before="20" w:after="20"/>
            </w:pPr>
            <w:r/>
            <w:r>
              <w:rPr>
                <w:rFonts w:ascii="Calibri" w:hAnsi="Calibri"/>
                <w:b w:val="0"/>
                <w:color w:val="000000"/>
                <w:sz w:val="18"/>
              </w:rPr>
              <w:t>Standardise the wording of every attribute level across cards</w:t>
            </w:r>
          </w:p>
        </w:tc>
        <w:tc>
          <w:tcPr>
            <w:tcW w:type="dxa" w:w="3175"/>
          </w:tcPr>
          <w:p>
            <w:pPr>
              <w:spacing w:before="20" w:after="20"/>
            </w:pPr>
            <w:r/>
            <w:r>
              <w:rPr>
                <w:rFonts w:ascii="Calibri" w:hAnsi="Calibri"/>
                <w:b w:val="0"/>
                <w:color w:val="000000"/>
                <w:sz w:val="18"/>
              </w:rPr>
              <w:t>Two levels were written two ways ("Private operator" vs "Private operator (Operator complaints)"; two wordings for no accommodation)</w:t>
            </w:r>
          </w:p>
        </w:tc>
        <w:tc>
          <w:tcPr>
            <w:tcW w:type="dxa" w:w="3005"/>
          </w:tcPr>
          <w:p>
            <w:pPr>
              <w:spacing w:before="20" w:after="20"/>
            </w:pPr>
            <w:r/>
            <w:r>
              <w:rPr>
                <w:rFonts w:ascii="Calibri" w:hAnsi="Calibri"/>
                <w:b w:val="0"/>
                <w:color w:val="000000"/>
                <w:sz w:val="18"/>
              </w:rPr>
              <w:t>Prevents the same level being coded as two different things</w:t>
            </w:r>
          </w:p>
        </w:tc>
      </w:tr>
      <w:tr>
        <w:tc>
          <w:tcPr>
            <w:tcW w:type="dxa" w:w="510"/>
          </w:tcPr>
          <w:p>
            <w:pPr>
              <w:spacing w:before="20" w:after="20"/>
            </w:pPr>
            <w:r/>
            <w:r>
              <w:rPr>
                <w:rFonts w:ascii="Calibri" w:hAnsi="Calibri"/>
                <w:b/>
                <w:color w:val="000000"/>
                <w:sz w:val="18"/>
              </w:rPr>
              <w:t>6</w:t>
            </w:r>
          </w:p>
        </w:tc>
        <w:tc>
          <w:tcPr>
            <w:tcW w:type="dxa" w:w="2494"/>
          </w:tcPr>
          <w:p>
            <w:pPr>
              <w:spacing w:before="20" w:after="20"/>
            </w:pPr>
            <w:r/>
            <w:r>
              <w:rPr>
                <w:rFonts w:ascii="Calibri" w:hAnsi="Calibri"/>
                <w:b w:val="0"/>
                <w:color w:val="000000"/>
                <w:sz w:val="18"/>
              </w:rPr>
              <w:t>Capture interview start and end explicitly; do not rely on form open/close</w:t>
            </w:r>
          </w:p>
        </w:tc>
        <w:tc>
          <w:tcPr>
            <w:tcW w:type="dxa" w:w="3175"/>
          </w:tcPr>
          <w:p>
            <w:pPr>
              <w:spacing w:before="20" w:after="20"/>
            </w:pPr>
            <w:r/>
            <w:r>
              <w:rPr>
                <w:rFonts w:ascii="Calibri" w:hAnsi="Calibri"/>
                <w:b w:val="0"/>
                <w:color w:val="000000"/>
                <w:sz w:val="18"/>
              </w:rPr>
              <w:t>Median 42.5 min, but 3 interviews recorded over 3 hours and one at 18 hours</w:t>
            </w:r>
          </w:p>
        </w:tc>
        <w:tc>
          <w:tcPr>
            <w:tcW w:type="dxa" w:w="3005"/>
          </w:tcPr>
          <w:p>
            <w:pPr>
              <w:spacing w:before="20" w:after="20"/>
            </w:pPr>
            <w:r/>
            <w:r>
              <w:rPr>
                <w:rFonts w:ascii="Calibri" w:hAnsi="Calibri"/>
                <w:b w:val="0"/>
                <w:color w:val="000000"/>
                <w:sz w:val="18"/>
              </w:rPr>
              <w:t>Makes duration usable as a quality measure</w:t>
            </w:r>
          </w:p>
        </w:tc>
      </w:tr>
      <w:tr>
        <w:tc>
          <w:tcPr>
            <w:tcW w:type="dxa" w:w="510"/>
          </w:tcPr>
          <w:p>
            <w:pPr>
              <w:spacing w:before="20" w:after="20"/>
            </w:pPr>
            <w:r/>
            <w:r>
              <w:rPr>
                <w:rFonts w:ascii="Calibri" w:hAnsi="Calibri"/>
                <w:b/>
                <w:color w:val="000000"/>
                <w:sz w:val="18"/>
              </w:rPr>
              <w:t>7</w:t>
            </w:r>
          </w:p>
        </w:tc>
        <w:tc>
          <w:tcPr>
            <w:tcW w:type="dxa" w:w="2494"/>
          </w:tcPr>
          <w:p>
            <w:pPr>
              <w:spacing w:before="20" w:after="20"/>
            </w:pPr>
            <w:r/>
            <w:r>
              <w:rPr>
                <w:rFonts w:ascii="Calibri" w:hAnsi="Calibri"/>
                <w:b w:val="0"/>
                <w:color w:val="000000"/>
                <w:sz w:val="18"/>
              </w:rPr>
              <w:t>Drop E1h from any composite; keep it as a standalone item</w:t>
            </w:r>
          </w:p>
        </w:tc>
        <w:tc>
          <w:tcPr>
            <w:tcW w:type="dxa" w:w="3175"/>
          </w:tcPr>
          <w:p>
            <w:pPr>
              <w:spacing w:before="20" w:after="20"/>
            </w:pPr>
            <w:r/>
            <w:r>
              <w:rPr>
                <w:rFonts w:ascii="Calibri" w:hAnsi="Calibri"/>
                <w:b w:val="0"/>
                <w:color w:val="000000"/>
                <w:sz w:val="18"/>
              </w:rPr>
              <w:t>Zero variance — every trader gave the same answer</w:t>
            </w:r>
          </w:p>
        </w:tc>
        <w:tc>
          <w:tcPr>
            <w:tcW w:type="dxa" w:w="3005"/>
          </w:tcPr>
          <w:p>
            <w:pPr>
              <w:spacing w:before="20" w:after="20"/>
            </w:pPr>
            <w:r/>
            <w:r>
              <w:rPr>
                <w:rFonts w:ascii="Calibri" w:hAnsi="Calibri"/>
                <w:b w:val="0"/>
                <w:color w:val="000000"/>
                <w:sz w:val="18"/>
              </w:rPr>
              <w:t>An item with no variation cannot belong to a scale</w:t>
            </w:r>
          </w:p>
        </w:tc>
      </w:tr>
      <w:tr>
        <w:tc>
          <w:tcPr>
            <w:tcW w:type="dxa" w:w="510"/>
          </w:tcPr>
          <w:p>
            <w:pPr>
              <w:spacing w:before="20" w:after="20"/>
            </w:pPr>
            <w:r/>
            <w:r>
              <w:rPr>
                <w:rFonts w:ascii="Calibri" w:hAnsi="Calibri"/>
                <w:b/>
                <w:color w:val="000000"/>
                <w:sz w:val="18"/>
              </w:rPr>
              <w:t>8</w:t>
            </w:r>
          </w:p>
        </w:tc>
        <w:tc>
          <w:tcPr>
            <w:tcW w:type="dxa" w:w="2494"/>
          </w:tcPr>
          <w:p>
            <w:pPr>
              <w:spacing w:before="20" w:after="20"/>
            </w:pPr>
            <w:r/>
            <w:r>
              <w:rPr>
                <w:rFonts w:ascii="Calibri" w:hAnsi="Calibri"/>
                <w:b w:val="0"/>
                <w:color w:val="000000"/>
                <w:sz w:val="18"/>
              </w:rPr>
              <w:t>Analyse E1 and E6 item by item; do not sum them</w:t>
            </w:r>
          </w:p>
        </w:tc>
        <w:tc>
          <w:tcPr>
            <w:tcW w:type="dxa" w:w="3175"/>
          </w:tcPr>
          <w:p>
            <w:pPr>
              <w:spacing w:before="20" w:after="20"/>
            </w:pPr>
            <w:r/>
            <w:r>
              <w:rPr>
                <w:rFonts w:ascii="Calibri" w:hAnsi="Calibri"/>
                <w:b w:val="0"/>
                <w:color w:val="000000"/>
                <w:sz w:val="18"/>
              </w:rPr>
              <w:t>E1 alpha 0.483; E6 alpha 0.600 as collected but 0.048 once the two reverse-worded items are corrected</w:t>
            </w:r>
          </w:p>
        </w:tc>
        <w:tc>
          <w:tcPr>
            <w:tcW w:type="dxa" w:w="3005"/>
          </w:tcPr>
          <w:p>
            <w:pPr>
              <w:spacing w:before="20" w:after="20"/>
            </w:pPr>
            <w:r/>
            <w:r>
              <w:rPr>
                <w:rFonts w:ascii="Calibri" w:hAnsi="Calibri"/>
                <w:b w:val="0"/>
                <w:color w:val="000000"/>
                <w:sz w:val="18"/>
              </w:rPr>
              <w:t>Neither is a coherent scale; summing produces a number that measures nothing</w:t>
            </w:r>
          </w:p>
        </w:tc>
      </w:tr>
      <w:tr>
        <w:tc>
          <w:tcPr>
            <w:tcW w:type="dxa" w:w="510"/>
          </w:tcPr>
          <w:p>
            <w:pPr>
              <w:spacing w:before="20" w:after="20"/>
            </w:pPr>
            <w:r/>
            <w:r>
              <w:rPr>
                <w:rFonts w:ascii="Calibri" w:hAnsi="Calibri"/>
                <w:b/>
                <w:color w:val="000000"/>
                <w:sz w:val="18"/>
              </w:rPr>
              <w:t>9</w:t>
            </w:r>
          </w:p>
        </w:tc>
        <w:tc>
          <w:tcPr>
            <w:tcW w:type="dxa" w:w="2494"/>
          </w:tcPr>
          <w:p>
            <w:pPr>
              <w:spacing w:before="20" w:after="20"/>
            </w:pPr>
            <w:r/>
            <w:r>
              <w:rPr>
                <w:rFonts w:ascii="Calibri" w:hAnsi="Calibri"/>
                <w:b w:val="0"/>
                <w:color w:val="000000"/>
                <w:sz w:val="18"/>
              </w:rPr>
              <w:t>Align the direction of the E6 statements, or mark the reversed ones in the form</w:t>
            </w:r>
          </w:p>
        </w:tc>
        <w:tc>
          <w:tcPr>
            <w:tcW w:type="dxa" w:w="3175"/>
          </w:tcPr>
          <w:p>
            <w:pPr>
              <w:spacing w:before="20" w:after="20"/>
            </w:pPr>
            <w:r/>
            <w:r>
              <w:rPr>
                <w:rFonts w:ascii="Calibri" w:hAnsi="Calibri"/>
                <w:b w:val="0"/>
                <w:color w:val="000000"/>
                <w:sz w:val="18"/>
              </w:rPr>
              <w:t>E6a and E6b run opposite to E6c–E6g; item-total correlations turn negative when corrected</w:t>
            </w:r>
          </w:p>
        </w:tc>
        <w:tc>
          <w:tcPr>
            <w:tcW w:type="dxa" w:w="3005"/>
          </w:tcPr>
          <w:p>
            <w:pPr>
              <w:spacing w:before="20" w:after="20"/>
            </w:pPr>
            <w:r/>
            <w:r>
              <w:rPr>
                <w:rFonts w:ascii="Calibri" w:hAnsi="Calibri"/>
                <w:b w:val="0"/>
                <w:color w:val="000000"/>
                <w:sz w:val="18"/>
              </w:rPr>
              <w:t>Removes the main reason the scale falls apart</w:t>
            </w:r>
          </w:p>
        </w:tc>
      </w:tr>
    </w:tbl>
    <w:p>
      <w:pPr>
        <w:spacing w:before="120" w:after="160"/>
        <w:ind w:left="283"/>
        <w:pBdr>
          <w:left w:val="single" w:sz="18" w:space="8" w:color="C00000"/>
        </w:pBdr>
      </w:pPr>
      <w:r>
        <w:rPr>
          <w:rFonts w:ascii="Calibri" w:hAnsi="Calibri"/>
          <w:b/>
          <w:color w:val="C00000"/>
          <w:sz w:val="21"/>
        </w:rPr>
        <w:t xml:space="preserve">What to do:  </w:t>
      </w:r>
      <w:r>
        <w:rPr>
          <w:rFonts w:ascii="Calibri" w:hAnsi="Calibri"/>
          <w:sz w:val="21"/>
        </w:rPr>
        <w:t>Items 1 to 4 are the ones that must be in place before the next interview. Items 5 to 9 affect analysis rather than fieldwork and can follow.</w:t>
      </w:r>
    </w:p>
    <w:p>
      <w:r>
        <w:br w:type="page"/>
      </w:r>
    </w:p>
    <w:p>
      <w:pPr>
        <w:pStyle w:val="Heading1"/>
        <w:pBdr>
          <w:bottom w:val="single" w:sz="6" w:space="4" w:color="1F3864"/>
        </w:pBdr>
      </w:pPr>
      <w:r>
        <w:t>3.  Which variables matter, on the evidence so far</w:t>
      </w:r>
    </w:p>
    <w:p>
      <w:pPr>
        <w:spacing w:before="0" w:after="120"/>
      </w:pPr>
      <w:r>
        <w:rPr>
          <w:rFonts w:ascii="Calibri" w:hAnsi="Calibri"/>
          <w:b w:val="0"/>
          <w:i w:val="0"/>
          <w:color w:val="000000"/>
          <w:sz w:val="22"/>
        </w:rPr>
        <w:t>This ranks variables by whether the pilot showed them to be measurable, discriminating and load-bearing for the study objectives — not by how interesting they sound.</w:t>
      </w:r>
    </w:p>
    <w:p>
      <w:pPr>
        <w:pStyle w:val="Heading2"/>
      </w:pPr>
      <w:r>
        <w:t>3.1  Carry these — they work and they answer the objectives</w:t>
      </w:r>
    </w:p>
    <w:tbl>
      <w:tblPr>
        <w:tblStyle w:val="TableGrid"/>
        <w:tblW w:type="auto" w:w="0"/>
        <w:jc w:val="left"/>
        <w:tblLayout w:type="fixed"/>
        <w:tblLook w:firstColumn="1" w:firstRow="1" w:lastColumn="0" w:lastRow="0" w:noHBand="0" w:noVBand="1" w:val="04A0"/>
      </w:tblPr>
      <w:tblGrid>
        <w:gridCol w:w="5043"/>
        <w:gridCol w:w="5043"/>
      </w:tblGrid>
      <w:tr>
        <w:trPr>
          <w:tblHeader w:val="true"/>
        </w:trPr>
        <w:tc>
          <w:tcPr>
            <w:tcW w:type="dxa" w:w="2948"/>
            <w:shd w:val="clear" w:color="auto" w:fill="DEEAF6"/>
          </w:tcPr>
          <w:p>
            <w:pPr>
              <w:spacing w:before="20" w:after="20"/>
              <w:jc w:val="center"/>
            </w:pPr>
            <w:r/>
            <w:r>
              <w:rPr>
                <w:rFonts w:ascii="Calibri" w:hAnsi="Calibri"/>
                <w:b/>
                <w:color w:val="000000"/>
                <w:sz w:val="18"/>
              </w:rPr>
              <w:t>Variable</w:t>
            </w:r>
          </w:p>
        </w:tc>
        <w:tc>
          <w:tcPr>
            <w:tcW w:type="dxa" w:w="6236"/>
            <w:shd w:val="clear" w:color="auto" w:fill="DEEAF6"/>
          </w:tcPr>
          <w:p>
            <w:pPr>
              <w:spacing w:before="20" w:after="20"/>
              <w:jc w:val="center"/>
            </w:pPr>
            <w:r/>
            <w:r>
              <w:rPr>
                <w:rFonts w:ascii="Calibri" w:hAnsi="Calibri"/>
                <w:b/>
                <w:color w:val="000000"/>
                <w:sz w:val="18"/>
              </w:rPr>
              <w:t>Why it earns its place</w:t>
            </w:r>
          </w:p>
        </w:tc>
      </w:tr>
      <w:tr>
        <w:tc>
          <w:tcPr>
            <w:tcW w:type="dxa" w:w="2948"/>
          </w:tcPr>
          <w:p>
            <w:pPr>
              <w:spacing w:before="20" w:after="20"/>
            </w:pPr>
            <w:r/>
            <w:r>
              <w:rPr>
                <w:rFonts w:ascii="Calibri" w:hAnsi="Calibri"/>
                <w:b/>
                <w:color w:val="000000"/>
                <w:sz w:val="18"/>
              </w:rPr>
              <w:t>B24 / B25 gross and net daily takings</w:t>
            </w:r>
          </w:p>
        </w:tc>
        <w:tc>
          <w:tcPr>
            <w:tcW w:type="dxa" w:w="6236"/>
          </w:tcPr>
          <w:p>
            <w:pPr>
              <w:spacing w:before="20" w:after="20"/>
            </w:pPr>
            <w:r/>
            <w:r>
              <w:rPr>
                <w:rFonts w:ascii="Calibri" w:hAnsi="Calibri"/>
                <w:b w:val="0"/>
                <w:color w:val="000000"/>
                <w:sz w:val="18"/>
              </w:rPr>
              <w:t>Complete, well spread, and the only affordability anchor. Everything about price rests on it.</w:t>
            </w:r>
          </w:p>
        </w:tc>
      </w:tr>
      <w:tr>
        <w:tc>
          <w:tcPr>
            <w:tcW w:type="dxa" w:w="2948"/>
          </w:tcPr>
          <w:p>
            <w:pPr>
              <w:spacing w:before="20" w:after="20"/>
            </w:pPr>
            <w:r/>
            <w:r>
              <w:rPr>
                <w:rFonts w:ascii="Calibri" w:hAnsi="Calibri"/>
                <w:b/>
                <w:color w:val="000000"/>
                <w:sz w:val="18"/>
              </w:rPr>
              <w:t>B27 / B27a / B27c lost trading days and income</w:t>
            </w:r>
          </w:p>
        </w:tc>
        <w:tc>
          <w:tcPr>
            <w:tcW w:type="dxa" w:w="6236"/>
          </w:tcPr>
          <w:p>
            <w:pPr>
              <w:spacing w:before="20" w:after="20"/>
            </w:pPr>
            <w:r/>
            <w:r>
              <w:rPr>
                <w:rFonts w:ascii="Calibri" w:hAnsi="Calibri"/>
                <w:b w:val="0"/>
                <w:color w:val="000000"/>
                <w:sz w:val="18"/>
              </w:rPr>
              <w:t>The productivity-loss estimate. It is the benefit side of the business case and cannot be recovered from any other question.</w:t>
            </w:r>
          </w:p>
        </w:tc>
      </w:tr>
      <w:tr>
        <w:tc>
          <w:tcPr>
            <w:tcW w:type="dxa" w:w="2948"/>
          </w:tcPr>
          <w:p>
            <w:pPr>
              <w:spacing w:before="20" w:after="20"/>
            </w:pPr>
            <w:r/>
            <w:r>
              <w:rPr>
                <w:rFonts w:ascii="Calibri" w:hAnsi="Calibri"/>
                <w:b/>
                <w:color w:val="000000"/>
                <w:sz w:val="18"/>
              </w:rPr>
              <w:t>C7 current care arrangement, C8 amount paid, C15 hours needed</w:t>
            </w:r>
          </w:p>
        </w:tc>
        <w:tc>
          <w:tcPr>
            <w:tcW w:type="dxa" w:w="6236"/>
          </w:tcPr>
          <w:p>
            <w:pPr>
              <w:spacing w:before="20" w:after="20"/>
            </w:pPr>
            <w:r/>
            <w:r>
              <w:rPr>
                <w:rFonts w:ascii="Calibri" w:hAnsi="Calibri"/>
                <w:b w:val="0"/>
                <w:color w:val="000000"/>
                <w:sz w:val="18"/>
              </w:rPr>
              <w:t>Current behaviour and current spending. Revealed conduct is a stronger anchor for willingness to pay than anything stated.</w:t>
            </w:r>
          </w:p>
        </w:tc>
      </w:tr>
      <w:tr>
        <w:tc>
          <w:tcPr>
            <w:tcW w:type="dxa" w:w="2948"/>
          </w:tcPr>
          <w:p>
            <w:pPr>
              <w:spacing w:before="20" w:after="20"/>
            </w:pPr>
            <w:r/>
            <w:r>
              <w:rPr>
                <w:rFonts w:ascii="Calibri" w:hAnsi="Calibri"/>
                <w:b/>
                <w:color w:val="000000"/>
                <w:sz w:val="18"/>
              </w:rPr>
              <w:t>E2 / E2a barriers and the single main barrier</w:t>
            </w:r>
          </w:p>
        </w:tc>
        <w:tc>
          <w:tcPr>
            <w:tcW w:type="dxa" w:w="6236"/>
          </w:tcPr>
          <w:p>
            <w:pPr>
              <w:spacing w:before="20" w:after="20"/>
            </w:pPr>
            <w:r/>
            <w:r>
              <w:rPr>
                <w:rFonts w:ascii="Calibri" w:hAnsi="Calibri"/>
                <w:b w:val="0"/>
                <w:color w:val="000000"/>
                <w:sz w:val="18"/>
              </w:rPr>
              <w:t>Discriminated well and maps directly onto uptake.</w:t>
            </w:r>
          </w:p>
        </w:tc>
      </w:tr>
      <w:tr>
        <w:tc>
          <w:tcPr>
            <w:tcW w:type="dxa" w:w="2948"/>
          </w:tcPr>
          <w:p>
            <w:pPr>
              <w:spacing w:before="20" w:after="20"/>
            </w:pPr>
            <w:r/>
            <w:r>
              <w:rPr>
                <w:rFonts w:ascii="Calibri" w:hAnsi="Calibri"/>
                <w:b/>
                <w:color w:val="000000"/>
                <w:sz w:val="18"/>
              </w:rPr>
              <w:t>E3a–E3d schedule and acceptable distance</w:t>
            </w:r>
          </w:p>
        </w:tc>
        <w:tc>
          <w:tcPr>
            <w:tcW w:type="dxa" w:w="6236"/>
          </w:tcPr>
          <w:p>
            <w:pPr>
              <w:spacing w:before="20" w:after="20"/>
            </w:pPr>
            <w:r/>
            <w:r>
              <w:rPr>
                <w:rFonts w:ascii="Calibri" w:hAnsi="Calibri"/>
                <w:b w:val="0"/>
                <w:color w:val="000000"/>
                <w:sz w:val="18"/>
              </w:rPr>
              <w:t>The operational specification. The service cannot be designed without it.</w:t>
            </w:r>
          </w:p>
        </w:tc>
      </w:tr>
      <w:tr>
        <w:tc>
          <w:tcPr>
            <w:tcW w:type="dxa" w:w="2948"/>
          </w:tcPr>
          <w:p>
            <w:pPr>
              <w:spacing w:before="20" w:after="20"/>
            </w:pPr>
            <w:r/>
            <w:r>
              <w:rPr>
                <w:rFonts w:ascii="Calibri" w:hAnsi="Calibri"/>
                <w:b/>
                <w:color w:val="000000"/>
                <w:sz w:val="18"/>
              </w:rPr>
              <w:t>E4 responsibility matrix</w:t>
            </w:r>
          </w:p>
        </w:tc>
        <w:tc>
          <w:tcPr>
            <w:tcW w:type="dxa" w:w="6236"/>
          </w:tcPr>
          <w:p>
            <w:pPr>
              <w:spacing w:before="20" w:after="20"/>
            </w:pPr>
            <w:r/>
            <w:r>
              <w:rPr>
                <w:rFonts w:ascii="Calibri" w:hAnsi="Calibri"/>
                <w:b w:val="0"/>
                <w:color w:val="000000"/>
                <w:sz w:val="18"/>
              </w:rPr>
              <w:t>The only demand-side evidence on governance, and it feeds the model comparison directly.</w:t>
            </w:r>
          </w:p>
        </w:tc>
      </w:tr>
      <w:tr>
        <w:tc>
          <w:tcPr>
            <w:tcW w:type="dxa" w:w="2948"/>
          </w:tcPr>
          <w:p>
            <w:pPr>
              <w:spacing w:before="20" w:after="20"/>
            </w:pPr>
            <w:r/>
            <w:r>
              <w:rPr>
                <w:rFonts w:ascii="Calibri" w:hAnsi="Calibri"/>
                <w:b/>
                <w:color w:val="000000"/>
                <w:sz w:val="18"/>
              </w:rPr>
              <w:t>C12 / C13 Washington Group items</w:t>
            </w:r>
          </w:p>
        </w:tc>
        <w:tc>
          <w:tcPr>
            <w:tcW w:type="dxa" w:w="6236"/>
          </w:tcPr>
          <w:p>
            <w:pPr>
              <w:spacing w:before="20" w:after="20"/>
            </w:pPr>
            <w:r/>
            <w:r>
              <w:rPr>
                <w:rFonts w:ascii="Calibri" w:hAnsi="Calibri"/>
                <w:b w:val="0"/>
                <w:color w:val="000000"/>
                <w:sz w:val="18"/>
              </w:rPr>
              <w:t>Standard, comparable, and the gate for the whole inclusion module.</w:t>
            </w:r>
          </w:p>
        </w:tc>
      </w:tr>
      <w:tr>
        <w:tc>
          <w:tcPr>
            <w:tcW w:type="dxa" w:w="2948"/>
          </w:tcPr>
          <w:p>
            <w:pPr>
              <w:spacing w:before="20" w:after="20"/>
            </w:pPr>
            <w:r/>
            <w:r>
              <w:rPr>
                <w:rFonts w:ascii="Calibri" w:hAnsi="Calibri"/>
                <w:b/>
                <w:color w:val="000000"/>
                <w:sz w:val="18"/>
              </w:rPr>
              <w:t>Section F choice tasks (rebuilt)</w:t>
            </w:r>
          </w:p>
        </w:tc>
        <w:tc>
          <w:tcPr>
            <w:tcW w:type="dxa" w:w="6236"/>
          </w:tcPr>
          <w:p>
            <w:pPr>
              <w:spacing w:before="20" w:after="20"/>
            </w:pPr>
            <w:r/>
            <w:r>
              <w:rPr>
                <w:rFonts w:ascii="Calibri" w:hAnsi="Calibri"/>
                <w:b w:val="0"/>
                <w:color w:val="000000"/>
                <w:sz w:val="18"/>
              </w:rPr>
              <w:t>Once the design and rotation are fixed this becomes the core of objective ii.</w:t>
            </w:r>
          </w:p>
        </w:tc>
      </w:tr>
    </w:tbl>
    <w:p>
      <w:pPr>
        <w:pStyle w:val="Heading2"/>
      </w:pPr>
      <w:r>
        <w:t>3.2  Keep, but treat as single items — not as scales</w:t>
      </w:r>
    </w:p>
    <w:tbl>
      <w:tblPr>
        <w:tblStyle w:val="TableGrid"/>
        <w:tblW w:type="auto" w:w="0"/>
        <w:jc w:val="left"/>
        <w:tblLayout w:type="fixed"/>
        <w:tblLook w:firstColumn="1" w:firstRow="1" w:lastColumn="0" w:lastRow="0" w:noHBand="0" w:noVBand="1" w:val="04A0"/>
      </w:tblPr>
      <w:tblGrid>
        <w:gridCol w:w="3362"/>
        <w:gridCol w:w="3362"/>
        <w:gridCol w:w="3362"/>
      </w:tblGrid>
      <w:tr>
        <w:trPr>
          <w:tblHeader w:val="true"/>
        </w:trPr>
        <w:tc>
          <w:tcPr>
            <w:tcW w:type="dxa" w:w="2381"/>
            <w:shd w:val="clear" w:color="auto" w:fill="DEEAF6"/>
          </w:tcPr>
          <w:p>
            <w:pPr>
              <w:spacing w:before="20" w:after="20"/>
              <w:jc w:val="center"/>
            </w:pPr>
            <w:r/>
            <w:r>
              <w:rPr>
                <w:rFonts w:ascii="Calibri" w:hAnsi="Calibri"/>
                <w:b/>
                <w:color w:val="000000"/>
                <w:sz w:val="18"/>
              </w:rPr>
              <w:t>Variable</w:t>
            </w:r>
          </w:p>
        </w:tc>
        <w:tc>
          <w:tcPr>
            <w:tcW w:type="dxa" w:w="3175"/>
            <w:shd w:val="clear" w:color="auto" w:fill="DEEAF6"/>
          </w:tcPr>
          <w:p>
            <w:pPr>
              <w:spacing w:before="20" w:after="20"/>
              <w:jc w:val="center"/>
            </w:pPr>
            <w:r/>
            <w:r>
              <w:rPr>
                <w:rFonts w:ascii="Calibri" w:hAnsi="Calibri"/>
                <w:b/>
                <w:color w:val="000000"/>
                <w:sz w:val="18"/>
              </w:rPr>
              <w:t>What the pilot showed</w:t>
            </w:r>
          </w:p>
        </w:tc>
        <w:tc>
          <w:tcPr>
            <w:tcW w:type="dxa" w:w="3628"/>
            <w:shd w:val="clear" w:color="auto" w:fill="DEEAF6"/>
          </w:tcPr>
          <w:p>
            <w:pPr>
              <w:spacing w:before="20" w:after="20"/>
              <w:jc w:val="center"/>
            </w:pPr>
            <w:r/>
            <w:r>
              <w:rPr>
                <w:rFonts w:ascii="Calibri" w:hAnsi="Calibri"/>
                <w:b/>
                <w:color w:val="000000"/>
                <w:sz w:val="18"/>
              </w:rPr>
              <w:t>How to use it</w:t>
            </w:r>
          </w:p>
        </w:tc>
      </w:tr>
      <w:tr>
        <w:tc>
          <w:tcPr>
            <w:tcW w:type="dxa" w:w="2381"/>
          </w:tcPr>
          <w:p>
            <w:pPr>
              <w:spacing w:before="20" w:after="20"/>
            </w:pPr>
            <w:r/>
            <w:r>
              <w:rPr>
                <w:rFonts w:ascii="Calibri" w:hAnsi="Calibri"/>
                <w:b/>
                <w:color w:val="000000"/>
                <w:sz w:val="18"/>
              </w:rPr>
              <w:t>E1a–E1l attribute importance</w:t>
            </w:r>
          </w:p>
        </w:tc>
        <w:tc>
          <w:tcPr>
            <w:tcW w:type="dxa" w:w="3175"/>
          </w:tcPr>
          <w:p>
            <w:pPr>
              <w:spacing w:before="20" w:after="20"/>
            </w:pPr>
            <w:r/>
            <w:r>
              <w:rPr>
                <w:rFonts w:ascii="Calibri" w:hAnsi="Calibri"/>
                <w:b w:val="0"/>
                <w:color w:val="000000"/>
                <w:sz w:val="18"/>
              </w:rPr>
              <w:t>Alpha 0.483; E1h has no variance at all; 76% of all answers sit at 3 or 4</w:t>
            </w:r>
          </w:p>
        </w:tc>
        <w:tc>
          <w:tcPr>
            <w:tcW w:type="dxa" w:w="3628"/>
          </w:tcPr>
          <w:p>
            <w:pPr>
              <w:spacing w:before="20" w:after="20"/>
            </w:pPr>
            <w:r/>
            <w:r>
              <w:rPr>
                <w:rFonts w:ascii="Calibri" w:hAnsi="Calibri"/>
                <w:b w:val="0"/>
                <w:color w:val="000000"/>
                <w:sz w:val="18"/>
              </w:rPr>
              <w:t>Report item by item. Do not build an importance index. The ceiling effect means it ranks poorly — the choice experiment is the better instrument for the same question.</w:t>
            </w:r>
          </w:p>
        </w:tc>
      </w:tr>
      <w:tr>
        <w:tc>
          <w:tcPr>
            <w:tcW w:type="dxa" w:w="2381"/>
          </w:tcPr>
          <w:p>
            <w:pPr>
              <w:spacing w:before="20" w:after="20"/>
            </w:pPr>
            <w:r/>
            <w:r>
              <w:rPr>
                <w:rFonts w:ascii="Calibri" w:hAnsi="Calibri"/>
                <w:b/>
                <w:color w:val="000000"/>
                <w:sz w:val="18"/>
              </w:rPr>
              <w:t>E6a–E6g norms</w:t>
            </w:r>
          </w:p>
        </w:tc>
        <w:tc>
          <w:tcPr>
            <w:tcW w:type="dxa" w:w="3175"/>
          </w:tcPr>
          <w:p>
            <w:pPr>
              <w:spacing w:before="20" w:after="20"/>
            </w:pPr>
            <w:r/>
            <w:r>
              <w:rPr>
                <w:rFonts w:ascii="Calibri" w:hAnsi="Calibri"/>
                <w:b w:val="0"/>
                <w:color w:val="000000"/>
                <w:sz w:val="18"/>
              </w:rPr>
              <w:t>Alpha 0.600 as collected, 0.048 corrected; several item-total correlations negative</w:t>
            </w:r>
          </w:p>
        </w:tc>
        <w:tc>
          <w:tcPr>
            <w:tcW w:type="dxa" w:w="3628"/>
          </w:tcPr>
          <w:p>
            <w:pPr>
              <w:spacing w:before="20" w:after="20"/>
            </w:pPr>
            <w:r/>
            <w:r>
              <w:rPr>
                <w:rFonts w:ascii="Calibri" w:hAnsi="Calibri"/>
                <w:b w:val="0"/>
                <w:color w:val="000000"/>
                <w:sz w:val="18"/>
              </w:rPr>
              <w:t>Report item by item. E6c (men would support) and E6f (childcare is good value) behaved best and are worth keeping as individual indicators.</w:t>
            </w:r>
          </w:p>
        </w:tc>
      </w:tr>
      <w:tr>
        <w:tc>
          <w:tcPr>
            <w:tcW w:type="dxa" w:w="2381"/>
          </w:tcPr>
          <w:p>
            <w:pPr>
              <w:spacing w:before="20" w:after="20"/>
            </w:pPr>
            <w:r/>
            <w:r>
              <w:rPr>
                <w:rFonts w:ascii="Calibri" w:hAnsi="Calibri"/>
                <w:b/>
                <w:color w:val="000000"/>
                <w:sz w:val="18"/>
              </w:rPr>
              <w:t>B26 income variability</w:t>
            </w:r>
          </w:p>
        </w:tc>
        <w:tc>
          <w:tcPr>
            <w:tcW w:type="dxa" w:w="3175"/>
          </w:tcPr>
          <w:p>
            <w:pPr>
              <w:spacing w:before="20" w:after="20"/>
            </w:pPr>
            <w:r/>
            <w:r>
              <w:rPr>
                <w:rFonts w:ascii="Calibri" w:hAnsi="Calibri"/>
                <w:b w:val="0"/>
                <w:color w:val="000000"/>
                <w:sz w:val="18"/>
              </w:rPr>
              <w:t>Usable but coarse</w:t>
            </w:r>
          </w:p>
        </w:tc>
        <w:tc>
          <w:tcPr>
            <w:tcW w:type="dxa" w:w="3628"/>
          </w:tcPr>
          <w:p>
            <w:pPr>
              <w:spacing w:before="20" w:after="20"/>
            </w:pPr>
            <w:r/>
            <w:r>
              <w:rPr>
                <w:rFonts w:ascii="Calibri" w:hAnsi="Calibri"/>
                <w:b w:val="0"/>
                <w:color w:val="000000"/>
                <w:sz w:val="18"/>
              </w:rPr>
              <w:t>Pair with B26a best/worst day figures rather than using alone.</w:t>
            </w:r>
          </w:p>
        </w:tc>
      </w:tr>
    </w:tbl>
    <w:p>
      <w:pPr>
        <w:pStyle w:val="Heading2"/>
      </w:pPr>
      <w:r>
        <w:t>3.3  Fix before relying on them</w:t>
      </w:r>
    </w:p>
    <w:tbl>
      <w:tblPr>
        <w:tblStyle w:val="TableGrid"/>
        <w:tblW w:type="auto" w:w="0"/>
        <w:jc w:val="left"/>
        <w:tblLayout w:type="fixed"/>
        <w:tblLook w:firstColumn="1" w:firstRow="1" w:lastColumn="0" w:lastRow="0" w:noHBand="0" w:noVBand="1" w:val="04A0"/>
      </w:tblPr>
      <w:tblGrid>
        <w:gridCol w:w="3362"/>
        <w:gridCol w:w="3362"/>
        <w:gridCol w:w="3362"/>
      </w:tblGrid>
      <w:tr>
        <w:trPr>
          <w:tblHeader w:val="true"/>
        </w:trPr>
        <w:tc>
          <w:tcPr>
            <w:tcW w:type="dxa" w:w="2154"/>
            <w:shd w:val="clear" w:color="auto" w:fill="DEEAF6"/>
          </w:tcPr>
          <w:p>
            <w:pPr>
              <w:spacing w:before="20" w:after="20"/>
              <w:jc w:val="center"/>
            </w:pPr>
            <w:r/>
            <w:r>
              <w:rPr>
                <w:rFonts w:ascii="Calibri" w:hAnsi="Calibri"/>
                <w:b/>
                <w:color w:val="000000"/>
                <w:sz w:val="18"/>
              </w:rPr>
              <w:t>Variable</w:t>
            </w:r>
          </w:p>
        </w:tc>
        <w:tc>
          <w:tcPr>
            <w:tcW w:type="dxa" w:w="3402"/>
            <w:shd w:val="clear" w:color="auto" w:fill="DEEAF6"/>
          </w:tcPr>
          <w:p>
            <w:pPr>
              <w:spacing w:before="20" w:after="20"/>
              <w:jc w:val="center"/>
            </w:pPr>
            <w:r/>
            <w:r>
              <w:rPr>
                <w:rFonts w:ascii="Calibri" w:hAnsi="Calibri"/>
                <w:b/>
                <w:color w:val="000000"/>
                <w:sz w:val="18"/>
              </w:rPr>
              <w:t>Problem</w:t>
            </w:r>
          </w:p>
        </w:tc>
        <w:tc>
          <w:tcPr>
            <w:tcW w:type="dxa" w:w="3628"/>
            <w:shd w:val="clear" w:color="auto" w:fill="DEEAF6"/>
          </w:tcPr>
          <w:p>
            <w:pPr>
              <w:spacing w:before="20" w:after="20"/>
              <w:jc w:val="center"/>
            </w:pPr>
            <w:r/>
            <w:r>
              <w:rPr>
                <w:rFonts w:ascii="Calibri" w:hAnsi="Calibri"/>
                <w:b/>
                <w:color w:val="000000"/>
                <w:sz w:val="18"/>
              </w:rPr>
              <w:t>Fix</w:t>
            </w:r>
          </w:p>
        </w:tc>
      </w:tr>
      <w:tr>
        <w:tc>
          <w:tcPr>
            <w:tcW w:type="dxa" w:w="2154"/>
          </w:tcPr>
          <w:p>
            <w:pPr>
              <w:spacing w:before="20" w:after="20"/>
            </w:pPr>
            <w:r/>
            <w:r>
              <w:rPr>
                <w:rFonts w:ascii="Calibri" w:hAnsi="Calibri"/>
                <w:b/>
                <w:color w:val="000000"/>
                <w:sz w:val="18"/>
              </w:rPr>
              <w:t>Interview duration</w:t>
            </w:r>
          </w:p>
        </w:tc>
        <w:tc>
          <w:tcPr>
            <w:tcW w:type="dxa" w:w="3402"/>
          </w:tcPr>
          <w:p>
            <w:pPr>
              <w:spacing w:before="20" w:after="20"/>
            </w:pPr>
            <w:r/>
            <w:r>
              <w:rPr>
                <w:rFonts w:ascii="Calibri" w:hAnsi="Calibri"/>
                <w:b w:val="0"/>
                <w:color w:val="000000"/>
                <w:sz w:val="18"/>
              </w:rPr>
              <w:t>Form open/close is not interview length — one case at 18 hours</w:t>
            </w:r>
          </w:p>
        </w:tc>
        <w:tc>
          <w:tcPr>
            <w:tcW w:type="dxa" w:w="3628"/>
          </w:tcPr>
          <w:p>
            <w:pPr>
              <w:spacing w:before="20" w:after="20"/>
            </w:pPr>
            <w:r/>
            <w:r>
              <w:rPr>
                <w:rFonts w:ascii="Calibri" w:hAnsi="Calibri"/>
                <w:b w:val="0"/>
                <w:color w:val="000000"/>
                <w:sz w:val="18"/>
              </w:rPr>
              <w:t>Explicit start and end questions, or use the Kobo audit log</w:t>
            </w:r>
          </w:p>
        </w:tc>
      </w:tr>
      <w:tr>
        <w:tc>
          <w:tcPr>
            <w:tcW w:type="dxa" w:w="2154"/>
          </w:tcPr>
          <w:p>
            <w:pPr>
              <w:spacing w:before="20" w:after="20"/>
            </w:pPr>
            <w:r/>
            <w:r>
              <w:rPr>
                <w:rFonts w:ascii="Calibri" w:hAnsi="Calibri"/>
                <w:b/>
                <w:color w:val="000000"/>
                <w:sz w:val="18"/>
              </w:rPr>
              <w:t>F0d block</w:t>
            </w:r>
          </w:p>
        </w:tc>
        <w:tc>
          <w:tcPr>
            <w:tcW w:type="dxa" w:w="3402"/>
          </w:tcPr>
          <w:p>
            <w:pPr>
              <w:spacing w:before="20" w:after="20"/>
            </w:pPr>
            <w:r/>
            <w:r>
              <w:rPr>
                <w:rFonts w:ascii="Calibri" w:hAnsi="Calibri"/>
                <w:b w:val="0"/>
                <w:color w:val="000000"/>
                <w:sz w:val="18"/>
              </w:rPr>
              <w:t>Stored as descriptive text tied to odd/even IDs</w:t>
            </w:r>
          </w:p>
        </w:tc>
        <w:tc>
          <w:tcPr>
            <w:tcW w:type="dxa" w:w="3628"/>
          </w:tcPr>
          <w:p>
            <w:pPr>
              <w:spacing w:before="20" w:after="20"/>
            </w:pPr>
            <w:r/>
            <w:r>
              <w:rPr>
                <w:rFonts w:ascii="Calibri" w:hAnsi="Calibri"/>
                <w:b w:val="0"/>
                <w:color w:val="000000"/>
                <w:sz w:val="18"/>
              </w:rPr>
              <w:t>Store a clean 1/2/3 code</w:t>
            </w:r>
          </w:p>
        </w:tc>
      </w:tr>
      <w:tr>
        <w:tc>
          <w:tcPr>
            <w:tcW w:type="dxa" w:w="2154"/>
          </w:tcPr>
          <w:p>
            <w:pPr>
              <w:spacing w:before="20" w:after="20"/>
            </w:pPr>
            <w:r/>
            <w:r>
              <w:rPr>
                <w:rFonts w:ascii="Calibri" w:hAnsi="Calibri"/>
                <w:b/>
                <w:color w:val="000000"/>
                <w:sz w:val="18"/>
              </w:rPr>
              <w:t>DCE attribute levels</w:t>
            </w:r>
          </w:p>
        </w:tc>
        <w:tc>
          <w:tcPr>
            <w:tcW w:type="dxa" w:w="3402"/>
          </w:tcPr>
          <w:p>
            <w:pPr>
              <w:spacing w:before="20" w:after="20"/>
            </w:pPr>
            <w:r/>
            <w:r>
              <w:rPr>
                <w:rFonts w:ascii="Calibri" w:hAnsi="Calibri"/>
                <w:b w:val="0"/>
                <w:color w:val="000000"/>
                <w:sz w:val="18"/>
              </w:rPr>
              <w:t>Two levels written two different ways across cards</w:t>
            </w:r>
          </w:p>
        </w:tc>
        <w:tc>
          <w:tcPr>
            <w:tcW w:type="dxa" w:w="3628"/>
          </w:tcPr>
          <w:p>
            <w:pPr>
              <w:spacing w:before="20" w:after="20"/>
            </w:pPr>
            <w:r/>
            <w:r>
              <w:rPr>
                <w:rFonts w:ascii="Calibri" w:hAnsi="Calibri"/>
                <w:b w:val="0"/>
                <w:color w:val="000000"/>
                <w:sz w:val="18"/>
              </w:rPr>
              <w:t>One canonical wording per level, applied everywhere</w:t>
            </w:r>
          </w:p>
        </w:tc>
      </w:tr>
      <w:tr>
        <w:tc>
          <w:tcPr>
            <w:tcW w:type="dxa" w:w="2154"/>
          </w:tcPr>
          <w:p>
            <w:pPr>
              <w:spacing w:before="20" w:after="20"/>
            </w:pPr>
            <w:r/>
            <w:r>
              <w:rPr>
                <w:rFonts w:ascii="Calibri" w:hAnsi="Calibri"/>
                <w:b/>
                <w:color w:val="000000"/>
                <w:sz w:val="18"/>
              </w:rPr>
              <w:t>E1h secure entry</w:t>
            </w:r>
          </w:p>
        </w:tc>
        <w:tc>
          <w:tcPr>
            <w:tcW w:type="dxa" w:w="3402"/>
          </w:tcPr>
          <w:p>
            <w:pPr>
              <w:spacing w:before="20" w:after="20"/>
            </w:pPr>
            <w:r/>
            <w:r>
              <w:rPr>
                <w:rFonts w:ascii="Calibri" w:hAnsi="Calibri"/>
                <w:b w:val="0"/>
                <w:color w:val="000000"/>
                <w:sz w:val="18"/>
              </w:rPr>
              <w:t>No variance</w:t>
            </w:r>
          </w:p>
        </w:tc>
        <w:tc>
          <w:tcPr>
            <w:tcW w:type="dxa" w:w="3628"/>
          </w:tcPr>
          <w:p>
            <w:pPr>
              <w:spacing w:before="20" w:after="20"/>
            </w:pPr>
            <w:r/>
            <w:r>
              <w:rPr>
                <w:rFonts w:ascii="Calibri" w:hAnsi="Calibri"/>
                <w:b w:val="0"/>
                <w:color w:val="000000"/>
                <w:sz w:val="18"/>
              </w:rPr>
              <w:t>Keep as a standalone descriptive; exclude from any index</w:t>
            </w:r>
          </w:p>
        </w:tc>
      </w:tr>
    </w:tbl>
    <w:p>
      <w:r>
        <w:br w:type="page"/>
      </w:r>
    </w:p>
    <w:p>
      <w:pPr>
        <w:pStyle w:val="Heading1"/>
        <w:pBdr>
          <w:bottom w:val="single" w:sz="6" w:space="4" w:color="1F3864"/>
        </w:pBdr>
      </w:pPr>
      <w:r>
        <w:t>4.  Is the study achievable?</w:t>
      </w:r>
    </w:p>
    <w:p>
      <w:pPr>
        <w:spacing w:before="0" w:after="120"/>
      </w:pPr>
      <w:r>
        <w:rPr>
          <w:rFonts w:ascii="Calibri" w:hAnsi="Calibri"/>
          <w:b w:val="0"/>
          <w:i w:val="0"/>
          <w:color w:val="000000"/>
          <w:sz w:val="22"/>
        </w:rPr>
        <w:t>Yes, with the corrections in section 2 in place. It is worth being precise about what "achievable" means for each of the four objectives, because they are not equally well served by the instruments we have.</w:t>
      </w:r>
    </w:p>
    <w:tbl>
      <w:tblPr>
        <w:tblStyle w:val="TableGrid"/>
        <w:tblW w:type="auto" w:w="0"/>
        <w:jc w:val="left"/>
        <w:tblLayout w:type="fixed"/>
        <w:tblLook w:firstColumn="1" w:firstRow="1" w:lastColumn="0" w:lastRow="0" w:noHBand="0" w:noVBand="1" w:val="04A0"/>
      </w:tblPr>
      <w:tblGrid>
        <w:gridCol w:w="3362"/>
        <w:gridCol w:w="3362"/>
        <w:gridCol w:w="3362"/>
      </w:tblGrid>
      <w:tr>
        <w:trPr>
          <w:tblHeader w:val="true"/>
        </w:trPr>
        <w:tc>
          <w:tcPr>
            <w:tcW w:type="dxa" w:w="2494"/>
            <w:shd w:val="clear" w:color="auto" w:fill="DEEAF6"/>
          </w:tcPr>
          <w:p>
            <w:pPr>
              <w:spacing w:before="20" w:after="20"/>
              <w:jc w:val="center"/>
            </w:pPr>
            <w:r/>
            <w:r>
              <w:rPr>
                <w:rFonts w:ascii="Calibri" w:hAnsi="Calibri"/>
                <w:b/>
                <w:color w:val="000000"/>
                <w:sz w:val="18"/>
              </w:rPr>
              <w:t>Objective</w:t>
            </w:r>
          </w:p>
        </w:tc>
        <w:tc>
          <w:tcPr>
            <w:tcW w:type="dxa" w:w="2041"/>
            <w:shd w:val="clear" w:color="auto" w:fill="DEEAF6"/>
          </w:tcPr>
          <w:p>
            <w:pPr>
              <w:spacing w:before="20" w:after="20"/>
              <w:jc w:val="center"/>
            </w:pPr>
            <w:r/>
            <w:r>
              <w:rPr>
                <w:rFonts w:ascii="Calibri" w:hAnsi="Calibri"/>
                <w:b/>
                <w:color w:val="000000"/>
                <w:sz w:val="18"/>
              </w:rPr>
              <w:t>Achievable?</w:t>
            </w:r>
          </w:p>
        </w:tc>
        <w:tc>
          <w:tcPr>
            <w:tcW w:type="dxa" w:w="4649"/>
            <w:shd w:val="clear" w:color="auto" w:fill="DEEAF6"/>
          </w:tcPr>
          <w:p>
            <w:pPr>
              <w:spacing w:before="20" w:after="20"/>
              <w:jc w:val="center"/>
            </w:pPr>
            <w:r/>
            <w:r>
              <w:rPr>
                <w:rFonts w:ascii="Calibri" w:hAnsi="Calibri"/>
                <w:b/>
                <w:color w:val="000000"/>
                <w:sz w:val="18"/>
              </w:rPr>
              <w:t>On what evidence</w:t>
            </w:r>
          </w:p>
        </w:tc>
      </w:tr>
      <w:tr>
        <w:tc>
          <w:tcPr>
            <w:tcW w:type="dxa" w:w="2494"/>
          </w:tcPr>
          <w:p>
            <w:pPr>
              <w:spacing w:before="20" w:after="20"/>
            </w:pPr>
            <w:r/>
            <w:r>
              <w:rPr>
                <w:rFonts w:ascii="Calibri" w:hAnsi="Calibri"/>
                <w:b/>
                <w:color w:val="000000"/>
                <w:sz w:val="18"/>
              </w:rPr>
              <w:t>i. Feasibility and implementation readiness</w:t>
            </w:r>
          </w:p>
        </w:tc>
        <w:tc>
          <w:tcPr>
            <w:tcW w:type="dxa" w:w="2041"/>
          </w:tcPr>
          <w:p>
            <w:pPr>
              <w:spacing w:before="20" w:after="20"/>
            </w:pPr>
            <w:r/>
            <w:r>
              <w:rPr>
                <w:rFonts w:ascii="Calibri" w:hAnsi="Calibri"/>
                <w:b w:val="0"/>
                <w:color w:val="000000"/>
                <w:sz w:val="18"/>
              </w:rPr>
              <w:t>Yes, but not from this questionnaire</w:t>
            </w:r>
          </w:p>
        </w:tc>
        <w:tc>
          <w:tcPr>
            <w:tcW w:type="dxa" w:w="4649"/>
          </w:tcPr>
          <w:p>
            <w:pPr>
              <w:spacing w:before="20" w:after="20"/>
            </w:pPr>
            <w:r/>
            <w:r>
              <w:rPr>
                <w:rFonts w:ascii="Calibri" w:hAnsi="Calibri"/>
                <w:b w:val="0"/>
                <w:color w:val="000000"/>
                <w:sz w:val="18"/>
              </w:rPr>
              <w:t>It depends on the county interview, the facility assessment and provider interviews. The provider interview guide still does not exist — that is the binding gap.</w:t>
            </w:r>
          </w:p>
        </w:tc>
      </w:tr>
      <w:tr>
        <w:tc>
          <w:tcPr>
            <w:tcW w:type="dxa" w:w="2494"/>
          </w:tcPr>
          <w:p>
            <w:pPr>
              <w:spacing w:before="20" w:after="20"/>
            </w:pPr>
            <w:r/>
            <w:r>
              <w:rPr>
                <w:rFonts w:ascii="Calibri" w:hAnsi="Calibri"/>
                <w:b/>
                <w:color w:val="000000"/>
                <w:sz w:val="18"/>
              </w:rPr>
              <w:t>ii. Demand, preferences and willingness to pay</w:t>
            </w:r>
          </w:p>
        </w:tc>
        <w:tc>
          <w:tcPr>
            <w:tcW w:type="dxa" w:w="2041"/>
          </w:tcPr>
          <w:p>
            <w:pPr>
              <w:spacing w:before="20" w:after="20"/>
            </w:pPr>
            <w:r/>
            <w:r>
              <w:rPr>
                <w:rFonts w:ascii="Calibri" w:hAnsi="Calibri"/>
                <w:b w:val="0"/>
                <w:color w:val="000000"/>
                <w:sz w:val="18"/>
              </w:rPr>
              <w:t>Yes, after the design is replaced</w:t>
            </w:r>
          </w:p>
        </w:tc>
        <w:tc>
          <w:tcPr>
            <w:tcW w:type="dxa" w:w="4649"/>
          </w:tcPr>
          <w:p>
            <w:pPr>
              <w:spacing w:before="20" w:after="20"/>
            </w:pPr>
            <w:r/>
            <w:r>
              <w:rPr>
                <w:rFonts w:ascii="Calibri" w:hAnsi="Calibri"/>
                <w:b w:val="0"/>
                <w:color w:val="000000"/>
                <w:sz w:val="18"/>
              </w:rPr>
              <w:t>The pilot showed the task is completable and understood by 19 of 23. With the balanced 18-card design and rotation, the full sample will estimate it.</w:t>
            </w:r>
          </w:p>
        </w:tc>
      </w:tr>
      <w:tr>
        <w:tc>
          <w:tcPr>
            <w:tcW w:type="dxa" w:w="2494"/>
          </w:tcPr>
          <w:p>
            <w:pPr>
              <w:spacing w:before="20" w:after="20"/>
            </w:pPr>
            <w:r/>
            <w:r>
              <w:rPr>
                <w:rFonts w:ascii="Calibri" w:hAnsi="Calibri"/>
                <w:b/>
                <w:color w:val="000000"/>
                <w:sz w:val="18"/>
              </w:rPr>
              <w:t>iii. Inclusion barriers and design requirements</w:t>
            </w:r>
          </w:p>
        </w:tc>
        <w:tc>
          <w:tcPr>
            <w:tcW w:type="dxa" w:w="2041"/>
          </w:tcPr>
          <w:p>
            <w:pPr>
              <w:spacing w:before="20" w:after="20"/>
            </w:pPr>
            <w:r/>
            <w:r>
              <w:rPr>
                <w:rFonts w:ascii="Calibri" w:hAnsi="Calibri"/>
                <w:b w:val="0"/>
                <w:color w:val="000000"/>
                <w:sz w:val="18"/>
              </w:rPr>
              <w:t>Yes</w:t>
            </w:r>
          </w:p>
        </w:tc>
        <w:tc>
          <w:tcPr>
            <w:tcW w:type="dxa" w:w="4649"/>
          </w:tcPr>
          <w:p>
            <w:pPr>
              <w:spacing w:before="20" w:after="20"/>
            </w:pPr>
            <w:r/>
            <w:r>
              <w:rPr>
                <w:rFonts w:ascii="Calibri" w:hAnsi="Calibri"/>
                <w:b w:val="0"/>
                <w:color w:val="000000"/>
                <w:sz w:val="18"/>
              </w:rPr>
              <w:t>The Washington Group items and Section H performed as intended. The main constraint is how many traders with disabilities the sample reaches — see 5.3.</w:t>
            </w:r>
          </w:p>
        </w:tc>
      </w:tr>
      <w:tr>
        <w:tc>
          <w:tcPr>
            <w:tcW w:type="dxa" w:w="2494"/>
          </w:tcPr>
          <w:p>
            <w:pPr>
              <w:spacing w:before="20" w:after="20"/>
            </w:pPr>
            <w:r/>
            <w:r>
              <w:rPr>
                <w:rFonts w:ascii="Calibri" w:hAnsi="Calibri"/>
                <w:b/>
                <w:color w:val="000000"/>
                <w:sz w:val="18"/>
              </w:rPr>
              <w:t>iv. Trade-offs between the four models</w:t>
            </w:r>
          </w:p>
        </w:tc>
        <w:tc>
          <w:tcPr>
            <w:tcW w:type="dxa" w:w="2041"/>
          </w:tcPr>
          <w:p>
            <w:pPr>
              <w:spacing w:before="20" w:after="20"/>
            </w:pPr>
            <w:r/>
            <w:r>
              <w:rPr>
                <w:rFonts w:ascii="Calibri" w:hAnsi="Calibri"/>
                <w:b w:val="0"/>
                <w:color w:val="000000"/>
                <w:sz w:val="18"/>
              </w:rPr>
              <w:t>Partly</w:t>
            </w:r>
          </w:p>
        </w:tc>
        <w:tc>
          <w:tcPr>
            <w:tcW w:type="dxa" w:w="4649"/>
          </w:tcPr>
          <w:p>
            <w:pPr>
              <w:spacing w:before="20" w:after="20"/>
            </w:pPr>
            <w:r/>
            <w:r>
              <w:rPr>
                <w:rFonts w:ascii="Calibri" w:hAnsi="Calibri"/>
                <w:b w:val="0"/>
                <w:color w:val="000000"/>
                <w:sz w:val="18"/>
              </w:rPr>
              <w:t>The demand side will be there. The cost side depends on the costing template being filled with real provider figures. Without that, models can be ranked on preference but not on affordability.</w:t>
            </w:r>
          </w:p>
        </w:tc>
      </w:tr>
    </w:tbl>
    <w:p>
      <w:pPr>
        <w:spacing w:before="120" w:after="160"/>
        <w:ind w:left="283"/>
        <w:pBdr>
          <w:left w:val="single" w:sz="18" w:space="8" w:color="1F4D78"/>
        </w:pBdr>
      </w:pPr>
      <w:r>
        <w:rPr>
          <w:rFonts w:ascii="Calibri" w:hAnsi="Calibri"/>
          <w:b/>
          <w:color w:val="1F4D78"/>
          <w:sz w:val="21"/>
        </w:rPr>
        <w:t xml:space="preserve">Finding:  </w:t>
      </w:r>
      <w:r>
        <w:rPr>
          <w:rFonts w:ascii="Calibri" w:hAnsi="Calibri"/>
          <w:sz w:val="21"/>
        </w:rPr>
        <w:t>The honest overall position: the demand side of this study is in good shape once the design is fixed. The supply side is not yet, because two instruments — the provider interview guide and the completed costing template — do not exist. Objective iv cannot be answered without them, and no increase in trader sample size compensates.</w:t>
      </w:r>
    </w:p>
    <w:p>
      <w:pPr>
        <w:pStyle w:val="Heading1"/>
        <w:pBdr>
          <w:bottom w:val="single" w:sz="6" w:space="4" w:color="1F3864"/>
        </w:pBdr>
      </w:pPr>
      <w:r>
        <w:t>5.  How many traders to interview</w:t>
      </w:r>
    </w:p>
    <w:p>
      <w:pPr>
        <w:pStyle w:val="Heading2"/>
      </w:pPr>
      <w:r>
        <w:t>5.1  What the design itself implies</w:t>
      </w:r>
    </w:p>
    <w:p>
      <w:pPr>
        <w:spacing w:before="0" w:after="120"/>
      </w:pPr>
      <w:r>
        <w:rPr>
          <w:rFonts w:ascii="Calibri" w:hAnsi="Calibri"/>
          <w:b w:val="0"/>
          <w:i w:val="0"/>
          <w:color w:val="000000"/>
          <w:sz w:val="22"/>
        </w:rPr>
        <w:t>Rather than rely on a rule of thumb, the precision was computed directly from the replacement design. With N traders split evenly across the three blocks, the information available is (N / 3) times the information in the full 18-card design. That gives the standard error of every parameter at any N.</w:t>
      </w:r>
    </w:p>
    <w:tbl>
      <w:tblPr>
        <w:tblStyle w:val="TableGrid"/>
        <w:tblW w:type="auto" w:w="0"/>
        <w:jc w:val="left"/>
        <w:tblLayout w:type="fixed"/>
        <w:tblLook w:firstColumn="1" w:firstRow="1" w:lastColumn="0" w:lastRow="0" w:noHBand="0" w:noVBand="1" w:val="04A0"/>
      </w:tblPr>
      <w:tblGrid>
        <w:gridCol w:w="2521"/>
        <w:gridCol w:w="2521"/>
        <w:gridCol w:w="2521"/>
        <w:gridCol w:w="2521"/>
      </w:tblGrid>
      <w:tr>
        <w:trPr>
          <w:tblHeader w:val="true"/>
        </w:trPr>
        <w:tc>
          <w:tcPr>
            <w:tcW w:type="dxa" w:w="1928"/>
            <w:shd w:val="clear" w:color="auto" w:fill="DEEAF6"/>
          </w:tcPr>
          <w:p>
            <w:pPr>
              <w:spacing w:before="20" w:after="20"/>
              <w:jc w:val="center"/>
            </w:pPr>
            <w:r/>
            <w:r>
              <w:rPr>
                <w:rFonts w:ascii="Calibri" w:hAnsi="Calibri"/>
                <w:b/>
                <w:color w:val="000000"/>
                <w:sz w:val="18"/>
              </w:rPr>
              <w:t>Completed interviews</w:t>
            </w:r>
          </w:p>
        </w:tc>
        <w:tc>
          <w:tcPr>
            <w:tcW w:type="dxa" w:w="2041"/>
            <w:shd w:val="clear" w:color="auto" w:fill="DEEAF6"/>
          </w:tcPr>
          <w:p>
            <w:pPr>
              <w:spacing w:before="20" w:after="20"/>
              <w:jc w:val="center"/>
            </w:pPr>
            <w:r/>
            <w:r>
              <w:rPr>
                <w:rFonts w:ascii="Calibri" w:hAnsi="Calibri"/>
                <w:b/>
                <w:color w:val="000000"/>
                <w:sz w:val="18"/>
              </w:rPr>
              <w:t>Typical standard error</w:t>
            </w:r>
          </w:p>
        </w:tc>
        <w:tc>
          <w:tcPr>
            <w:tcW w:type="dxa" w:w="2608"/>
            <w:shd w:val="clear" w:color="auto" w:fill="DEEAF6"/>
          </w:tcPr>
          <w:p>
            <w:pPr>
              <w:spacing w:before="20" w:after="20"/>
              <w:jc w:val="center"/>
            </w:pPr>
            <w:r/>
            <w:r>
              <w:rPr>
                <w:rFonts w:ascii="Calibri" w:hAnsi="Calibri"/>
                <w:b/>
                <w:color w:val="000000"/>
                <w:sz w:val="18"/>
              </w:rPr>
              <w:t>Smallest effect detectable (80% power)</w:t>
            </w:r>
          </w:p>
        </w:tc>
        <w:tc>
          <w:tcPr>
            <w:tcW w:type="dxa" w:w="2608"/>
            <w:shd w:val="clear" w:color="auto" w:fill="DEEAF6"/>
          </w:tcPr>
          <w:p>
            <w:pPr>
              <w:spacing w:before="20" w:after="20"/>
              <w:jc w:val="center"/>
            </w:pPr>
            <w:r/>
            <w:r>
              <w:rPr>
                <w:rFonts w:ascii="Calibri" w:hAnsi="Calibri"/>
                <w:b/>
                <w:color w:val="000000"/>
                <w:sz w:val="18"/>
              </w:rPr>
              <w:t>Verdict</w:t>
            </w:r>
          </w:p>
        </w:tc>
      </w:tr>
      <w:tr>
        <w:tc>
          <w:tcPr>
            <w:tcW w:type="dxa" w:w="1928"/>
          </w:tcPr>
          <w:p>
            <w:pPr>
              <w:spacing w:before="20" w:after="20"/>
            </w:pPr>
            <w:r/>
            <w:r>
              <w:rPr>
                <w:rFonts w:ascii="Calibri" w:hAnsi="Calibri"/>
                <w:b/>
                <w:color w:val="000000"/>
                <w:sz w:val="18"/>
              </w:rPr>
              <w:t>150</w:t>
            </w:r>
          </w:p>
        </w:tc>
        <w:tc>
          <w:tcPr>
            <w:tcW w:type="dxa" w:w="2041"/>
          </w:tcPr>
          <w:p>
            <w:pPr>
              <w:spacing w:before="20" w:after="20"/>
            </w:pPr>
            <w:r/>
            <w:r>
              <w:rPr>
                <w:rFonts w:ascii="Calibri" w:hAnsi="Calibri"/>
                <w:b w:val="0"/>
                <w:color w:val="000000"/>
                <w:sz w:val="18"/>
              </w:rPr>
              <w:t>0.09 – 0.21</w:t>
            </w:r>
          </w:p>
        </w:tc>
        <w:tc>
          <w:tcPr>
            <w:tcW w:type="dxa" w:w="2608"/>
          </w:tcPr>
          <w:p>
            <w:pPr>
              <w:spacing w:before="20" w:after="20"/>
            </w:pPr>
            <w:r/>
            <w:r>
              <w:rPr>
                <w:rFonts w:ascii="Calibri" w:hAnsi="Calibri"/>
                <w:b w:val="0"/>
                <w:color w:val="000000"/>
                <w:sz w:val="18"/>
              </w:rPr>
              <w:t>0.24 – 0.58</w:t>
            </w:r>
          </w:p>
        </w:tc>
        <w:tc>
          <w:tcPr>
            <w:tcW w:type="dxa" w:w="2608"/>
          </w:tcPr>
          <w:p>
            <w:pPr>
              <w:spacing w:before="20" w:after="20"/>
            </w:pPr>
            <w:r/>
            <w:r>
              <w:rPr>
                <w:rFonts w:ascii="Calibri" w:hAnsi="Calibri"/>
                <w:b w:val="0"/>
                <w:color w:val="000000"/>
                <w:sz w:val="18"/>
              </w:rPr>
              <w:t>Main effects only. Too thin for subgroups.</w:t>
            </w:r>
          </w:p>
        </w:tc>
      </w:tr>
      <w:tr>
        <w:tc>
          <w:tcPr>
            <w:tcW w:type="dxa" w:w="1928"/>
          </w:tcPr>
          <w:p>
            <w:pPr>
              <w:spacing w:before="20" w:after="20"/>
            </w:pPr>
            <w:r/>
            <w:r>
              <w:rPr>
                <w:rFonts w:ascii="Calibri" w:hAnsi="Calibri"/>
                <w:b/>
                <w:color w:val="000000"/>
                <w:sz w:val="18"/>
              </w:rPr>
              <w:t>200</w:t>
            </w:r>
          </w:p>
        </w:tc>
        <w:tc>
          <w:tcPr>
            <w:tcW w:type="dxa" w:w="2041"/>
          </w:tcPr>
          <w:p>
            <w:pPr>
              <w:spacing w:before="20" w:after="20"/>
            </w:pPr>
            <w:r/>
            <w:r>
              <w:rPr>
                <w:rFonts w:ascii="Calibri" w:hAnsi="Calibri"/>
                <w:b w:val="0"/>
                <w:color w:val="000000"/>
                <w:sz w:val="18"/>
              </w:rPr>
              <w:t>0.07 – 0.18</w:t>
            </w:r>
          </w:p>
        </w:tc>
        <w:tc>
          <w:tcPr>
            <w:tcW w:type="dxa" w:w="2608"/>
          </w:tcPr>
          <w:p>
            <w:pPr>
              <w:spacing w:before="20" w:after="20"/>
            </w:pPr>
            <w:r/>
            <w:r>
              <w:rPr>
                <w:rFonts w:ascii="Calibri" w:hAnsi="Calibri"/>
                <w:b w:val="0"/>
                <w:color w:val="000000"/>
                <w:sz w:val="18"/>
              </w:rPr>
              <w:t>0.21 – 0.51</w:t>
            </w:r>
          </w:p>
        </w:tc>
        <w:tc>
          <w:tcPr>
            <w:tcW w:type="dxa" w:w="2608"/>
          </w:tcPr>
          <w:p>
            <w:pPr>
              <w:spacing w:before="20" w:after="20"/>
            </w:pPr>
            <w:r/>
            <w:r>
              <w:rPr>
                <w:rFonts w:ascii="Calibri" w:hAnsi="Calibri"/>
                <w:b w:val="0"/>
                <w:color w:val="000000"/>
                <w:sz w:val="18"/>
              </w:rPr>
              <w:t>Workable. One subgroup split at a push.</w:t>
            </w:r>
          </w:p>
        </w:tc>
      </w:tr>
      <w:tr>
        <w:tc>
          <w:tcPr>
            <w:tcW w:type="dxa" w:w="1928"/>
          </w:tcPr>
          <w:p>
            <w:pPr>
              <w:spacing w:before="20" w:after="20"/>
            </w:pPr>
            <w:r/>
            <w:r>
              <w:rPr>
                <w:rFonts w:ascii="Calibri" w:hAnsi="Calibri"/>
                <w:b/>
                <w:color w:val="000000"/>
                <w:sz w:val="18"/>
              </w:rPr>
              <w:t>300</w:t>
            </w:r>
          </w:p>
        </w:tc>
        <w:tc>
          <w:tcPr>
            <w:tcW w:type="dxa" w:w="2041"/>
          </w:tcPr>
          <w:p>
            <w:pPr>
              <w:spacing w:before="20" w:after="20"/>
            </w:pPr>
            <w:r/>
            <w:r>
              <w:rPr>
                <w:rFonts w:ascii="Calibri" w:hAnsi="Calibri"/>
                <w:b w:val="0"/>
                <w:color w:val="000000"/>
                <w:sz w:val="18"/>
              </w:rPr>
              <w:t>0.06 – 0.15</w:t>
            </w:r>
          </w:p>
        </w:tc>
        <w:tc>
          <w:tcPr>
            <w:tcW w:type="dxa" w:w="2608"/>
          </w:tcPr>
          <w:p>
            <w:pPr>
              <w:spacing w:before="20" w:after="20"/>
            </w:pPr>
            <w:r/>
            <w:r>
              <w:rPr>
                <w:rFonts w:ascii="Calibri" w:hAnsi="Calibri"/>
                <w:b w:val="0"/>
                <w:color w:val="000000"/>
                <w:sz w:val="18"/>
              </w:rPr>
              <w:t>0.17 – 0.41</w:t>
            </w:r>
          </w:p>
        </w:tc>
        <w:tc>
          <w:tcPr>
            <w:tcW w:type="dxa" w:w="2608"/>
          </w:tcPr>
          <w:p>
            <w:pPr>
              <w:spacing w:before="20" w:after="20"/>
            </w:pPr>
            <w:r/>
            <w:r>
              <w:rPr>
                <w:rFonts w:ascii="Calibri" w:hAnsi="Calibri"/>
                <w:b w:val="0"/>
                <w:color w:val="000000"/>
                <w:sz w:val="18"/>
              </w:rPr>
              <w:t>Recommended. Comfortable main model, two subgroups.</w:t>
            </w:r>
          </w:p>
        </w:tc>
      </w:tr>
      <w:tr>
        <w:tc>
          <w:tcPr>
            <w:tcW w:type="dxa" w:w="1928"/>
          </w:tcPr>
          <w:p>
            <w:pPr>
              <w:spacing w:before="20" w:after="20"/>
            </w:pPr>
            <w:r/>
            <w:r>
              <w:rPr>
                <w:rFonts w:ascii="Calibri" w:hAnsi="Calibri"/>
                <w:b/>
                <w:color w:val="000000"/>
                <w:sz w:val="18"/>
              </w:rPr>
              <w:t>400</w:t>
            </w:r>
          </w:p>
        </w:tc>
        <w:tc>
          <w:tcPr>
            <w:tcW w:type="dxa" w:w="2041"/>
          </w:tcPr>
          <w:p>
            <w:pPr>
              <w:spacing w:before="20" w:after="20"/>
            </w:pPr>
            <w:r/>
            <w:r>
              <w:rPr>
                <w:rFonts w:ascii="Calibri" w:hAnsi="Calibri"/>
                <w:b w:val="0"/>
                <w:color w:val="000000"/>
                <w:sz w:val="18"/>
              </w:rPr>
              <w:t>0.05 – 0.13</w:t>
            </w:r>
          </w:p>
        </w:tc>
        <w:tc>
          <w:tcPr>
            <w:tcW w:type="dxa" w:w="2608"/>
          </w:tcPr>
          <w:p>
            <w:pPr>
              <w:spacing w:before="20" w:after="20"/>
            </w:pPr>
            <w:r/>
            <w:r>
              <w:rPr>
                <w:rFonts w:ascii="Calibri" w:hAnsi="Calibri"/>
                <w:b w:val="0"/>
                <w:color w:val="000000"/>
                <w:sz w:val="18"/>
              </w:rPr>
              <w:t>0.15 – 0.36</w:t>
            </w:r>
          </w:p>
        </w:tc>
        <w:tc>
          <w:tcPr>
            <w:tcW w:type="dxa" w:w="2608"/>
          </w:tcPr>
          <w:p>
            <w:pPr>
              <w:spacing w:before="20" w:after="20"/>
            </w:pPr>
            <w:r/>
            <w:r>
              <w:rPr>
                <w:rFonts w:ascii="Calibri" w:hAnsi="Calibri"/>
                <w:b w:val="0"/>
                <w:color w:val="000000"/>
                <w:sz w:val="18"/>
              </w:rPr>
              <w:t>Buys precision, not new capability, unless more subgroups are wanted.</w:t>
            </w:r>
          </w:p>
        </w:tc>
      </w:tr>
    </w:tbl>
    <w:p>
      <w:pPr>
        <w:spacing w:before="0" w:after="120"/>
      </w:pPr>
      <w:r>
        <w:rPr>
          <w:rFonts w:ascii="Calibri" w:hAnsi="Calibri"/>
          <w:b w:val="0"/>
          <w:i w:val="0"/>
          <w:color w:val="000000"/>
          <w:sz w:val="22"/>
        </w:rPr>
        <w:t>At 300 completed interviews the least precisely estimated parameter is the opt-out constant (standard error 0.148), and every service attribute is estimated to within 0.06 to 0.10. Effects of the size normally seen in childcare choice experiments are comfortably detectable.</w:t>
      </w:r>
    </w:p>
    <w:p>
      <w:pPr>
        <w:pStyle w:val="Heading2"/>
      </w:pPr>
      <w:r>
        <w:t>5.2  Cross-check against the standard rule</w:t>
      </w:r>
    </w:p>
    <w:p>
      <w:pPr>
        <w:spacing w:before="0" w:after="120"/>
      </w:pPr>
      <w:r>
        <w:rPr>
          <w:rFonts w:ascii="Calibri" w:hAnsi="Calibri"/>
          <w:b w:val="0"/>
          <w:i w:val="0"/>
          <w:color w:val="000000"/>
          <w:sz w:val="22"/>
        </w:rPr>
        <w:t>The Johnson and Orme rule of thumb requires n ≥ 500c / (t × a), where c is the largest number of levels on any attribute (4 here), t is the number of tasks (6) and a is the number of service alternatives per task (2). That gives 167 traders for main effects — consistent with the design-based calculation above, and comfortably below 300.</w:t>
      </w:r>
    </w:p>
    <w:p>
      <w:pPr>
        <w:pStyle w:val="Heading2"/>
      </w:pPr>
      <w:r>
        <w:t>5.3  The number that actually binds is the subgroups</w:t>
      </w:r>
    </w:p>
    <w:p>
      <w:pPr>
        <w:spacing w:before="0" w:after="120"/>
      </w:pPr>
      <w:r>
        <w:rPr>
          <w:rFonts w:ascii="Calibri" w:hAnsi="Calibri"/>
          <w:b w:val="0"/>
          <w:i w:val="0"/>
          <w:color w:val="000000"/>
          <w:sz w:val="22"/>
        </w:rPr>
        <w:t>A subgroup you intend to model separately needs to satisfy that requirement on its own, not as a share of the total. That is what decides the sample, not the main model.</w:t>
      </w:r>
    </w:p>
    <w:tbl>
      <w:tblPr>
        <w:tblStyle w:val="TableGrid"/>
        <w:tblW w:type="auto" w:w="0"/>
        <w:jc w:val="left"/>
        <w:tblLayout w:type="fixed"/>
        <w:tblLook w:firstColumn="1" w:firstRow="1" w:lastColumn="0" w:lastRow="0" w:noHBand="0" w:noVBand="1" w:val="04A0"/>
      </w:tblPr>
      <w:tblGrid>
        <w:gridCol w:w="3362"/>
        <w:gridCol w:w="3362"/>
        <w:gridCol w:w="3362"/>
      </w:tblGrid>
      <w:tr>
        <w:trPr>
          <w:tblHeader w:val="true"/>
        </w:trPr>
        <w:tc>
          <w:tcPr>
            <w:tcW w:type="dxa" w:w="3628"/>
            <w:shd w:val="clear" w:color="auto" w:fill="DEEAF6"/>
          </w:tcPr>
          <w:p>
            <w:pPr>
              <w:spacing w:before="20" w:after="20"/>
              <w:jc w:val="center"/>
            </w:pPr>
            <w:r/>
            <w:r>
              <w:rPr>
                <w:rFonts w:ascii="Calibri" w:hAnsi="Calibri"/>
                <w:b/>
                <w:color w:val="000000"/>
                <w:sz w:val="18"/>
              </w:rPr>
              <w:t>Subgroup you want to analyse separately</w:t>
            </w:r>
          </w:p>
        </w:tc>
        <w:tc>
          <w:tcPr>
            <w:tcW w:type="dxa" w:w="1701"/>
            <w:shd w:val="clear" w:color="auto" w:fill="DEEAF6"/>
          </w:tcPr>
          <w:p>
            <w:pPr>
              <w:spacing w:before="20" w:after="20"/>
              <w:jc w:val="center"/>
            </w:pPr>
            <w:r/>
            <w:r>
              <w:rPr>
                <w:rFonts w:ascii="Calibri" w:hAnsi="Calibri"/>
                <w:b/>
                <w:color w:val="000000"/>
                <w:sz w:val="18"/>
              </w:rPr>
              <w:t>Traders needed</w:t>
            </w:r>
          </w:p>
        </w:tc>
        <w:tc>
          <w:tcPr>
            <w:tcW w:type="dxa" w:w="3855"/>
            <w:shd w:val="clear" w:color="auto" w:fill="DEEAF6"/>
          </w:tcPr>
          <w:p>
            <w:pPr>
              <w:spacing w:before="20" w:after="20"/>
              <w:jc w:val="center"/>
            </w:pPr>
            <w:r/>
            <w:r>
              <w:rPr>
                <w:rFonts w:ascii="Calibri" w:hAnsi="Calibri"/>
                <w:b/>
                <w:color w:val="000000"/>
                <w:sz w:val="18"/>
              </w:rPr>
              <w:t>Implication at N = 300</w:t>
            </w:r>
          </w:p>
        </w:tc>
      </w:tr>
      <w:tr>
        <w:tc>
          <w:tcPr>
            <w:tcW w:type="dxa" w:w="3628"/>
          </w:tcPr>
          <w:p>
            <w:pPr>
              <w:spacing w:before="20" w:after="20"/>
            </w:pPr>
            <w:r/>
            <w:r>
              <w:rPr>
                <w:rFonts w:ascii="Calibri" w:hAnsi="Calibri"/>
                <w:b/>
                <w:color w:val="000000"/>
                <w:sz w:val="18"/>
              </w:rPr>
              <w:t>Women traders (the primary population)</w:t>
            </w:r>
          </w:p>
        </w:tc>
        <w:tc>
          <w:tcPr>
            <w:tcW w:type="dxa" w:w="1701"/>
          </w:tcPr>
          <w:p>
            <w:pPr>
              <w:spacing w:before="20" w:after="20"/>
            </w:pPr>
            <w:r/>
            <w:r>
              <w:rPr>
                <w:rFonts w:ascii="Calibri" w:hAnsi="Calibri"/>
                <w:b w:val="0"/>
                <w:color w:val="000000"/>
                <w:sz w:val="18"/>
              </w:rPr>
              <w:t>~167</w:t>
            </w:r>
          </w:p>
        </w:tc>
        <w:tc>
          <w:tcPr>
            <w:tcW w:type="dxa" w:w="3855"/>
          </w:tcPr>
          <w:p>
            <w:pPr>
              <w:spacing w:before="20" w:after="20"/>
            </w:pPr>
            <w:r/>
            <w:r>
              <w:rPr>
                <w:rFonts w:ascii="Calibri" w:hAnsi="Calibri"/>
                <w:b w:val="0"/>
                <w:color w:val="000000"/>
                <w:sz w:val="18"/>
              </w:rPr>
              <w:t>Met, if women are ~60% or more of the sample</w:t>
            </w:r>
          </w:p>
        </w:tc>
      </w:tr>
      <w:tr>
        <w:tc>
          <w:tcPr>
            <w:tcW w:type="dxa" w:w="3628"/>
          </w:tcPr>
          <w:p>
            <w:pPr>
              <w:spacing w:before="20" w:after="20"/>
            </w:pPr>
            <w:r/>
            <w:r>
              <w:rPr>
                <w:rFonts w:ascii="Calibri" w:hAnsi="Calibri"/>
                <w:b/>
                <w:color w:val="000000"/>
                <w:sz w:val="18"/>
              </w:rPr>
              <w:t>Men traders</w:t>
            </w:r>
          </w:p>
        </w:tc>
        <w:tc>
          <w:tcPr>
            <w:tcW w:type="dxa" w:w="1701"/>
          </w:tcPr>
          <w:p>
            <w:pPr>
              <w:spacing w:before="20" w:after="20"/>
            </w:pPr>
            <w:r/>
            <w:r>
              <w:rPr>
                <w:rFonts w:ascii="Calibri" w:hAnsi="Calibri"/>
                <w:b w:val="0"/>
                <w:color w:val="000000"/>
                <w:sz w:val="18"/>
              </w:rPr>
              <w:t>~167</w:t>
            </w:r>
          </w:p>
        </w:tc>
        <w:tc>
          <w:tcPr>
            <w:tcW w:type="dxa" w:w="3855"/>
          </w:tcPr>
          <w:p>
            <w:pPr>
              <w:spacing w:before="20" w:after="20"/>
            </w:pPr>
            <w:r/>
            <w:r>
              <w:rPr>
                <w:rFonts w:ascii="Calibri" w:hAnsi="Calibri"/>
                <w:b w:val="0"/>
                <w:color w:val="000000"/>
                <w:sz w:val="18"/>
              </w:rPr>
              <w:t>NOT met unless men are deliberately over-sampled</w:t>
            </w:r>
          </w:p>
        </w:tc>
      </w:tr>
      <w:tr>
        <w:tc>
          <w:tcPr>
            <w:tcW w:type="dxa" w:w="3628"/>
          </w:tcPr>
          <w:p>
            <w:pPr>
              <w:spacing w:before="20" w:after="20"/>
            </w:pPr>
            <w:r/>
            <w:r>
              <w:rPr>
                <w:rFonts w:ascii="Calibri" w:hAnsi="Calibri"/>
                <w:b/>
                <w:color w:val="000000"/>
                <w:sz w:val="18"/>
              </w:rPr>
              <w:t>Traders with a disability, or with a child with a disability</w:t>
            </w:r>
          </w:p>
        </w:tc>
        <w:tc>
          <w:tcPr>
            <w:tcW w:type="dxa" w:w="1701"/>
          </w:tcPr>
          <w:p>
            <w:pPr>
              <w:spacing w:before="20" w:after="20"/>
            </w:pPr>
            <w:r/>
            <w:r>
              <w:rPr>
                <w:rFonts w:ascii="Calibri" w:hAnsi="Calibri"/>
                <w:b w:val="0"/>
                <w:color w:val="000000"/>
                <w:sz w:val="18"/>
              </w:rPr>
              <w:t>~167</w:t>
            </w:r>
          </w:p>
        </w:tc>
        <w:tc>
          <w:tcPr>
            <w:tcW w:type="dxa" w:w="3855"/>
          </w:tcPr>
          <w:p>
            <w:pPr>
              <w:spacing w:before="20" w:after="20"/>
            </w:pPr>
            <w:r/>
            <w:r>
              <w:rPr>
                <w:rFonts w:ascii="Calibri" w:hAnsi="Calibri"/>
                <w:b w:val="0"/>
                <w:color w:val="000000"/>
                <w:sz w:val="18"/>
              </w:rPr>
              <w:t>Will not be met by chance. Needs purposive recruitment.</w:t>
            </w:r>
          </w:p>
        </w:tc>
      </w:tr>
      <w:tr>
        <w:tc>
          <w:tcPr>
            <w:tcW w:type="dxa" w:w="3628"/>
          </w:tcPr>
          <w:p>
            <w:pPr>
              <w:spacing w:before="20" w:after="20"/>
            </w:pPr>
            <w:r/>
            <w:r>
              <w:rPr>
                <w:rFonts w:ascii="Calibri" w:hAnsi="Calibri"/>
                <w:b/>
                <w:color w:val="000000"/>
                <w:sz w:val="18"/>
              </w:rPr>
              <w:t>Individual markets (6 of them)</w:t>
            </w:r>
          </w:p>
        </w:tc>
        <w:tc>
          <w:tcPr>
            <w:tcW w:type="dxa" w:w="1701"/>
          </w:tcPr>
          <w:p>
            <w:pPr>
              <w:spacing w:before="20" w:after="20"/>
            </w:pPr>
            <w:r/>
            <w:r>
              <w:rPr>
                <w:rFonts w:ascii="Calibri" w:hAnsi="Calibri"/>
                <w:b w:val="0"/>
                <w:color w:val="000000"/>
                <w:sz w:val="18"/>
              </w:rPr>
              <w:t>~167 each</w:t>
            </w:r>
          </w:p>
        </w:tc>
        <w:tc>
          <w:tcPr>
            <w:tcW w:type="dxa" w:w="3855"/>
          </w:tcPr>
          <w:p>
            <w:pPr>
              <w:spacing w:before="20" w:after="20"/>
            </w:pPr>
            <w:r/>
            <w:r>
              <w:rPr>
                <w:rFonts w:ascii="Calibri" w:hAnsi="Calibri"/>
                <w:b w:val="0"/>
                <w:color w:val="000000"/>
                <w:sz w:val="18"/>
              </w:rPr>
              <w:t>Not achievable and should not be attempted</w:t>
            </w:r>
          </w:p>
        </w:tc>
      </w:tr>
    </w:tbl>
    <w:p>
      <w:pPr>
        <w:spacing w:before="120" w:after="160"/>
        <w:ind w:left="283"/>
        <w:pBdr>
          <w:left w:val="single" w:sz="18" w:space="8" w:color="C00000"/>
        </w:pBdr>
      </w:pPr>
      <w:r>
        <w:rPr>
          <w:rFonts w:ascii="Calibri" w:hAnsi="Calibri"/>
          <w:b/>
          <w:color w:val="C00000"/>
          <w:sz w:val="21"/>
        </w:rPr>
        <w:t xml:space="preserve">What to do:  </w:t>
      </w:r>
      <w:r>
        <w:rPr>
          <w:rFonts w:ascii="Calibri" w:hAnsi="Calibri"/>
          <w:sz w:val="21"/>
        </w:rPr>
        <w:t>Decide now which subgroups must be reported separately. If the men–women comparison is required, 300 is not enough for both: either raise to about 400 with a quota, or accept that men are described but not modelled. If traders with disabilities are to be analysed rather than described, they need purposive recruitment on top of the main sample.</w:t>
      </w:r>
    </w:p>
    <w:p>
      <w:pPr>
        <w:pStyle w:val="Heading2"/>
      </w:pPr>
      <w:r>
        <w:t>5.4  Our recommendation</w:t>
      </w:r>
    </w:p>
    <w:tbl>
      <w:tblPr>
        <w:tblStyle w:val="TableGrid"/>
        <w:tblW w:type="auto" w:w="0"/>
        <w:jc w:val="left"/>
        <w:tblLayout w:type="fixed"/>
        <w:tblLook w:firstColumn="1" w:firstRow="1" w:lastColumn="0" w:lastRow="0" w:noHBand="0" w:noVBand="1" w:val="04A0"/>
      </w:tblPr>
      <w:tblGrid>
        <w:gridCol w:w="3362"/>
        <w:gridCol w:w="3362"/>
        <w:gridCol w:w="3362"/>
      </w:tblGrid>
      <w:tr>
        <w:trPr>
          <w:tblHeader w:val="true"/>
        </w:trPr>
        <w:tc>
          <w:tcPr>
            <w:tcW w:type="dxa" w:w="2494"/>
            <w:shd w:val="clear" w:color="auto" w:fill="DEEAF6"/>
          </w:tcPr>
          <w:p>
            <w:pPr>
              <w:spacing w:before="20" w:after="20"/>
              <w:jc w:val="center"/>
            </w:pPr>
            <w:r/>
            <w:r>
              <w:rPr>
                <w:rFonts w:ascii="Calibri" w:hAnsi="Calibri"/>
                <w:b/>
                <w:color w:val="000000"/>
                <w:sz w:val="18"/>
              </w:rPr>
            </w:r>
          </w:p>
        </w:tc>
        <w:tc>
          <w:tcPr>
            <w:tcW w:type="dxa" w:w="1474"/>
            <w:shd w:val="clear" w:color="auto" w:fill="DEEAF6"/>
          </w:tcPr>
          <w:p>
            <w:pPr>
              <w:spacing w:before="20" w:after="20"/>
              <w:jc w:val="center"/>
            </w:pPr>
            <w:r/>
            <w:r>
              <w:rPr>
                <w:rFonts w:ascii="Calibri" w:hAnsi="Calibri"/>
                <w:b/>
                <w:color w:val="000000"/>
                <w:sz w:val="18"/>
              </w:rPr>
              <w:t>Number</w:t>
            </w:r>
          </w:p>
        </w:tc>
        <w:tc>
          <w:tcPr>
            <w:tcW w:type="dxa" w:w="5216"/>
            <w:shd w:val="clear" w:color="auto" w:fill="DEEAF6"/>
          </w:tcPr>
          <w:p>
            <w:pPr>
              <w:spacing w:before="20" w:after="20"/>
              <w:jc w:val="center"/>
            </w:pPr>
            <w:r/>
            <w:r>
              <w:rPr>
                <w:rFonts w:ascii="Calibri" w:hAnsi="Calibri"/>
                <w:b/>
                <w:color w:val="000000"/>
                <w:sz w:val="18"/>
              </w:rPr>
              <w:t>Note</w:t>
            </w:r>
          </w:p>
        </w:tc>
      </w:tr>
      <w:tr>
        <w:tc>
          <w:tcPr>
            <w:tcW w:type="dxa" w:w="2494"/>
          </w:tcPr>
          <w:p>
            <w:pPr>
              <w:spacing w:before="20" w:after="20"/>
            </w:pPr>
            <w:r/>
            <w:r>
              <w:rPr>
                <w:rFonts w:ascii="Calibri" w:hAnsi="Calibri"/>
                <w:b/>
                <w:color w:val="000000"/>
                <w:sz w:val="18"/>
              </w:rPr>
              <w:t>Completed interviews</w:t>
            </w:r>
          </w:p>
        </w:tc>
        <w:tc>
          <w:tcPr>
            <w:tcW w:type="dxa" w:w="1474"/>
          </w:tcPr>
          <w:p>
            <w:pPr>
              <w:spacing w:before="20" w:after="20"/>
            </w:pPr>
            <w:r/>
            <w:r>
              <w:rPr>
                <w:rFonts w:ascii="Calibri" w:hAnsi="Calibri"/>
                <w:b w:val="0"/>
                <w:color w:val="000000"/>
                <w:sz w:val="18"/>
              </w:rPr>
              <w:t>300</w:t>
            </w:r>
          </w:p>
        </w:tc>
        <w:tc>
          <w:tcPr>
            <w:tcW w:type="dxa" w:w="5216"/>
          </w:tcPr>
          <w:p>
            <w:pPr>
              <w:spacing w:before="20" w:after="20"/>
            </w:pPr>
            <w:r/>
            <w:r>
              <w:rPr>
                <w:rFonts w:ascii="Calibri" w:hAnsi="Calibri"/>
                <w:b w:val="0"/>
                <w:color w:val="000000"/>
                <w:sz w:val="18"/>
              </w:rPr>
              <w:t>Target. 50 per market across 6 markets.</w:t>
            </w:r>
          </w:p>
        </w:tc>
      </w:tr>
      <w:tr>
        <w:tc>
          <w:tcPr>
            <w:tcW w:type="dxa" w:w="2494"/>
          </w:tcPr>
          <w:p>
            <w:pPr>
              <w:spacing w:before="20" w:after="20"/>
            </w:pPr>
            <w:r/>
            <w:r>
              <w:rPr>
                <w:rFonts w:ascii="Calibri" w:hAnsi="Calibri"/>
                <w:b/>
                <w:color w:val="000000"/>
                <w:sz w:val="18"/>
              </w:rPr>
              <w:t>Traders to approach</w:t>
            </w:r>
          </w:p>
        </w:tc>
        <w:tc>
          <w:tcPr>
            <w:tcW w:type="dxa" w:w="1474"/>
          </w:tcPr>
          <w:p>
            <w:pPr>
              <w:spacing w:before="20" w:after="20"/>
            </w:pPr>
            <w:r/>
            <w:r>
              <w:rPr>
                <w:rFonts w:ascii="Calibri" w:hAnsi="Calibri"/>
                <w:b w:val="0"/>
                <w:color w:val="000000"/>
                <w:sz w:val="18"/>
              </w:rPr>
              <w:t>~360</w:t>
            </w:r>
          </w:p>
        </w:tc>
        <w:tc>
          <w:tcPr>
            <w:tcW w:type="dxa" w:w="5216"/>
          </w:tcPr>
          <w:p>
            <w:pPr>
              <w:spacing w:before="20" w:after="20"/>
            </w:pPr>
            <w:r/>
            <w:r>
              <w:rPr>
                <w:rFonts w:ascii="Calibri" w:hAnsi="Calibri"/>
                <w:b w:val="0"/>
                <w:color w:val="000000"/>
                <w:sz w:val="18"/>
              </w:rPr>
              <w:t>Allowing for roughly 15% refusal and screen-out. The pilot screened on B12/B13, so budget for traders who do not qualify.</w:t>
            </w:r>
          </w:p>
        </w:tc>
      </w:tr>
      <w:tr>
        <w:tc>
          <w:tcPr>
            <w:tcW w:type="dxa" w:w="2494"/>
          </w:tcPr>
          <w:p>
            <w:pPr>
              <w:spacing w:before="20" w:after="20"/>
            </w:pPr>
            <w:r/>
            <w:r>
              <w:rPr>
                <w:rFonts w:ascii="Calibri" w:hAnsi="Calibri"/>
                <w:b/>
                <w:color w:val="000000"/>
                <w:sz w:val="18"/>
              </w:rPr>
              <w:t>Minimum women</w:t>
            </w:r>
          </w:p>
        </w:tc>
        <w:tc>
          <w:tcPr>
            <w:tcW w:type="dxa" w:w="1474"/>
          </w:tcPr>
          <w:p>
            <w:pPr>
              <w:spacing w:before="20" w:after="20"/>
            </w:pPr>
            <w:r/>
            <w:r>
              <w:rPr>
                <w:rFonts w:ascii="Calibri" w:hAnsi="Calibri"/>
                <w:b w:val="0"/>
                <w:color w:val="000000"/>
                <w:sz w:val="18"/>
              </w:rPr>
              <w:t>200</w:t>
            </w:r>
          </w:p>
        </w:tc>
        <w:tc>
          <w:tcPr>
            <w:tcW w:type="dxa" w:w="5216"/>
          </w:tcPr>
          <w:p>
            <w:pPr>
              <w:spacing w:before="20" w:after="20"/>
            </w:pPr>
            <w:r/>
            <w:r>
              <w:rPr>
                <w:rFonts w:ascii="Calibri" w:hAnsi="Calibri"/>
                <w:b w:val="0"/>
                <w:color w:val="000000"/>
                <w:sz w:val="18"/>
              </w:rPr>
              <w:t>Keeps the primary population comfortably modellable.</w:t>
            </w:r>
          </w:p>
        </w:tc>
      </w:tr>
      <w:tr>
        <w:tc>
          <w:tcPr>
            <w:tcW w:type="dxa" w:w="2494"/>
          </w:tcPr>
          <w:p>
            <w:pPr>
              <w:spacing w:before="20" w:after="20"/>
            </w:pPr>
            <w:r/>
            <w:r>
              <w:rPr>
                <w:rFonts w:ascii="Calibri" w:hAnsi="Calibri"/>
                <w:b/>
                <w:color w:val="000000"/>
                <w:sz w:val="18"/>
              </w:rPr>
              <w:t>Men</w:t>
            </w:r>
          </w:p>
        </w:tc>
        <w:tc>
          <w:tcPr>
            <w:tcW w:type="dxa" w:w="1474"/>
          </w:tcPr>
          <w:p>
            <w:pPr>
              <w:spacing w:before="20" w:after="20"/>
            </w:pPr>
            <w:r/>
            <w:r>
              <w:rPr>
                <w:rFonts w:ascii="Calibri" w:hAnsi="Calibri"/>
                <w:b w:val="0"/>
                <w:color w:val="000000"/>
                <w:sz w:val="18"/>
              </w:rPr>
              <w:t>100</w:t>
            </w:r>
          </w:p>
        </w:tc>
        <w:tc>
          <w:tcPr>
            <w:tcW w:type="dxa" w:w="5216"/>
          </w:tcPr>
          <w:p>
            <w:pPr>
              <w:spacing w:before="20" w:after="20"/>
            </w:pPr>
            <w:r/>
            <w:r>
              <w:rPr>
                <w:rFonts w:ascii="Calibri" w:hAnsi="Calibri"/>
                <w:b w:val="0"/>
                <w:color w:val="000000"/>
                <w:sz w:val="18"/>
              </w:rPr>
              <w:t>Described and compared descriptively; not modelled separately.</w:t>
            </w:r>
          </w:p>
        </w:tc>
      </w:tr>
      <w:tr>
        <w:tc>
          <w:tcPr>
            <w:tcW w:type="dxa" w:w="2494"/>
          </w:tcPr>
          <w:p>
            <w:pPr>
              <w:spacing w:before="20" w:after="20"/>
            </w:pPr>
            <w:r/>
            <w:r>
              <w:rPr>
                <w:rFonts w:ascii="Calibri" w:hAnsi="Calibri"/>
                <w:b/>
                <w:color w:val="000000"/>
                <w:sz w:val="18"/>
              </w:rPr>
              <w:t>Purposive disability sample</w:t>
            </w:r>
          </w:p>
        </w:tc>
        <w:tc>
          <w:tcPr>
            <w:tcW w:type="dxa" w:w="1474"/>
          </w:tcPr>
          <w:p>
            <w:pPr>
              <w:spacing w:before="20" w:after="20"/>
            </w:pPr>
            <w:r/>
            <w:r>
              <w:rPr>
                <w:rFonts w:ascii="Calibri" w:hAnsi="Calibri"/>
                <w:b w:val="0"/>
                <w:color w:val="000000"/>
                <w:sz w:val="18"/>
              </w:rPr>
              <w:t>40–60</w:t>
            </w:r>
          </w:p>
        </w:tc>
        <w:tc>
          <w:tcPr>
            <w:tcW w:type="dxa" w:w="5216"/>
          </w:tcPr>
          <w:p>
            <w:pPr>
              <w:spacing w:before="20" w:after="20"/>
            </w:pPr>
            <w:r/>
            <w:r>
              <w:rPr>
                <w:rFonts w:ascii="Calibri" w:hAnsi="Calibri"/>
                <w:b w:val="0"/>
                <w:color w:val="000000"/>
                <w:sz w:val="18"/>
              </w:rPr>
              <w:t>On top of the 300, recruited through OPDs, so objective iii can be analysed rather than only described.</w:t>
            </w:r>
          </w:p>
        </w:tc>
      </w:tr>
      <w:tr>
        <w:tc>
          <w:tcPr>
            <w:tcW w:type="dxa" w:w="2494"/>
          </w:tcPr>
          <w:p>
            <w:pPr>
              <w:spacing w:before="20" w:after="20"/>
            </w:pPr>
            <w:r/>
            <w:r>
              <w:rPr>
                <w:rFonts w:ascii="Calibri" w:hAnsi="Calibri"/>
                <w:b/>
                <w:color w:val="000000"/>
                <w:sz w:val="18"/>
              </w:rPr>
              <w:t>Choice tasks generated</w:t>
            </w:r>
          </w:p>
        </w:tc>
        <w:tc>
          <w:tcPr>
            <w:tcW w:type="dxa" w:w="1474"/>
          </w:tcPr>
          <w:p>
            <w:pPr>
              <w:spacing w:before="20" w:after="20"/>
            </w:pPr>
            <w:r/>
            <w:r>
              <w:rPr>
                <w:rFonts w:ascii="Calibri" w:hAnsi="Calibri"/>
                <w:b w:val="0"/>
                <w:color w:val="000000"/>
                <w:sz w:val="18"/>
              </w:rPr>
              <w:t>1,800</w:t>
            </w:r>
          </w:p>
        </w:tc>
        <w:tc>
          <w:tcPr>
            <w:tcW w:type="dxa" w:w="5216"/>
          </w:tcPr>
          <w:p>
            <w:pPr>
              <w:spacing w:before="20" w:after="20"/>
            </w:pPr>
            <w:r/>
            <w:r>
              <w:rPr>
                <w:rFonts w:ascii="Calibri" w:hAnsi="Calibri"/>
                <w:b w:val="0"/>
                <w:color w:val="000000"/>
                <w:sz w:val="18"/>
              </w:rPr>
              <w:t>300 traders x 6 cards.</w:t>
            </w:r>
          </w:p>
        </w:tc>
      </w:tr>
    </w:tbl>
    <w:p>
      <w:r>
        <w:br w:type="page"/>
      </w:r>
    </w:p>
    <w:p>
      <w:pPr>
        <w:pStyle w:val="Heading1"/>
        <w:pBdr>
          <w:bottom w:val="single" w:sz="6" w:space="4" w:color="1F3864"/>
        </w:pBdr>
      </w:pPr>
      <w:r>
        <w:t>6.  What happens next</w:t>
      </w:r>
    </w:p>
    <w:tbl>
      <w:tblPr>
        <w:tblStyle w:val="TableGrid"/>
        <w:tblW w:type="auto" w:w="0"/>
        <w:jc w:val="left"/>
        <w:tblLayout w:type="fixed"/>
        <w:tblLook w:firstColumn="1" w:firstRow="1" w:lastColumn="0" w:lastRow="0" w:noHBand="0" w:noVBand="1" w:val="04A0"/>
      </w:tblPr>
      <w:tblGrid>
        <w:gridCol w:w="2521"/>
        <w:gridCol w:w="2521"/>
        <w:gridCol w:w="2521"/>
        <w:gridCol w:w="2521"/>
      </w:tblGrid>
      <w:tr>
        <w:trPr>
          <w:tblHeader w:val="true"/>
        </w:trPr>
        <w:tc>
          <w:tcPr>
            <w:tcW w:type="dxa" w:w="510"/>
            <w:shd w:val="clear" w:color="auto" w:fill="DEEAF6"/>
          </w:tcPr>
          <w:p>
            <w:pPr>
              <w:spacing w:before="20" w:after="20"/>
              <w:jc w:val="center"/>
            </w:pPr>
            <w:r/>
            <w:r>
              <w:rPr>
                <w:rFonts w:ascii="Calibri" w:hAnsi="Calibri"/>
                <w:b/>
                <w:color w:val="000000"/>
                <w:sz w:val="18"/>
              </w:rPr>
              <w:t>#</w:t>
            </w:r>
          </w:p>
        </w:tc>
        <w:tc>
          <w:tcPr>
            <w:tcW w:type="dxa" w:w="4309"/>
            <w:shd w:val="clear" w:color="auto" w:fill="DEEAF6"/>
          </w:tcPr>
          <w:p>
            <w:pPr>
              <w:spacing w:before="20" w:after="20"/>
              <w:jc w:val="center"/>
            </w:pPr>
            <w:r/>
            <w:r>
              <w:rPr>
                <w:rFonts w:ascii="Calibri" w:hAnsi="Calibri"/>
                <w:b/>
                <w:color w:val="000000"/>
                <w:sz w:val="18"/>
              </w:rPr>
              <w:t>Action</w:t>
            </w:r>
          </w:p>
        </w:tc>
        <w:tc>
          <w:tcPr>
            <w:tcW w:type="dxa" w:w="2154"/>
            <w:shd w:val="clear" w:color="auto" w:fill="DEEAF6"/>
          </w:tcPr>
          <w:p>
            <w:pPr>
              <w:spacing w:before="20" w:after="20"/>
              <w:jc w:val="center"/>
            </w:pPr>
            <w:r/>
            <w:r>
              <w:rPr>
                <w:rFonts w:ascii="Calibri" w:hAnsi="Calibri"/>
                <w:b/>
                <w:color w:val="000000"/>
                <w:sz w:val="18"/>
              </w:rPr>
              <w:t>Who</w:t>
            </w:r>
          </w:p>
        </w:tc>
        <w:tc>
          <w:tcPr>
            <w:tcW w:type="dxa" w:w="2211"/>
            <w:shd w:val="clear" w:color="auto" w:fill="DEEAF6"/>
          </w:tcPr>
          <w:p>
            <w:pPr>
              <w:spacing w:before="20" w:after="20"/>
              <w:jc w:val="center"/>
            </w:pPr>
            <w:r/>
            <w:r>
              <w:rPr>
                <w:rFonts w:ascii="Calibri" w:hAnsi="Calibri"/>
                <w:b/>
                <w:color w:val="000000"/>
                <w:sz w:val="18"/>
              </w:rPr>
              <w:t>Before</w:t>
            </w:r>
          </w:p>
        </w:tc>
      </w:tr>
      <w:tr>
        <w:tc>
          <w:tcPr>
            <w:tcW w:type="dxa" w:w="510"/>
          </w:tcPr>
          <w:p>
            <w:pPr>
              <w:spacing w:before="20" w:after="20"/>
            </w:pPr>
            <w:r/>
            <w:r>
              <w:rPr>
                <w:rFonts w:ascii="Calibri" w:hAnsi="Calibri"/>
                <w:b/>
                <w:color w:val="000000"/>
                <w:sz w:val="18"/>
              </w:rPr>
              <w:t>1</w:t>
            </w:r>
          </w:p>
        </w:tc>
        <w:tc>
          <w:tcPr>
            <w:tcW w:type="dxa" w:w="4309"/>
          </w:tcPr>
          <w:p>
            <w:pPr>
              <w:spacing w:before="20" w:after="20"/>
            </w:pPr>
            <w:r/>
            <w:r>
              <w:rPr>
                <w:rFonts w:ascii="Calibri" w:hAnsi="Calibri"/>
                <w:b w:val="0"/>
                <w:color w:val="000000"/>
                <w:sz w:val="18"/>
              </w:rPr>
              <w:t>Correct the Kobo form: rotation, block code, straight-line flag, level wording</w:t>
            </w:r>
          </w:p>
        </w:tc>
        <w:tc>
          <w:tcPr>
            <w:tcW w:type="dxa" w:w="2154"/>
          </w:tcPr>
          <w:p>
            <w:pPr>
              <w:spacing w:before="20" w:after="20"/>
            </w:pPr>
            <w:r/>
            <w:r>
              <w:rPr>
                <w:rFonts w:ascii="Calibri" w:hAnsi="Calibri"/>
                <w:b w:val="0"/>
                <w:color w:val="000000"/>
                <w:sz w:val="18"/>
              </w:rPr>
              <w:t>Data team</w:t>
            </w:r>
          </w:p>
        </w:tc>
        <w:tc>
          <w:tcPr>
            <w:tcW w:type="dxa" w:w="2211"/>
          </w:tcPr>
          <w:p>
            <w:pPr>
              <w:spacing w:before="20" w:after="20"/>
            </w:pPr>
            <w:r/>
            <w:r>
              <w:rPr>
                <w:rFonts w:ascii="Calibri" w:hAnsi="Calibri"/>
                <w:b w:val="0"/>
                <w:color w:val="000000"/>
                <w:sz w:val="18"/>
              </w:rPr>
              <w:t>Any further interviews</w:t>
            </w:r>
          </w:p>
        </w:tc>
      </w:tr>
      <w:tr>
        <w:tc>
          <w:tcPr>
            <w:tcW w:type="dxa" w:w="510"/>
          </w:tcPr>
          <w:p>
            <w:pPr>
              <w:spacing w:before="20" w:after="20"/>
            </w:pPr>
            <w:r/>
            <w:r>
              <w:rPr>
                <w:rFonts w:ascii="Calibri" w:hAnsi="Calibri"/>
                <w:b/>
                <w:color w:val="000000"/>
                <w:sz w:val="18"/>
              </w:rPr>
              <w:t>2</w:t>
            </w:r>
          </w:p>
        </w:tc>
        <w:tc>
          <w:tcPr>
            <w:tcW w:type="dxa" w:w="4309"/>
          </w:tcPr>
          <w:p>
            <w:pPr>
              <w:spacing w:before="20" w:after="20"/>
            </w:pPr>
            <w:r/>
            <w:r>
              <w:rPr>
                <w:rFonts w:ascii="Calibri" w:hAnsi="Calibri"/>
                <w:b w:val="0"/>
                <w:color w:val="000000"/>
                <w:sz w:val="18"/>
              </w:rPr>
              <w:t>Load the 18-card design into the form</w:t>
            </w:r>
          </w:p>
        </w:tc>
        <w:tc>
          <w:tcPr>
            <w:tcW w:type="dxa" w:w="2154"/>
          </w:tcPr>
          <w:p>
            <w:pPr>
              <w:spacing w:before="20" w:after="20"/>
            </w:pPr>
            <w:r/>
            <w:r>
              <w:rPr>
                <w:rFonts w:ascii="Calibri" w:hAnsi="Calibri"/>
                <w:b w:val="0"/>
                <w:color w:val="000000"/>
                <w:sz w:val="18"/>
              </w:rPr>
              <w:t>Data team</w:t>
            </w:r>
          </w:p>
        </w:tc>
        <w:tc>
          <w:tcPr>
            <w:tcW w:type="dxa" w:w="2211"/>
          </w:tcPr>
          <w:p>
            <w:pPr>
              <w:spacing w:before="20" w:after="20"/>
            </w:pPr>
            <w:r/>
            <w:r>
              <w:rPr>
                <w:rFonts w:ascii="Calibri" w:hAnsi="Calibri"/>
                <w:b w:val="0"/>
                <w:color w:val="000000"/>
                <w:sz w:val="18"/>
              </w:rPr>
              <w:t>Any further interviews</w:t>
            </w:r>
          </w:p>
        </w:tc>
      </w:tr>
      <w:tr>
        <w:tc>
          <w:tcPr>
            <w:tcW w:type="dxa" w:w="510"/>
          </w:tcPr>
          <w:p>
            <w:pPr>
              <w:spacing w:before="20" w:after="20"/>
            </w:pPr>
            <w:r/>
            <w:r>
              <w:rPr>
                <w:rFonts w:ascii="Calibri" w:hAnsi="Calibri"/>
                <w:b/>
                <w:color w:val="000000"/>
                <w:sz w:val="18"/>
              </w:rPr>
              <w:t>3</w:t>
            </w:r>
          </w:p>
        </w:tc>
        <w:tc>
          <w:tcPr>
            <w:tcW w:type="dxa" w:w="4309"/>
          </w:tcPr>
          <w:p>
            <w:pPr>
              <w:spacing w:before="20" w:after="20"/>
            </w:pPr>
            <w:r/>
            <w:r>
              <w:rPr>
                <w:rFonts w:ascii="Calibri" w:hAnsi="Calibri"/>
                <w:b w:val="0"/>
                <w:color w:val="000000"/>
                <w:sz w:val="18"/>
              </w:rPr>
              <w:t>Confirm whether "1 untrained helper per 10 children" and "no special accommodation" are lawful</w:t>
            </w:r>
          </w:p>
        </w:tc>
        <w:tc>
          <w:tcPr>
            <w:tcW w:type="dxa" w:w="2154"/>
          </w:tcPr>
          <w:p>
            <w:pPr>
              <w:spacing w:before="20" w:after="20"/>
            </w:pPr>
            <w:r/>
            <w:r>
              <w:rPr>
                <w:rFonts w:ascii="Calibri" w:hAnsi="Calibri"/>
                <w:b w:val="0"/>
                <w:color w:val="000000"/>
                <w:sz w:val="18"/>
              </w:rPr>
              <w:t>County regulatory interview</w:t>
            </w:r>
          </w:p>
        </w:tc>
        <w:tc>
          <w:tcPr>
            <w:tcW w:type="dxa" w:w="2211"/>
          </w:tcPr>
          <w:p>
            <w:pPr>
              <w:spacing w:before="20" w:after="20"/>
            </w:pPr>
            <w:r/>
            <w:r>
              <w:rPr>
                <w:rFonts w:ascii="Calibri" w:hAnsi="Calibri"/>
                <w:b w:val="0"/>
                <w:color w:val="000000"/>
                <w:sz w:val="18"/>
              </w:rPr>
              <w:t>Design is frozen</w:t>
            </w:r>
          </w:p>
        </w:tc>
      </w:tr>
      <w:tr>
        <w:tc>
          <w:tcPr>
            <w:tcW w:type="dxa" w:w="510"/>
          </w:tcPr>
          <w:p>
            <w:pPr>
              <w:spacing w:before="20" w:after="20"/>
            </w:pPr>
            <w:r/>
            <w:r>
              <w:rPr>
                <w:rFonts w:ascii="Calibri" w:hAnsi="Calibri"/>
                <w:b/>
                <w:color w:val="000000"/>
                <w:sz w:val="18"/>
              </w:rPr>
              <w:t>4</w:t>
            </w:r>
          </w:p>
        </w:tc>
        <w:tc>
          <w:tcPr>
            <w:tcW w:type="dxa" w:w="4309"/>
          </w:tcPr>
          <w:p>
            <w:pPr>
              <w:spacing w:before="20" w:after="20"/>
            </w:pPr>
            <w:r/>
            <w:r>
              <w:rPr>
                <w:rFonts w:ascii="Calibri" w:hAnsi="Calibri"/>
                <w:b w:val="0"/>
                <w:color w:val="000000"/>
                <w:sz w:val="18"/>
              </w:rPr>
              <w:t>Re-pilot the DCE only, 15–20 traders, to confirm rotation works</w:t>
            </w:r>
          </w:p>
        </w:tc>
        <w:tc>
          <w:tcPr>
            <w:tcW w:type="dxa" w:w="2154"/>
          </w:tcPr>
          <w:p>
            <w:pPr>
              <w:spacing w:before="20" w:after="20"/>
            </w:pPr>
            <w:r/>
            <w:r>
              <w:rPr>
                <w:rFonts w:ascii="Calibri" w:hAnsi="Calibri"/>
                <w:b w:val="0"/>
                <w:color w:val="000000"/>
                <w:sz w:val="18"/>
              </w:rPr>
              <w:t>Field team</w:t>
            </w:r>
          </w:p>
        </w:tc>
        <w:tc>
          <w:tcPr>
            <w:tcW w:type="dxa" w:w="2211"/>
          </w:tcPr>
          <w:p>
            <w:pPr>
              <w:spacing w:before="20" w:after="20"/>
            </w:pPr>
            <w:r/>
            <w:r>
              <w:rPr>
                <w:rFonts w:ascii="Calibri" w:hAnsi="Calibri"/>
                <w:b w:val="0"/>
                <w:color w:val="000000"/>
                <w:sz w:val="18"/>
              </w:rPr>
              <w:t>Full launch</w:t>
            </w:r>
          </w:p>
        </w:tc>
      </w:tr>
      <w:tr>
        <w:tc>
          <w:tcPr>
            <w:tcW w:type="dxa" w:w="510"/>
          </w:tcPr>
          <w:p>
            <w:pPr>
              <w:spacing w:before="20" w:after="20"/>
            </w:pPr>
            <w:r/>
            <w:r>
              <w:rPr>
                <w:rFonts w:ascii="Calibri" w:hAnsi="Calibri"/>
                <w:b/>
                <w:color w:val="000000"/>
                <w:sz w:val="18"/>
              </w:rPr>
              <w:t>5</w:t>
            </w:r>
          </w:p>
        </w:tc>
        <w:tc>
          <w:tcPr>
            <w:tcW w:type="dxa" w:w="4309"/>
          </w:tcPr>
          <w:p>
            <w:pPr>
              <w:spacing w:before="20" w:after="20"/>
            </w:pPr>
            <w:r/>
            <w:r>
              <w:rPr>
                <w:rFonts w:ascii="Calibri" w:hAnsi="Calibri"/>
                <w:b w:val="0"/>
                <w:color w:val="000000"/>
                <w:sz w:val="18"/>
              </w:rPr>
              <w:t>Decide the subgroup question in 5.3</w:t>
            </w:r>
          </w:p>
        </w:tc>
        <w:tc>
          <w:tcPr>
            <w:tcW w:type="dxa" w:w="2154"/>
          </w:tcPr>
          <w:p>
            <w:pPr>
              <w:spacing w:before="20" w:after="20"/>
            </w:pPr>
            <w:r/>
            <w:r>
              <w:rPr>
                <w:rFonts w:ascii="Calibri" w:hAnsi="Calibri"/>
                <w:b w:val="0"/>
                <w:color w:val="000000"/>
                <w:sz w:val="18"/>
              </w:rPr>
              <w:t>Client</w:t>
            </w:r>
          </w:p>
        </w:tc>
        <w:tc>
          <w:tcPr>
            <w:tcW w:type="dxa" w:w="2211"/>
          </w:tcPr>
          <w:p>
            <w:pPr>
              <w:spacing w:before="20" w:after="20"/>
            </w:pPr>
            <w:r/>
            <w:r>
              <w:rPr>
                <w:rFonts w:ascii="Calibri" w:hAnsi="Calibri"/>
                <w:b w:val="0"/>
                <w:color w:val="000000"/>
                <w:sz w:val="18"/>
              </w:rPr>
              <w:t>Sampling plan is fixed</w:t>
            </w:r>
          </w:p>
        </w:tc>
      </w:tr>
      <w:tr>
        <w:tc>
          <w:tcPr>
            <w:tcW w:type="dxa" w:w="510"/>
          </w:tcPr>
          <w:p>
            <w:pPr>
              <w:spacing w:before="20" w:after="20"/>
            </w:pPr>
            <w:r/>
            <w:r>
              <w:rPr>
                <w:rFonts w:ascii="Calibri" w:hAnsi="Calibri"/>
                <w:b/>
                <w:color w:val="000000"/>
                <w:sz w:val="18"/>
              </w:rPr>
              <w:t>6</w:t>
            </w:r>
          </w:p>
        </w:tc>
        <w:tc>
          <w:tcPr>
            <w:tcW w:type="dxa" w:w="4309"/>
          </w:tcPr>
          <w:p>
            <w:pPr>
              <w:spacing w:before="20" w:after="20"/>
            </w:pPr>
            <w:r/>
            <w:r>
              <w:rPr>
                <w:rFonts w:ascii="Calibri" w:hAnsi="Calibri"/>
                <w:b w:val="0"/>
                <w:color w:val="000000"/>
                <w:sz w:val="18"/>
              </w:rPr>
              <w:t>Write the provider interview guide</w:t>
            </w:r>
          </w:p>
        </w:tc>
        <w:tc>
          <w:tcPr>
            <w:tcW w:type="dxa" w:w="2154"/>
          </w:tcPr>
          <w:p>
            <w:pPr>
              <w:spacing w:before="20" w:after="20"/>
            </w:pPr>
            <w:r/>
            <w:r>
              <w:rPr>
                <w:rFonts w:ascii="Calibri" w:hAnsi="Calibri"/>
                <w:b w:val="0"/>
                <w:color w:val="000000"/>
                <w:sz w:val="18"/>
              </w:rPr>
              <w:t>Study team</w:t>
            </w:r>
          </w:p>
        </w:tc>
        <w:tc>
          <w:tcPr>
            <w:tcW w:type="dxa" w:w="2211"/>
          </w:tcPr>
          <w:p>
            <w:pPr>
              <w:spacing w:before="20" w:after="20"/>
            </w:pPr>
            <w:r/>
            <w:r>
              <w:rPr>
                <w:rFonts w:ascii="Calibri" w:hAnsi="Calibri"/>
                <w:b w:val="0"/>
                <w:color w:val="000000"/>
                <w:sz w:val="18"/>
              </w:rPr>
              <w:t>Costing can be completed</w:t>
            </w:r>
          </w:p>
        </w:tc>
      </w:tr>
      <w:tr>
        <w:tc>
          <w:tcPr>
            <w:tcW w:type="dxa" w:w="510"/>
          </w:tcPr>
          <w:p>
            <w:pPr>
              <w:spacing w:before="20" w:after="20"/>
            </w:pPr>
            <w:r/>
            <w:r>
              <w:rPr>
                <w:rFonts w:ascii="Calibri" w:hAnsi="Calibri"/>
                <w:b/>
                <w:color w:val="000000"/>
                <w:sz w:val="18"/>
              </w:rPr>
              <w:t>7</w:t>
            </w:r>
          </w:p>
        </w:tc>
        <w:tc>
          <w:tcPr>
            <w:tcW w:type="dxa" w:w="4309"/>
          </w:tcPr>
          <w:p>
            <w:pPr>
              <w:spacing w:before="20" w:after="20"/>
            </w:pPr>
            <w:r/>
            <w:r>
              <w:rPr>
                <w:rFonts w:ascii="Calibri" w:hAnsi="Calibri"/>
                <w:b w:val="0"/>
                <w:color w:val="000000"/>
                <w:sz w:val="18"/>
              </w:rPr>
              <w:t>Fill the costing template with real figures</w:t>
            </w:r>
          </w:p>
        </w:tc>
        <w:tc>
          <w:tcPr>
            <w:tcW w:type="dxa" w:w="2154"/>
          </w:tcPr>
          <w:p>
            <w:pPr>
              <w:spacing w:before="20" w:after="20"/>
            </w:pPr>
            <w:r/>
            <w:r>
              <w:rPr>
                <w:rFonts w:ascii="Calibri" w:hAnsi="Calibri"/>
                <w:b w:val="0"/>
                <w:color w:val="000000"/>
                <w:sz w:val="18"/>
              </w:rPr>
              <w:t>Study team + County</w:t>
            </w:r>
          </w:p>
        </w:tc>
        <w:tc>
          <w:tcPr>
            <w:tcW w:type="dxa" w:w="2211"/>
          </w:tcPr>
          <w:p>
            <w:pPr>
              <w:spacing w:before="20" w:after="20"/>
            </w:pPr>
            <w:r/>
            <w:r>
              <w:rPr>
                <w:rFonts w:ascii="Calibri" w:hAnsi="Calibri"/>
                <w:b w:val="0"/>
                <w:color w:val="000000"/>
                <w:sz w:val="18"/>
              </w:rPr>
              <w:t>Objective iv can be answered</w:t>
            </w:r>
          </w:p>
        </w:tc>
      </w:tr>
    </w:tbl>
    <w:p>
      <w:pPr>
        <w:spacing w:before="0" w:after="160"/>
      </w:pPr>
      <w:r>
        <w:rPr>
          <w:rFonts w:ascii="Calibri" w:hAnsi="Calibri"/>
          <w:b w:val="0"/>
          <w:i w:val="0"/>
          <w:color w:val="000000"/>
          <w:sz w:val="22"/>
        </w:rPr>
        <w:t>Item 4 is worth the two days. The rotation fix is the one change we cannot verify from existing data — it has to be observed working.</w:t>
      </w:r>
    </w:p>
    <w:p>
      <w:pPr>
        <w:pStyle w:val="Heading2"/>
      </w:pPr>
      <w:r>
        <w:t>A note on what this pilot cost and returned</w:t>
      </w:r>
    </w:p>
    <w:p>
      <w:pPr>
        <w:spacing w:before="0" w:after="120"/>
      </w:pPr>
      <w:r>
        <w:rPr>
          <w:rFonts w:ascii="Calibri" w:hAnsi="Calibri"/>
          <w:b w:val="0"/>
          <w:i w:val="0"/>
          <w:color w:val="000000"/>
          <w:sz w:val="22"/>
        </w:rPr>
        <w:t>Twenty-three interviews found a confound that would have rendered the willingness-to-pay estimate from 300 interviews uninterpretable, and would probably not have been noticed until analysis. That is the pilot working exactly as intended. The corrections are modest; the alternative was a full survey whose central number could not be defended.</w:t>
      </w:r>
    </w:p>
    <w:p>
      <w:pPr>
        <w:pStyle w:val="Heading2"/>
      </w:pPr>
      <w:r>
        <w:t>Sources</w:t>
      </w:r>
    </w:p>
    <w:p>
      <w:pPr>
        <w:spacing w:before="0" w:after="120"/>
      </w:pPr>
      <w:r>
        <w:rPr>
          <w:rFonts w:ascii="Calibri" w:hAnsi="Calibri"/>
          <w:b w:val="0"/>
          <w:i w:val="0"/>
          <w:color w:val="000000"/>
          <w:sz w:val="20"/>
        </w:rPr>
        <w:t>All figures in this note come from the 23 pilot submissions exported from Kobo on 20 September 2026, re-analysed in R. The analysis is reproducible: Pilot_DCE_FollowUp_Analysis.Rmd with pilot_dce_analysis.R, dce_long.csv and respondents.csv. The choice model is a conditional logit fitted directly in base R, so no package versions affect the results.</w:t>
      </w:r>
    </w:p>
    <w:sectPr w:rsidR="00FC693F" w:rsidRPr="0006063C" w:rsidSect="00034616">
      <w:footerReference w:type="default" r:id="rId9"/>
      <w:pgSz w:w="12240" w:h="15840"/>
      <w:pgMar w:top="1134" w:right="1020"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6"/>
      </w:rPr>
      <w:t xml:space="preserve">Trader Questionnaire v2.0  ·  Uasin Gishu Market Childcare Study  ·  Page </w:t>
    </w:r>
    <w:fldSimple w:instr="PAGE">
      <w:r>
        <w:rPr>
          <w:sz w:val="16"/>
        </w:rPr>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80"/>
    </w:pPr>
    <w:rPr>
      <w:rFonts w:ascii="Calibri" w:hAnsi="Calibri" w:cs="Calibri" w:eastAsia="Calibri"/>
      <w:b w:val="0"/>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Calibri" w:hAnsi="Calibri" w:cs="Calibri" w:eastAsia="Calibri"/>
      <w:b/>
      <w:bCs/>
      <w:i w:val="0"/>
      <w:color w:val="1F3864"/>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Calibri" w:hAnsi="Calibri" w:cs="Calibri" w:eastAsia="Calibri"/>
      <w:b/>
      <w:bCs/>
      <w:i w:val="0"/>
      <w:color w:val="1F4D78"/>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Calibri" w:hAnsi="Calibri" w:cs="Calibri" w:eastAsia="Calibri"/>
      <w:b/>
      <w:bCs/>
      <w:i w:val="0"/>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pBdr>
        <w:bottom w:val="single" w:sz="8" w:space="4" w:color="4F81BD" w:themeColor="accent1"/>
      </w:pBdr>
      <w:spacing w:after="120" w:line="240" w:lineRule="auto" w:before="0"/>
      <w:contextualSpacing/>
    </w:pPr>
    <w:rPr>
      <w:rFonts w:ascii="Calibri" w:hAnsi="Calibri" w:cs="Calibri" w:eastAsia="Calibri"/>
      <w:b/>
      <w:i w:val="0"/>
      <w:color w:val="1F386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