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240" w:before="240" w:line="360"/>
        <w:jc w:val="center"/>
      </w:pPr>
      <w:r>
        <w:rPr>
          <w:rFonts w:ascii="Times New Roman" w:cs="Times New Roman" w:eastAsia="Times New Roman" w:hAnsi="Times New Roman"/>
          <w:b/>
          <w:bCs/>
          <w:color w:val="000000"/>
          <w:sz w:val="28"/>
          <w:szCs w:val="28"/>
        </w:rPr>
        <w:t xml:space="preserve">APPENDIX A: IBM SPSS STATISTICS OUTPUT</w:t>
      </w:r>
    </w:p>
    <w:p>
      <w:pPr>
        <w:spacing w:after="120" w:before="0" w:line="360"/>
        <w:jc w:val="both"/>
      </w:pPr>
      <w:r>
        <w:rPr>
          <w:rFonts w:ascii="Times New Roman" w:cs="Times New Roman" w:eastAsia="Times New Roman" w:hAnsi="Times New Roman"/>
          <w:color w:val="000000"/>
          <w:sz w:val="24"/>
          <w:szCs w:val="24"/>
        </w:rPr>
        <w:t xml:space="preserve">This appendix reproduces the IBM SPSS Statistics output behind Chapter Four. Crosstabulations are run BY actor, so each table carries fishers, middlemen, hoteliers and exporters. Cells show the count with the column percentage in parentheses; a dash marks an actor category that recorded no valid response. The syntax that produces every table here is supplied as Mud_crab_BMU_analysis.sps.</w:t>
      </w:r>
    </w:p>
    <w:p>
      <w:pPr>
        <w:pStyle w:val="Heading2"/>
        <w:spacing w:after="140" w:before="280" w:line="360"/>
      </w:pPr>
      <w:r>
        <w:rPr>
          <w:rFonts w:ascii="Times New Roman" w:cs="Times New Roman" w:eastAsia="Times New Roman" w:hAnsi="Times New Roman"/>
          <w:b/>
          <w:bCs/>
          <w:color w:val="000000"/>
          <w:sz w:val="26"/>
          <w:szCs w:val="26"/>
        </w:rPr>
        <w:t xml:space="preserve">A.1 Crosstabulations by Actor Category</w:t>
      </w:r>
    </w:p>
    <w:p>
      <w:pPr>
        <w:spacing w:after="0" w:before="240" w:line="240"/>
      </w:pPr>
      <w:r>
        <w:rPr>
          <w:rFonts w:ascii="Times New Roman" w:cs="Times New Roman" w:eastAsia="Times New Roman" w:hAnsi="Times New Roman"/>
          <w:b/>
          <w:bCs/>
          <w:color w:val="000000"/>
          <w:sz w:val="24"/>
          <w:szCs w:val="24"/>
        </w:rPr>
        <w:t xml:space="preserve">Table A1</w:t>
      </w:r>
    </w:p>
    <w:p>
      <w:pPr>
        <w:spacing w:after="120" w:before="0" w:line="240"/>
      </w:pPr>
      <w:r>
        <w:rPr>
          <w:rFonts w:ascii="Times New Roman" w:cs="Times New Roman" w:eastAsia="Times New Roman" w:hAnsi="Times New Roman"/>
          <w:b w:val="false"/>
          <w:bCs w:val="false"/>
          <w:i/>
          <w:iCs/>
          <w:color w:val="000000"/>
          <w:sz w:val="24"/>
          <w:szCs w:val="24"/>
        </w:rPr>
        <w:t xml:space="preserve">Age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18-35</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 (53.8%)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(45.8%)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36-49</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 (29.2%)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50-60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Over 60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Under 18</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w:t>
      </w:r>
    </w:p>
    <w:p>
      <w:pPr>
        <w:spacing w:after="120" w:before="0" w:line="240"/>
      </w:pPr>
      <w:r>
        <w:rPr>
          <w:rFonts w:ascii="Times New Roman" w:cs="Times New Roman" w:eastAsia="Times New Roman" w:hAnsi="Times New Roman"/>
          <w:b w:val="false"/>
          <w:bCs w:val="false"/>
          <w:i/>
          <w:iCs/>
          <w:color w:val="000000"/>
          <w:sz w:val="24"/>
          <w:szCs w:val="24"/>
        </w:rPr>
        <w:t xml:space="preserve">Gender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Female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95 (99.0%)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w:t>
      </w:r>
    </w:p>
    <w:p>
      <w:pPr>
        <w:spacing w:after="120" w:before="0" w:line="240"/>
      </w:pPr>
      <w:r>
        <w:rPr>
          <w:rFonts w:ascii="Times New Roman" w:cs="Times New Roman" w:eastAsia="Times New Roman" w:hAnsi="Times New Roman"/>
          <w:b w:val="false"/>
          <w:bCs w:val="false"/>
          <w:i/>
          <w:iCs/>
          <w:color w:val="000000"/>
          <w:sz w:val="24"/>
          <w:szCs w:val="24"/>
        </w:rPr>
        <w:t xml:space="preserve">Highest education attained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Certificate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Diploma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 formal education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Primary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(62.5%)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Secondary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Undergraduate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w:t>
      </w:r>
    </w:p>
    <w:p>
      <w:pPr>
        <w:spacing w:after="120" w:before="0" w:line="240"/>
      </w:pPr>
      <w:r>
        <w:rPr>
          <w:rFonts w:ascii="Times New Roman" w:cs="Times New Roman" w:eastAsia="Times New Roman" w:hAnsi="Times New Roman"/>
          <w:b w:val="false"/>
          <w:bCs w:val="false"/>
          <w:i/>
          <w:iCs/>
          <w:color w:val="000000"/>
          <w:sz w:val="24"/>
          <w:szCs w:val="24"/>
        </w:rPr>
        <w:t xml:space="preserve">Ethnic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Chinese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Digo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 (55.4%)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(68.2%)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(55.2%)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Duruma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(25.0%)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Kikuyu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Swahili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Vumba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w:t>
      </w:r>
    </w:p>
    <w:p>
      <w:pPr>
        <w:spacing w:after="120" w:before="0" w:line="240"/>
      </w:pPr>
      <w:r>
        <w:rPr>
          <w:rFonts w:ascii="Times New Roman" w:cs="Times New Roman" w:eastAsia="Times New Roman" w:hAnsi="Times New Roman"/>
          <w:b w:val="false"/>
          <w:bCs w:val="false"/>
          <w:i/>
          <w:iCs/>
          <w:color w:val="000000"/>
          <w:sz w:val="24"/>
          <w:szCs w:val="24"/>
        </w:rPr>
        <w:t xml:space="preserve">Marital status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Married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68 (70.8%)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Separated / divorced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(4.6%)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(3.1%)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Single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(30.8%)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(25.0%)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Widowed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w:t>
      </w:r>
    </w:p>
    <w:p>
      <w:pPr>
        <w:spacing w:after="120" w:before="0" w:line="240"/>
      </w:pPr>
      <w:r>
        <w:rPr>
          <w:rFonts w:ascii="Times New Roman" w:cs="Times New Roman" w:eastAsia="Times New Roman" w:hAnsi="Times New Roman"/>
          <w:b w:val="false"/>
          <w:bCs w:val="false"/>
          <w:i/>
          <w:iCs/>
          <w:color w:val="000000"/>
          <w:sz w:val="24"/>
          <w:szCs w:val="24"/>
        </w:rPr>
        <w:t xml:space="preserve">Years of experience in the mud crab fishery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11-20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(26.0%)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5-10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28 (29.2%)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Less than 5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Over 20 years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(30.8%)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36 (37.5%)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w:t>
      </w:r>
    </w:p>
    <w:p>
      <w:pPr>
        <w:spacing w:after="120" w:before="0" w:line="240"/>
      </w:pPr>
      <w:r>
        <w:rPr>
          <w:rFonts w:ascii="Times New Roman" w:cs="Times New Roman" w:eastAsia="Times New Roman" w:hAnsi="Times New Roman"/>
          <w:b w:val="false"/>
          <w:bCs w:val="false"/>
          <w:i/>
          <w:iCs/>
          <w:color w:val="000000"/>
          <w:sz w:val="24"/>
          <w:szCs w:val="24"/>
        </w:rPr>
        <w:t xml:space="preserve">Primary role in the mud crab fishery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Crabber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(22.9%)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Processor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w:t>
      </w:r>
    </w:p>
    <w:p>
      <w:pPr>
        <w:spacing w:after="120" w:before="0" w:line="240"/>
      </w:pPr>
      <w:r>
        <w:rPr>
          <w:rFonts w:ascii="Times New Roman" w:cs="Times New Roman" w:eastAsia="Times New Roman" w:hAnsi="Times New Roman"/>
          <w:b w:val="false"/>
          <w:bCs w:val="false"/>
          <w:i/>
          <w:iCs/>
          <w:color w:val="000000"/>
          <w:sz w:val="24"/>
          <w:szCs w:val="24"/>
        </w:rPr>
        <w:t xml:space="preserve">Owns or manages a mud crab operation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A9</w:t>
      </w:r>
    </w:p>
    <w:p>
      <w:pPr>
        <w:spacing w:after="120" w:before="0" w:line="240"/>
      </w:pPr>
      <w:r>
        <w:rPr>
          <w:rFonts w:ascii="Times New Roman" w:cs="Times New Roman" w:eastAsia="Times New Roman" w:hAnsi="Times New Roman"/>
          <w:b w:val="false"/>
          <w:bCs w:val="false"/>
          <w:i/>
          <w:iCs/>
          <w:color w:val="000000"/>
          <w:sz w:val="24"/>
          <w:szCs w:val="24"/>
        </w:rPr>
        <w:t xml:space="preserve">Scale of operation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Small-scale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 (98.5%)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74 (77.1%)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A10</w:t>
      </w:r>
    </w:p>
    <w:p>
      <w:pPr>
        <w:spacing w:after="120" w:before="0" w:line="240"/>
      </w:pPr>
      <w:r>
        <w:rPr>
          <w:rFonts w:ascii="Times New Roman" w:cs="Times New Roman" w:eastAsia="Times New Roman" w:hAnsi="Times New Roman"/>
          <w:b w:val="false"/>
          <w:bCs w:val="false"/>
          <w:i/>
          <w:iCs/>
          <w:color w:val="000000"/>
          <w:sz w:val="24"/>
          <w:szCs w:val="24"/>
        </w:rPr>
        <w:t xml:space="preserve">Monthly mud crab income band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Below KSh 13,900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(54.7%)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KSh 13,900-69,500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(80.0%)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39 (41.1%)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KSh 69,501-139,000</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A11</w:t>
      </w:r>
    </w:p>
    <w:p>
      <w:pPr>
        <w:spacing w:after="120" w:before="0" w:line="240"/>
      </w:pPr>
      <w:r>
        <w:rPr>
          <w:rFonts w:ascii="Times New Roman" w:cs="Times New Roman" w:eastAsia="Times New Roman" w:hAnsi="Times New Roman"/>
          <w:b w:val="false"/>
          <w:bCs w:val="false"/>
          <w:i/>
          <w:iCs/>
          <w:color w:val="000000"/>
          <w:sz w:val="24"/>
          <w:szCs w:val="24"/>
        </w:rPr>
        <w:t xml:space="preserve">Engages in other income activities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(54.2%)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(45.8%)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A12</w:t>
      </w:r>
    </w:p>
    <w:p>
      <w:pPr>
        <w:spacing w:after="120" w:before="0" w:line="240"/>
      </w:pPr>
      <w:r>
        <w:rPr>
          <w:rFonts w:ascii="Times New Roman" w:cs="Times New Roman" w:eastAsia="Times New Roman" w:hAnsi="Times New Roman"/>
          <w:b w:val="false"/>
          <w:bCs w:val="false"/>
          <w:i/>
          <w:iCs/>
          <w:color w:val="000000"/>
          <w:sz w:val="24"/>
          <w:szCs w:val="24"/>
        </w:rPr>
        <w:t xml:space="preserve">Holds an operating licence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(87.5%)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72 (75.8%)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(24.2%)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A13</w:t>
      </w:r>
    </w:p>
    <w:p>
      <w:pPr>
        <w:spacing w:after="120" w:before="0" w:line="240"/>
      </w:pPr>
      <w:r>
        <w:rPr>
          <w:rFonts w:ascii="Times New Roman" w:cs="Times New Roman" w:eastAsia="Times New Roman" w:hAnsi="Times New Roman"/>
          <w:b w:val="false"/>
          <w:bCs w:val="false"/>
          <w:i/>
          <w:iCs/>
          <w:color w:val="000000"/>
          <w:sz w:val="24"/>
          <w:szCs w:val="24"/>
        </w:rPr>
        <w:t xml:space="preserve">Uses loans to facilitate business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 (81.2%)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(50.0%)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A14</w:t>
      </w:r>
    </w:p>
    <w:p>
      <w:pPr>
        <w:spacing w:after="120" w:before="0" w:line="240"/>
      </w:pPr>
      <w:r>
        <w:rPr>
          <w:rFonts w:ascii="Times New Roman" w:cs="Times New Roman" w:eastAsia="Times New Roman" w:hAnsi="Times New Roman"/>
          <w:b w:val="false"/>
          <w:bCs w:val="false"/>
          <w:i/>
          <w:iCs/>
          <w:color w:val="000000"/>
          <w:sz w:val="24"/>
          <w:szCs w:val="24"/>
        </w:rPr>
        <w:t xml:space="preserve">Main source of business credit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(54.5%)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(13.2%)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Formal institutions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(93.8%)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71 (78.0%)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Middlemen and relatives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A15</w:t>
      </w:r>
    </w:p>
    <w:p>
      <w:pPr>
        <w:spacing w:after="120" w:before="0" w:line="240"/>
      </w:pPr>
      <w:r>
        <w:rPr>
          <w:rFonts w:ascii="Times New Roman" w:cs="Times New Roman" w:eastAsia="Times New Roman" w:hAnsi="Times New Roman"/>
          <w:b w:val="false"/>
          <w:bCs w:val="false"/>
          <w:i/>
          <w:iCs/>
          <w:color w:val="000000"/>
          <w:sz w:val="24"/>
          <w:szCs w:val="24"/>
        </w:rPr>
        <w:t xml:space="preserve">How mud crab knowledge and skills were acquired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Family tradition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(64.1%)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(64.1%)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Other source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(35.9%)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23 (35.9%)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64 (100.0%)</w:t>
            </w:r>
          </w:p>
        </w:tc>
      </w:tr>
    </w:tbl>
    <w:p>
      <w:pPr>
        <w:spacing w:after="0" w:before="240" w:line="240"/>
      </w:pPr>
      <w:r>
        <w:rPr>
          <w:rFonts w:ascii="Times New Roman" w:cs="Times New Roman" w:eastAsia="Times New Roman" w:hAnsi="Times New Roman"/>
          <w:b/>
          <w:bCs/>
          <w:color w:val="000000"/>
          <w:sz w:val="24"/>
          <w:szCs w:val="24"/>
        </w:rPr>
        <w:t xml:space="preserve">Table A16</w:t>
      </w:r>
    </w:p>
    <w:p>
      <w:pPr>
        <w:spacing w:after="120" w:before="0" w:line="240"/>
      </w:pPr>
      <w:r>
        <w:rPr>
          <w:rFonts w:ascii="Times New Roman" w:cs="Times New Roman" w:eastAsia="Times New Roman" w:hAnsi="Times New Roman"/>
          <w:b w:val="false"/>
          <w:bCs w:val="false"/>
          <w:i/>
          <w:iCs/>
          <w:color w:val="000000"/>
          <w:sz w:val="24"/>
          <w:szCs w:val="24"/>
        </w:rPr>
        <w:t xml:space="preserve">Received formal mud crab training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(92.3%)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60 (92.3%)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A17</w:t>
      </w:r>
    </w:p>
    <w:p>
      <w:pPr>
        <w:spacing w:after="120" w:before="0" w:line="240"/>
      </w:pPr>
      <w:r>
        <w:rPr>
          <w:rFonts w:ascii="Times New Roman" w:cs="Times New Roman" w:eastAsia="Times New Roman" w:hAnsi="Times New Roman"/>
          <w:b w:val="false"/>
          <w:bCs w:val="false"/>
          <w:i/>
          <w:iCs/>
          <w:color w:val="000000"/>
          <w:sz w:val="24"/>
          <w:szCs w:val="24"/>
        </w:rPr>
        <w:t xml:space="preserve">Member of a cooperative or association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A18</w:t>
      </w:r>
    </w:p>
    <w:p>
      <w:pPr>
        <w:spacing w:after="120" w:before="0" w:line="240"/>
      </w:pPr>
      <w:r>
        <w:rPr>
          <w:rFonts w:ascii="Times New Roman" w:cs="Times New Roman" w:eastAsia="Times New Roman" w:hAnsi="Times New Roman"/>
          <w:b w:val="false"/>
          <w:bCs w:val="false"/>
          <w:i/>
          <w:iCs/>
          <w:color w:val="000000"/>
          <w:sz w:val="24"/>
          <w:szCs w:val="24"/>
        </w:rPr>
        <w:t xml:space="preserve">Participates in a self-help group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A19</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supplied * actor Crosstabulation  [Objective One]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Local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A20</w:t>
      </w:r>
    </w:p>
    <w:p>
      <w:pPr>
        <w:spacing w:after="120" w:before="0" w:line="240"/>
      </w:pPr>
      <w:r>
        <w:rPr>
          <w:rFonts w:ascii="Times New Roman" w:cs="Times New Roman" w:eastAsia="Times New Roman" w:hAnsi="Times New Roman"/>
          <w:b w:val="false"/>
          <w:bCs w:val="false"/>
          <w:i/>
          <w:iCs/>
          <w:color w:val="000000"/>
          <w:sz w:val="24"/>
          <w:szCs w:val="24"/>
        </w:rPr>
        <w:t xml:space="preserve">How mud crabs are acquired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Catching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31 (32.3%)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A21</w:t>
      </w:r>
    </w:p>
    <w:p>
      <w:pPr>
        <w:spacing w:after="120" w:before="0" w:line="240"/>
      </w:pPr>
      <w:r>
        <w:rPr>
          <w:rFonts w:ascii="Times New Roman" w:cs="Times New Roman" w:eastAsia="Times New Roman" w:hAnsi="Times New Roman"/>
          <w:b w:val="false"/>
          <w:bCs w:val="false"/>
          <w:i/>
          <w:iCs/>
          <w:color w:val="000000"/>
          <w:sz w:val="24"/>
          <w:szCs w:val="24"/>
        </w:rPr>
        <w:t xml:space="preserve">Source of crabs for sale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Catching personally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 from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Purchasing from middlemen/agents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A22</w:t>
      </w:r>
    </w:p>
    <w:p>
      <w:pPr>
        <w:spacing w:after="120" w:before="0" w:line="240"/>
      </w:pPr>
      <w:r>
        <w:rPr>
          <w:rFonts w:ascii="Times New Roman" w:cs="Times New Roman" w:eastAsia="Times New Roman" w:hAnsi="Times New Roman"/>
          <w:b w:val="false"/>
          <w:bCs w:val="false"/>
          <w:i/>
          <w:iCs/>
          <w:color w:val="000000"/>
          <w:sz w:val="24"/>
          <w:szCs w:val="24"/>
        </w:rPr>
        <w:t xml:space="preserve">Fishing or collection gear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Hand collection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47 (72.3%)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(72.7%)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Hooked stick</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Scoop net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Sweep nets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66 (100.0%)</w:t>
            </w:r>
          </w:p>
        </w:tc>
      </w:tr>
    </w:tbl>
    <w:p>
      <w:pPr>
        <w:spacing w:after="0" w:before="240" w:line="240"/>
      </w:pPr>
      <w:r>
        <w:rPr>
          <w:rFonts w:ascii="Times New Roman" w:cs="Times New Roman" w:eastAsia="Times New Roman" w:hAnsi="Times New Roman"/>
          <w:b/>
          <w:bCs/>
          <w:color w:val="000000"/>
          <w:sz w:val="24"/>
          <w:szCs w:val="24"/>
        </w:rPr>
        <w:t xml:space="preserve">Table A23</w:t>
      </w:r>
    </w:p>
    <w:p>
      <w:pPr>
        <w:spacing w:after="120" w:before="0" w:line="240"/>
      </w:pPr>
      <w:r>
        <w:rPr>
          <w:rFonts w:ascii="Times New Roman" w:cs="Times New Roman" w:eastAsia="Times New Roman" w:hAnsi="Times New Roman"/>
          <w:b w:val="false"/>
          <w:bCs w:val="false"/>
          <w:i/>
          <w:iCs/>
          <w:color w:val="000000"/>
          <w:sz w:val="24"/>
          <w:szCs w:val="24"/>
        </w:rPr>
        <w:t xml:space="preserve">Daily mud crab catch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2-3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4-5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A24</w:t>
      </w:r>
    </w:p>
    <w:p>
      <w:pPr>
        <w:spacing w:after="120" w:before="0" w:line="240"/>
      </w:pPr>
      <w:r>
        <w:rPr>
          <w:rFonts w:ascii="Times New Roman" w:cs="Times New Roman" w:eastAsia="Times New Roman" w:hAnsi="Times New Roman"/>
          <w:b w:val="false"/>
          <w:bCs w:val="false"/>
          <w:i/>
          <w:iCs/>
          <w:color w:val="000000"/>
          <w:sz w:val="24"/>
          <w:szCs w:val="24"/>
        </w:rPr>
        <w:t xml:space="preserve">Proportion of catch sold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Three-quarters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(20.0%)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Whole catch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A25</w:t>
      </w:r>
    </w:p>
    <w:p>
      <w:pPr>
        <w:spacing w:after="120" w:before="0" w:line="240"/>
      </w:pPr>
      <w:r>
        <w:rPr>
          <w:rFonts w:ascii="Times New Roman" w:cs="Times New Roman" w:eastAsia="Times New Roman" w:hAnsi="Times New Roman"/>
          <w:b w:val="false"/>
          <w:bCs w:val="false"/>
          <w:i/>
          <w:iCs/>
          <w:color w:val="000000"/>
          <w:sz w:val="24"/>
          <w:szCs w:val="24"/>
        </w:rPr>
        <w:t xml:space="preserve">Travel time from fishing grounds to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 hour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(33.8%)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6 hours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 (66.2%)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43 (66.2%)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A26</w:t>
      </w:r>
    </w:p>
    <w:p>
      <w:pPr>
        <w:spacing w:after="120" w:before="0" w:line="240"/>
      </w:pPr>
      <w:r>
        <w:rPr>
          <w:rFonts w:ascii="Times New Roman" w:cs="Times New Roman" w:eastAsia="Times New Roman" w:hAnsi="Times New Roman"/>
          <w:b w:val="false"/>
          <w:bCs w:val="false"/>
          <w:i/>
          <w:iCs/>
          <w:color w:val="000000"/>
          <w:sz w:val="24"/>
          <w:szCs w:val="24"/>
        </w:rPr>
        <w:t xml:space="preserve">Main buyer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Company agents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Consumers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(22.7%)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First-level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Importers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Second-level middlemen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A27</w:t>
      </w:r>
    </w:p>
    <w:p>
      <w:pPr>
        <w:spacing w:after="120" w:before="0" w:line="240"/>
      </w:pPr>
      <w:r>
        <w:rPr>
          <w:rFonts w:ascii="Times New Roman" w:cs="Times New Roman" w:eastAsia="Times New Roman" w:hAnsi="Times New Roman"/>
          <w:b w:val="false"/>
          <w:bCs w:val="false"/>
          <w:i/>
          <w:iCs/>
          <w:color w:val="000000"/>
          <w:sz w:val="24"/>
          <w:szCs w:val="24"/>
        </w:rPr>
        <w:t xml:space="preserve">Primary market channel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Export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Local markets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Restaurants and hotels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A28</w:t>
      </w:r>
    </w:p>
    <w:p>
      <w:pPr>
        <w:spacing w:after="120" w:before="0" w:line="240"/>
      </w:pPr>
      <w:r>
        <w:rPr>
          <w:rFonts w:ascii="Times New Roman" w:cs="Times New Roman" w:eastAsia="Times New Roman" w:hAnsi="Times New Roman"/>
          <w:b w:val="false"/>
          <w:bCs w:val="false"/>
          <w:i/>
          <w:iCs/>
          <w:color w:val="000000"/>
          <w:sz w:val="24"/>
          <w:szCs w:val="24"/>
        </w:rPr>
        <w:t xml:space="preserve">Contact with final consumers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Direct contact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Through intermediaries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A29</w:t>
      </w:r>
    </w:p>
    <w:p>
      <w:pPr>
        <w:spacing w:after="120" w:before="0" w:line="240"/>
      </w:pPr>
      <w:r>
        <w:rPr>
          <w:rFonts w:ascii="Times New Roman" w:cs="Times New Roman" w:eastAsia="Times New Roman" w:hAnsi="Times New Roman"/>
          <w:b w:val="false"/>
          <w:bCs w:val="false"/>
          <w:i/>
          <w:iCs/>
          <w:color w:val="000000"/>
          <w:sz w:val="24"/>
          <w:szCs w:val="24"/>
        </w:rPr>
        <w:t xml:space="preserve">Number of buyers reported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One buyer</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Two buyers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A30</w:t>
      </w:r>
    </w:p>
    <w:p>
      <w:pPr>
        <w:spacing w:after="120" w:before="0" w:line="240"/>
      </w:pPr>
      <w:r>
        <w:rPr>
          <w:rFonts w:ascii="Times New Roman" w:cs="Times New Roman" w:eastAsia="Times New Roman" w:hAnsi="Times New Roman"/>
          <w:b w:val="false"/>
          <w:bCs w:val="false"/>
          <w:i/>
          <w:iCs/>
          <w:color w:val="000000"/>
          <w:sz w:val="24"/>
          <w:szCs w:val="24"/>
        </w:rPr>
        <w:t xml:space="preserve">State of mud crabs sold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A31</w:t>
      </w:r>
    </w:p>
    <w:p>
      <w:pPr>
        <w:spacing w:after="120" w:before="0" w:line="240"/>
      </w:pPr>
      <w:r>
        <w:rPr>
          <w:rFonts w:ascii="Times New Roman" w:cs="Times New Roman" w:eastAsia="Times New Roman" w:hAnsi="Times New Roman"/>
          <w:b w:val="false"/>
          <w:bCs w:val="false"/>
          <w:i/>
          <w:iCs/>
          <w:color w:val="000000"/>
          <w:sz w:val="24"/>
          <w:szCs w:val="24"/>
        </w:rPr>
        <w:t xml:space="preserve">Main buyer is regular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A32</w:t>
      </w:r>
    </w:p>
    <w:p>
      <w:pPr>
        <w:spacing w:after="120" w:before="0" w:line="240"/>
      </w:pPr>
      <w:r>
        <w:rPr>
          <w:rFonts w:ascii="Times New Roman" w:cs="Times New Roman" w:eastAsia="Times New Roman" w:hAnsi="Times New Roman"/>
          <w:b w:val="false"/>
          <w:bCs w:val="false"/>
          <w:i/>
          <w:iCs/>
          <w:color w:val="000000"/>
          <w:sz w:val="24"/>
          <w:szCs w:val="24"/>
        </w:rPr>
        <w:t xml:space="preserve">Location of sale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Landing beach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(10.4%)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Town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A33</w:t>
      </w:r>
    </w:p>
    <w:p>
      <w:pPr>
        <w:spacing w:after="120" w:before="0" w:line="240"/>
      </w:pPr>
      <w:r>
        <w:rPr>
          <w:rFonts w:ascii="Times New Roman" w:cs="Times New Roman" w:eastAsia="Times New Roman" w:hAnsi="Times New Roman"/>
          <w:b w:val="false"/>
          <w:bCs w:val="false"/>
          <w:i/>
          <w:iCs/>
          <w:color w:val="000000"/>
          <w:sz w:val="24"/>
          <w:szCs w:val="24"/>
        </w:rPr>
        <w:t xml:space="preserve">Knows whom the next trader sells to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A34</w:t>
      </w:r>
    </w:p>
    <w:p>
      <w:pPr>
        <w:spacing w:after="120" w:before="0" w:line="240"/>
      </w:pPr>
      <w:r>
        <w:rPr>
          <w:rFonts w:ascii="Times New Roman" w:cs="Times New Roman" w:eastAsia="Times New Roman" w:hAnsi="Times New Roman"/>
          <w:b w:val="false"/>
          <w:bCs w:val="false"/>
          <w:i/>
          <w:iCs/>
          <w:color w:val="000000"/>
          <w:sz w:val="24"/>
          <w:szCs w:val="24"/>
        </w:rPr>
        <w:t xml:space="preserve">First buyer location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Bodo Pwani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Gasi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Kiwegu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(25.4%)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(25.4%)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(30.2%)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(30.2%)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Mkuyuni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(27.0%)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(27.0%)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Mwambao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Shimoni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(7.9%)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Vanga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63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63 (100.0%)</w:t>
            </w:r>
          </w:p>
        </w:tc>
      </w:tr>
    </w:tbl>
    <w:p>
      <w:pPr>
        <w:spacing w:after="0" w:before="240" w:line="240"/>
      </w:pPr>
      <w:r>
        <w:rPr>
          <w:rFonts w:ascii="Times New Roman" w:cs="Times New Roman" w:eastAsia="Times New Roman" w:hAnsi="Times New Roman"/>
          <w:b/>
          <w:bCs/>
          <w:color w:val="000000"/>
          <w:sz w:val="24"/>
          <w:szCs w:val="24"/>
        </w:rPr>
        <w:t xml:space="preserve">Table A35</w:t>
      </w:r>
    </w:p>
    <w:p>
      <w:pPr>
        <w:spacing w:after="120" w:before="0" w:line="240"/>
      </w:pPr>
      <w:r>
        <w:rPr>
          <w:rFonts w:ascii="Times New Roman" w:cs="Times New Roman" w:eastAsia="Times New Roman" w:hAnsi="Times New Roman"/>
          <w:b w:val="false"/>
          <w:bCs w:val="false"/>
          <w:i/>
          <w:iCs/>
          <w:color w:val="000000"/>
          <w:sz w:val="24"/>
          <w:szCs w:val="24"/>
        </w:rPr>
        <w:t xml:space="preserve">Second buyer location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Kiwegu</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(20.0%)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(20.0%)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Majoreni / Aleni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(26.7%)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(26.7%)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Mkuyuni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(53.3%)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(53.3%)</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15 (100.0%)</w:t>
            </w:r>
          </w:p>
        </w:tc>
      </w:tr>
    </w:tbl>
    <w:p>
      <w:pPr>
        <w:spacing w:after="0" w:before="240" w:line="240"/>
      </w:pPr>
      <w:r>
        <w:rPr>
          <w:rFonts w:ascii="Times New Roman" w:cs="Times New Roman" w:eastAsia="Times New Roman" w:hAnsi="Times New Roman"/>
          <w:b/>
          <w:bCs/>
          <w:color w:val="000000"/>
          <w:sz w:val="24"/>
          <w:szCs w:val="24"/>
        </w:rPr>
        <w:t xml:space="preserve">Table A36</w:t>
      </w:r>
    </w:p>
    <w:p>
      <w:pPr>
        <w:spacing w:after="120" w:before="0" w:line="240"/>
      </w:pPr>
      <w:r>
        <w:rPr>
          <w:rFonts w:ascii="Times New Roman" w:cs="Times New Roman" w:eastAsia="Times New Roman" w:hAnsi="Times New Roman"/>
          <w:b w:val="false"/>
          <w:bCs w:val="false"/>
          <w:i/>
          <w:iCs/>
          <w:color w:val="000000"/>
          <w:sz w:val="24"/>
          <w:szCs w:val="24"/>
        </w:rPr>
        <w:t xml:space="preserve">Preparation of mud crabs for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Cleaning, sorting and grading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25 (26.0%)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Processing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Tying claws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A37</w:t>
      </w:r>
    </w:p>
    <w:p>
      <w:pPr>
        <w:spacing w:after="120" w:before="0" w:line="240"/>
      </w:pPr>
      <w:r>
        <w:rPr>
          <w:rFonts w:ascii="Times New Roman" w:cs="Times New Roman" w:eastAsia="Times New Roman" w:hAnsi="Times New Roman"/>
          <w:b w:val="false"/>
          <w:bCs w:val="false"/>
          <w:i/>
          <w:iCs/>
          <w:color w:val="000000"/>
          <w:sz w:val="24"/>
          <w:szCs w:val="24"/>
        </w:rPr>
        <w:t xml:space="preserve">Preserves or processes mud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91 (94.8%)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 / frozen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A38</w:t>
      </w:r>
    </w:p>
    <w:p>
      <w:pPr>
        <w:spacing w:after="120" w:before="0" w:line="240"/>
      </w:pPr>
      <w:r>
        <w:rPr>
          <w:rFonts w:ascii="Times New Roman" w:cs="Times New Roman" w:eastAsia="Times New Roman" w:hAnsi="Times New Roman"/>
          <w:b w:val="false"/>
          <w:bCs w:val="false"/>
          <w:i/>
          <w:iCs/>
          <w:color w:val="000000"/>
          <w:sz w:val="24"/>
          <w:szCs w:val="24"/>
        </w:rPr>
        <w:t xml:space="preserve">Packaging used for transportation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Baskets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(45.5%)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Crates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Plastic containers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(32.3%)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(23.1%)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Sacks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44 (67.7%)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 (49.5%)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Styrofoam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A39</w:t>
      </w:r>
    </w:p>
    <w:p>
      <w:pPr>
        <w:spacing w:after="120" w:before="0" w:line="240"/>
      </w:pPr>
      <w:r>
        <w:rPr>
          <w:rFonts w:ascii="Times New Roman" w:cs="Times New Roman" w:eastAsia="Times New Roman" w:hAnsi="Times New Roman"/>
          <w:b w:val="false"/>
          <w:bCs w:val="false"/>
          <w:i/>
          <w:iCs/>
          <w:color w:val="000000"/>
          <w:sz w:val="24"/>
          <w:szCs w:val="24"/>
        </w:rPr>
        <w:t xml:space="preserve">Mode of transporting mud crabs to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Airplane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Motorcycle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Motorised boat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(18.2%)</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On foot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 (87.7%)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(63.7%)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Vehicle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(77.3%)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(18.7%)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A40</w:t>
      </w:r>
    </w:p>
    <w:p>
      <w:pPr>
        <w:spacing w:after="120" w:before="0" w:line="240"/>
      </w:pPr>
      <w:r>
        <w:rPr>
          <w:rFonts w:ascii="Times New Roman" w:cs="Times New Roman" w:eastAsia="Times New Roman" w:hAnsi="Times New Roman"/>
          <w:b w:val="false"/>
          <w:bCs w:val="false"/>
          <w:i/>
          <w:iCs/>
          <w:color w:val="000000"/>
          <w:sz w:val="24"/>
          <w:szCs w:val="24"/>
        </w:rPr>
        <w:t xml:space="preserve">Engages in grading mud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A41</w:t>
      </w:r>
    </w:p>
    <w:p>
      <w:pPr>
        <w:spacing w:after="120" w:before="0" w:line="240"/>
      </w:pPr>
      <w:r>
        <w:rPr>
          <w:rFonts w:ascii="Times New Roman" w:cs="Times New Roman" w:eastAsia="Times New Roman" w:hAnsi="Times New Roman"/>
          <w:b w:val="false"/>
          <w:bCs w:val="false"/>
          <w:i/>
          <w:iCs/>
          <w:color w:val="000000"/>
          <w:sz w:val="24"/>
          <w:szCs w:val="24"/>
        </w:rPr>
        <w:t xml:space="preserve">Criteria used to determine grade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Size, weight, shell condition and claw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Weight only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A42</w:t>
      </w:r>
    </w:p>
    <w:p>
      <w:pPr>
        <w:spacing w:after="120" w:before="0" w:line="240"/>
      </w:pPr>
      <w:r>
        <w:rPr>
          <w:rFonts w:ascii="Times New Roman" w:cs="Times New Roman" w:eastAsia="Times New Roman" w:hAnsi="Times New Roman"/>
          <w:b w:val="false"/>
          <w:bCs w:val="false"/>
          <w:i/>
          <w:iCs/>
          <w:color w:val="000000"/>
          <w:sz w:val="24"/>
          <w:szCs w:val="24"/>
        </w:rPr>
        <w:t xml:space="preserve">Quality measure before the market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Inspections, certification and packaging standards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Packaging standards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Tying the claws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A43</w:t>
      </w:r>
    </w:p>
    <w:p>
      <w:pPr>
        <w:spacing w:after="120" w:before="0" w:line="240"/>
      </w:pPr>
      <w:r>
        <w:rPr>
          <w:rFonts w:ascii="Times New Roman" w:cs="Times New Roman" w:eastAsia="Times New Roman" w:hAnsi="Times New Roman"/>
          <w:b w:val="false"/>
          <w:bCs w:val="false"/>
          <w:i/>
          <w:iCs/>
          <w:color w:val="000000"/>
          <w:sz w:val="24"/>
          <w:szCs w:val="24"/>
        </w:rPr>
        <w:t xml:space="preserve">Uses formal quality-control measures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A44</w:t>
      </w:r>
    </w:p>
    <w:p>
      <w:pPr>
        <w:spacing w:after="120" w:before="0" w:line="240"/>
      </w:pPr>
      <w:r>
        <w:rPr>
          <w:rFonts w:ascii="Times New Roman" w:cs="Times New Roman" w:eastAsia="Times New Roman" w:hAnsi="Times New Roman"/>
          <w:b w:val="false"/>
          <w:bCs w:val="false"/>
          <w:i/>
          <w:iCs/>
          <w:color w:val="000000"/>
          <w:sz w:val="24"/>
          <w:szCs w:val="24"/>
        </w:rPr>
        <w:t xml:space="preserve">Reported large-crab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All sizes / mixed</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Large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(81.5%)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83 (87.4%)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95 (100.0%)</w:t>
            </w:r>
          </w:p>
        </w:tc>
      </w:tr>
    </w:tbl>
    <w:p>
      <w:pPr>
        <w:spacing w:after="0" w:before="240" w:line="240"/>
      </w:pPr>
      <w:r>
        <w:rPr>
          <w:rFonts w:ascii="Times New Roman" w:cs="Times New Roman" w:eastAsia="Times New Roman" w:hAnsi="Times New Roman"/>
          <w:b/>
          <w:bCs/>
          <w:color w:val="000000"/>
          <w:sz w:val="24"/>
          <w:szCs w:val="24"/>
        </w:rPr>
        <w:t xml:space="preserve">Table A45</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large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50 (76.9%)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81 (84.4%)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(23.1%)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A46</w:t>
      </w:r>
    </w:p>
    <w:p>
      <w:pPr>
        <w:spacing w:after="120" w:before="0" w:line="240"/>
      </w:pPr>
      <w:r>
        <w:rPr>
          <w:rFonts w:ascii="Times New Roman" w:cs="Times New Roman" w:eastAsia="Times New Roman" w:hAnsi="Times New Roman"/>
          <w:b w:val="false"/>
          <w:bCs w:val="false"/>
          <w:i/>
          <w:iCs/>
          <w:color w:val="000000"/>
          <w:sz w:val="24"/>
          <w:szCs w:val="24"/>
        </w:rPr>
        <w:t xml:space="preserve">Reported medium-crab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Medium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 (96.9%)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89 (97.8%)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A47</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medium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B</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51 (78.5%)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(84.6%)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(15.4%)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91 (100.0%)</w:t>
            </w:r>
          </w:p>
        </w:tc>
      </w:tr>
    </w:tbl>
    <w:p>
      <w:pPr>
        <w:spacing w:after="0" w:before="240" w:line="240"/>
      </w:pPr>
      <w:r>
        <w:rPr>
          <w:rFonts w:ascii="Times New Roman" w:cs="Times New Roman" w:eastAsia="Times New Roman" w:hAnsi="Times New Roman"/>
          <w:b/>
          <w:bCs/>
          <w:color w:val="000000"/>
          <w:sz w:val="24"/>
          <w:szCs w:val="24"/>
        </w:rPr>
        <w:t xml:space="preserve">Table A48</w:t>
      </w:r>
    </w:p>
    <w:p>
      <w:pPr>
        <w:spacing w:after="120" w:before="0" w:line="240"/>
      </w:pPr>
      <w:r>
        <w:rPr>
          <w:rFonts w:ascii="Times New Roman" w:cs="Times New Roman" w:eastAsia="Times New Roman" w:hAnsi="Times New Roman"/>
          <w:b w:val="false"/>
          <w:bCs w:val="false"/>
          <w:i/>
          <w:iCs/>
          <w:color w:val="000000"/>
          <w:sz w:val="24"/>
          <w:szCs w:val="24"/>
        </w:rPr>
        <w:t xml:space="preserve">Reported small-crab size category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size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Small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A49</w:t>
      </w:r>
    </w:p>
    <w:p>
      <w:pPr>
        <w:spacing w:after="120" w:before="0" w:line="240"/>
      </w:pPr>
      <w:r>
        <w:rPr>
          <w:rFonts w:ascii="Times New Roman" w:cs="Times New Roman" w:eastAsia="Times New Roman" w:hAnsi="Times New Roman"/>
          <w:b w:val="false"/>
          <w:bCs w:val="false"/>
          <w:i/>
          <w:iCs/>
          <w:color w:val="000000"/>
          <w:sz w:val="24"/>
          <w:szCs w:val="24"/>
        </w:rPr>
        <w:t xml:space="preserve">Grade assigned to small crabs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Grade C</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Mixed grade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r>
    </w:tbl>
    <w:p>
      <w:pPr>
        <w:spacing w:after="0" w:before="240" w:line="240"/>
      </w:pPr>
      <w:r>
        <w:rPr>
          <w:rFonts w:ascii="Times New Roman" w:cs="Times New Roman" w:eastAsia="Times New Roman" w:hAnsi="Times New Roman"/>
          <w:b/>
          <w:bCs/>
          <w:color w:val="000000"/>
          <w:sz w:val="24"/>
          <w:szCs w:val="24"/>
        </w:rPr>
        <w:t xml:space="preserve">Table A50</w:t>
      </w:r>
    </w:p>
    <w:p>
      <w:pPr>
        <w:spacing w:after="120" w:before="0" w:line="240"/>
      </w:pPr>
      <w:r>
        <w:rPr>
          <w:rFonts w:ascii="Times New Roman" w:cs="Times New Roman" w:eastAsia="Times New Roman" w:hAnsi="Times New Roman"/>
          <w:b w:val="false"/>
          <w:bCs w:val="false"/>
          <w:i/>
          <w:iCs/>
          <w:color w:val="000000"/>
          <w:sz w:val="24"/>
          <w:szCs w:val="24"/>
        </w:rPr>
        <w:t xml:space="preserve">Reported daily mortality quantity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0.5-1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4-5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Frozen / no 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A51</w:t>
      </w:r>
    </w:p>
    <w:p>
      <w:pPr>
        <w:spacing w:after="120" w:before="0" w:line="240"/>
      </w:pPr>
      <w:r>
        <w:rPr>
          <w:rFonts w:ascii="Times New Roman" w:cs="Times New Roman" w:eastAsia="Times New Roman" w:hAnsi="Times New Roman"/>
          <w:b w:val="false"/>
          <w:bCs w:val="false"/>
          <w:i/>
          <w:iCs/>
          <w:color w:val="000000"/>
          <w:sz w:val="24"/>
          <w:szCs w:val="24"/>
        </w:rPr>
        <w:t xml:space="preserve">Reported loss through spoilage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1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(16.1%)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3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(29.0%)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5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(59.1%)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(41.9%)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Above 10 kg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(12.9%)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31 (100.0%)</w:t>
            </w:r>
          </w:p>
        </w:tc>
      </w:tr>
    </w:tbl>
    <w:p>
      <w:pPr>
        <w:spacing w:after="0" w:before="240" w:line="240"/>
      </w:pPr>
      <w:r>
        <w:rPr>
          <w:rFonts w:ascii="Times New Roman" w:cs="Times New Roman" w:eastAsia="Times New Roman" w:hAnsi="Times New Roman"/>
          <w:b/>
          <w:bCs/>
          <w:color w:val="000000"/>
          <w:sz w:val="24"/>
          <w:szCs w:val="24"/>
        </w:rPr>
        <w:t xml:space="preserve">Table A52</w:t>
      </w:r>
    </w:p>
    <w:p>
      <w:pPr>
        <w:spacing w:after="120" w:before="0" w:line="240"/>
      </w:pPr>
      <w:r>
        <w:rPr>
          <w:rFonts w:ascii="Times New Roman" w:cs="Times New Roman" w:eastAsia="Times New Roman" w:hAnsi="Times New Roman"/>
          <w:b w:val="false"/>
          <w:bCs w:val="false"/>
          <w:i/>
          <w:iCs/>
          <w:color w:val="000000"/>
          <w:sz w:val="24"/>
          <w:szCs w:val="24"/>
        </w:rPr>
        <w:t xml:space="preserve">Mode of payment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Cash on delivery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(17.4%)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(40.9%)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27 (29.3%)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(46.2%)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 (40.2%)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 and cash</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M-Pesa and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(10.8%)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92 (100.0%)</w:t>
            </w:r>
          </w:p>
        </w:tc>
      </w:tr>
    </w:tbl>
    <w:p>
      <w:pPr>
        <w:spacing w:after="0" w:before="240" w:line="240"/>
      </w:pPr>
      <w:r>
        <w:rPr>
          <w:rFonts w:ascii="Times New Roman" w:cs="Times New Roman" w:eastAsia="Times New Roman" w:hAnsi="Times New Roman"/>
          <w:b/>
          <w:bCs/>
          <w:color w:val="000000"/>
          <w:sz w:val="24"/>
          <w:szCs w:val="24"/>
        </w:rPr>
        <w:t xml:space="preserve">Table A53</w:t>
      </w:r>
    </w:p>
    <w:p>
      <w:pPr>
        <w:spacing w:after="120" w:before="0" w:line="240"/>
      </w:pPr>
      <w:r>
        <w:rPr>
          <w:rFonts w:ascii="Times New Roman" w:cs="Times New Roman" w:eastAsia="Times New Roman" w:hAnsi="Times New Roman"/>
          <w:b w:val="false"/>
          <w:bCs w:val="false"/>
          <w:i/>
          <w:iCs/>
          <w:color w:val="000000"/>
          <w:sz w:val="24"/>
          <w:szCs w:val="24"/>
        </w:rPr>
        <w:t xml:space="preserve">Standard pricing mechanism is used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A54</w:t>
      </w:r>
    </w:p>
    <w:p>
      <w:pPr>
        <w:spacing w:after="120" w:before="0" w:line="240"/>
      </w:pPr>
      <w:r>
        <w:rPr>
          <w:rFonts w:ascii="Times New Roman" w:cs="Times New Roman" w:eastAsia="Times New Roman" w:hAnsi="Times New Roman"/>
          <w:b w:val="false"/>
          <w:bCs w:val="false"/>
          <w:i/>
          <w:iCs/>
          <w:color w:val="000000"/>
          <w:sz w:val="24"/>
          <w:szCs w:val="24"/>
        </w:rPr>
        <w:t xml:space="preserve">How mud crab prices are set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Competitive pricing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Fixed pricing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78 (81.2%)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A55</w:t>
      </w:r>
    </w:p>
    <w:p>
      <w:pPr>
        <w:spacing w:after="120" w:before="0" w:line="240"/>
      </w:pPr>
      <w:r>
        <w:rPr>
          <w:rFonts w:ascii="Times New Roman" w:cs="Times New Roman" w:eastAsia="Times New Roman" w:hAnsi="Times New Roman"/>
          <w:b w:val="false"/>
          <w:bCs w:val="false"/>
          <w:i/>
          <w:iCs/>
          <w:color w:val="000000"/>
          <w:sz w:val="24"/>
          <w:szCs w:val="24"/>
        </w:rPr>
        <w:t xml:space="preserve">Factors influencing price fluctuations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and economic factors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(14.6%)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factors only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Seasonal, weather and regulatory factors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A56</w:t>
      </w:r>
    </w:p>
    <w:p>
      <w:pPr>
        <w:spacing w:after="120" w:before="0" w:line="240"/>
      </w:pPr>
      <w:r>
        <w:rPr>
          <w:rFonts w:ascii="Times New Roman" w:cs="Times New Roman" w:eastAsia="Times New Roman" w:hAnsi="Times New Roman"/>
          <w:b w:val="false"/>
          <w:bCs w:val="false"/>
          <w:i/>
          <w:iCs/>
          <w:color w:val="000000"/>
          <w:sz w:val="24"/>
          <w:szCs w:val="24"/>
        </w:rPr>
        <w:t xml:space="preserve">Has depot owners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(47.5%)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(52.5%)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40 (100.0%)</w:t>
            </w:r>
          </w:p>
        </w:tc>
      </w:tr>
    </w:tbl>
    <w:p>
      <w:pPr>
        <w:spacing w:after="0" w:before="240" w:line="240"/>
      </w:pPr>
      <w:r>
        <w:rPr>
          <w:rFonts w:ascii="Times New Roman" w:cs="Times New Roman" w:eastAsia="Times New Roman" w:hAnsi="Times New Roman"/>
          <w:b/>
          <w:bCs/>
          <w:color w:val="000000"/>
          <w:sz w:val="24"/>
          <w:szCs w:val="24"/>
        </w:rPr>
        <w:t xml:space="preserve">Table A57</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fishers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26 (100.0%)</w:t>
            </w:r>
          </w:p>
        </w:tc>
      </w:tr>
    </w:tbl>
    <w:p>
      <w:pPr>
        <w:spacing w:after="0" w:before="240" w:line="240"/>
      </w:pPr>
      <w:r>
        <w:rPr>
          <w:rFonts w:ascii="Times New Roman" w:cs="Times New Roman" w:eastAsia="Times New Roman" w:hAnsi="Times New Roman"/>
          <w:b/>
          <w:bCs/>
          <w:color w:val="000000"/>
          <w:sz w:val="24"/>
          <w:szCs w:val="24"/>
        </w:rPr>
        <w:t xml:space="preserve">Table A58</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traders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38 (58.5%)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57 (67.1%)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Fixed price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(11.8%)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(27.7%)</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(21.2%)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85 (100.0%)</w:t>
            </w:r>
          </w:p>
        </w:tc>
      </w:tr>
    </w:tbl>
    <w:p>
      <w:pPr>
        <w:spacing w:after="0" w:before="240" w:line="240"/>
      </w:pPr>
      <w:r>
        <w:rPr>
          <w:rFonts w:ascii="Times New Roman" w:cs="Times New Roman" w:eastAsia="Times New Roman" w:hAnsi="Times New Roman"/>
          <w:b/>
          <w:bCs/>
          <w:color w:val="000000"/>
          <w:sz w:val="24"/>
          <w:szCs w:val="24"/>
        </w:rPr>
        <w:t xml:space="preserve">Table A59</w:t>
      </w:r>
    </w:p>
    <w:p>
      <w:pPr>
        <w:spacing w:after="120" w:before="0" w:line="240"/>
      </w:pPr>
      <w:r>
        <w:rPr>
          <w:rFonts w:ascii="Times New Roman" w:cs="Times New Roman" w:eastAsia="Times New Roman" w:hAnsi="Times New Roman"/>
          <w:b w:val="false"/>
          <w:bCs w:val="false"/>
          <w:i/>
          <w:iCs/>
          <w:color w:val="000000"/>
          <w:sz w:val="24"/>
          <w:szCs w:val="24"/>
        </w:rPr>
        <w:t xml:space="preserve">Arrangement with tied depot owners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(71.4%)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(19.5%)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(19.0%)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Frequency supply and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Supply quantity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(72.7%)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56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21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77 (100.0%)</w:t>
            </w:r>
          </w:p>
        </w:tc>
      </w:tr>
    </w:tbl>
    <w:p>
      <w:pPr>
        <w:spacing w:after="0" w:before="240" w:line="240"/>
      </w:pPr>
      <w:r>
        <w:rPr>
          <w:rFonts w:ascii="Times New Roman" w:cs="Times New Roman" w:eastAsia="Times New Roman" w:hAnsi="Times New Roman"/>
          <w:b/>
          <w:bCs/>
          <w:color w:val="000000"/>
          <w:sz w:val="24"/>
          <w:szCs w:val="24"/>
        </w:rPr>
        <w:t xml:space="preserve">Table A60</w:t>
      </w:r>
    </w:p>
    <w:p>
      <w:pPr>
        <w:spacing w:after="120" w:before="0" w:line="240"/>
      </w:pPr>
      <w:r>
        <w:rPr>
          <w:rFonts w:ascii="Times New Roman" w:cs="Times New Roman" w:eastAsia="Times New Roman" w:hAnsi="Times New Roman"/>
          <w:b w:val="false"/>
          <w:bCs w:val="false"/>
          <w:i/>
          <w:iCs/>
          <w:color w:val="000000"/>
          <w:sz w:val="24"/>
          <w:szCs w:val="24"/>
        </w:rPr>
        <w:t xml:space="preserve">Has fishers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 (72.9%)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A61</w:t>
      </w:r>
    </w:p>
    <w:p>
      <w:pPr>
        <w:spacing w:after="120" w:before="0" w:line="240"/>
      </w:pPr>
      <w:r>
        <w:rPr>
          <w:rFonts w:ascii="Times New Roman" w:cs="Times New Roman" w:eastAsia="Times New Roman" w:hAnsi="Times New Roman"/>
          <w:b w:val="false"/>
          <w:bCs w:val="false"/>
          <w:i/>
          <w:iCs/>
          <w:color w:val="000000"/>
          <w:sz w:val="24"/>
          <w:szCs w:val="24"/>
        </w:rPr>
        <w:t xml:space="preserve">Has traders tied to the business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85 (88.5%)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A62</w:t>
      </w:r>
    </w:p>
    <w:p>
      <w:pPr>
        <w:spacing w:after="120" w:before="0" w:line="240"/>
      </w:pPr>
      <w:r>
        <w:rPr>
          <w:rFonts w:ascii="Times New Roman" w:cs="Times New Roman" w:eastAsia="Times New Roman" w:hAnsi="Times New Roman"/>
          <w:b w:val="false"/>
          <w:bCs w:val="false"/>
          <w:i/>
          <w:iCs/>
          <w:color w:val="000000"/>
          <w:sz w:val="24"/>
          <w:szCs w:val="24"/>
        </w:rPr>
        <w:t xml:space="preserve">Has a formal or informal trading agreement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(24.4%)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31 (75.6%)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10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41 (100.0%)</w:t>
            </w:r>
          </w:p>
        </w:tc>
      </w:tr>
    </w:tbl>
    <w:p>
      <w:pPr>
        <w:spacing w:after="0" w:before="240" w:line="240"/>
      </w:pPr>
      <w:r>
        <w:rPr>
          <w:rFonts w:ascii="Times New Roman" w:cs="Times New Roman" w:eastAsia="Times New Roman" w:hAnsi="Times New Roman"/>
          <w:b/>
          <w:bCs/>
          <w:color w:val="000000"/>
          <w:sz w:val="24"/>
          <w:szCs w:val="24"/>
        </w:rPr>
        <w:t xml:space="preserve">Table A63</w:t>
      </w:r>
    </w:p>
    <w:p>
      <w:pPr>
        <w:spacing w:after="120" w:before="0" w:line="240"/>
      </w:pPr>
      <w:r>
        <w:rPr>
          <w:rFonts w:ascii="Times New Roman" w:cs="Times New Roman" w:eastAsia="Times New Roman" w:hAnsi="Times New Roman"/>
          <w:b w:val="false"/>
          <w:bCs w:val="false"/>
          <w:i/>
          <w:iCs/>
          <w:color w:val="000000"/>
          <w:sz w:val="24"/>
          <w:szCs w:val="24"/>
        </w:rPr>
        <w:t xml:space="preserve">Role of intermediaries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24 (36.9%)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Negotiation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41 (63.1%)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(50.0%)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Negotiation and marketing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A64</w:t>
      </w:r>
    </w:p>
    <w:p>
      <w:pPr>
        <w:spacing w:after="120" w:before="0" w:line="240"/>
      </w:pPr>
      <w:r>
        <w:rPr>
          <w:rFonts w:ascii="Times New Roman" w:cs="Times New Roman" w:eastAsia="Times New Roman" w:hAnsi="Times New Roman"/>
          <w:b w:val="false"/>
          <w:bCs w:val="false"/>
          <w:i/>
          <w:iCs/>
          <w:color w:val="000000"/>
          <w:sz w:val="24"/>
          <w:szCs w:val="24"/>
        </w:rPr>
        <w:t xml:space="preserve">Terms used with intermediaries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Flexible terms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Flexible terms and competitive bidding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A65</w:t>
      </w:r>
    </w:p>
    <w:p>
      <w:pPr>
        <w:spacing w:after="120" w:before="0" w:line="240"/>
      </w:pPr>
      <w:r>
        <w:rPr>
          <w:rFonts w:ascii="Times New Roman" w:cs="Times New Roman" w:eastAsia="Times New Roman" w:hAnsi="Times New Roman"/>
          <w:b w:val="false"/>
          <w:bCs w:val="false"/>
          <w:i/>
          <w:iCs/>
          <w:color w:val="000000"/>
          <w:sz w:val="24"/>
          <w:szCs w:val="24"/>
        </w:rPr>
        <w:t xml:space="preserve">Adopted technology or modern equipment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A66</w:t>
      </w:r>
    </w:p>
    <w:p>
      <w:pPr>
        <w:spacing w:after="120" w:before="0" w:line="240"/>
      </w:pPr>
      <w:r>
        <w:rPr>
          <w:rFonts w:ascii="Times New Roman" w:cs="Times New Roman" w:eastAsia="Times New Roman" w:hAnsi="Times New Roman"/>
          <w:b w:val="false"/>
          <w:bCs w:val="false"/>
          <w:i/>
          <w:iCs/>
          <w:color w:val="000000"/>
          <w:sz w:val="24"/>
          <w:szCs w:val="24"/>
        </w:rPr>
        <w:t xml:space="preserve">Conducts market research * actor Crosstabulation  [Objective Two]</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A67</w:t>
      </w:r>
    </w:p>
    <w:p>
      <w:pPr>
        <w:spacing w:after="120" w:before="0" w:line="240"/>
      </w:pPr>
      <w:r>
        <w:rPr>
          <w:rFonts w:ascii="Times New Roman" w:cs="Times New Roman" w:eastAsia="Times New Roman" w:hAnsi="Times New Roman"/>
          <w:b w:val="false"/>
          <w:bCs w:val="false"/>
          <w:i/>
          <w:iCs/>
          <w:color w:val="000000"/>
          <w:sz w:val="24"/>
          <w:szCs w:val="24"/>
        </w:rPr>
        <w:t xml:space="preserve">Main operational or marketing constraint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High freight, flight delays and supply risk</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seasonality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17 (17.7%)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fluctuations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59 (90.8%)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(50.0%)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70 (72.9%)</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A68</w:t>
      </w:r>
    </w:p>
    <w:p>
      <w:pPr>
        <w:spacing w:after="120" w:before="0" w:line="240"/>
      </w:pPr>
      <w:r>
        <w:rPr>
          <w:rFonts w:ascii="Times New Roman" w:cs="Times New Roman" w:eastAsia="Times New Roman" w:hAnsi="Times New Roman"/>
          <w:b w:val="false"/>
          <w:bCs w:val="false"/>
          <w:i/>
          <w:iCs/>
          <w:color w:val="000000"/>
          <w:sz w:val="24"/>
          <w:szCs w:val="24"/>
        </w:rPr>
        <w:t xml:space="preserve">Main infrastructure or logistics constraint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High freight, flight delays and mortality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Lack of aggregation facilities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(90.9%)</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(21.9%)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Limited transport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seasonality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(5.2%)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Poor road infrastructure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64 (98.5%)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(67.7%)</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A69</w:t>
      </w:r>
    </w:p>
    <w:p>
      <w:pPr>
        <w:spacing w:after="120" w:before="0" w:line="240"/>
      </w:pPr>
      <w:r>
        <w:rPr>
          <w:rFonts w:ascii="Times New Roman" w:cs="Times New Roman" w:eastAsia="Times New Roman" w:hAnsi="Times New Roman"/>
          <w:b w:val="false"/>
          <w:bCs w:val="false"/>
          <w:i/>
          <w:iCs/>
          <w:color w:val="000000"/>
          <w:sz w:val="24"/>
          <w:szCs w:val="24"/>
        </w:rPr>
        <w:t xml:space="preserve">Infrastructure improvements are needed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A70</w:t>
      </w:r>
    </w:p>
    <w:p>
      <w:pPr>
        <w:spacing w:after="120" w:before="0" w:line="240"/>
      </w:pPr>
      <w:r>
        <w:rPr>
          <w:rFonts w:ascii="Times New Roman" w:cs="Times New Roman" w:eastAsia="Times New Roman" w:hAnsi="Times New Roman"/>
          <w:b w:val="false"/>
          <w:bCs w:val="false"/>
          <w:i/>
          <w:iCs/>
          <w:color w:val="000000"/>
          <w:sz w:val="24"/>
          <w:szCs w:val="24"/>
        </w:rPr>
        <w:t xml:space="preserve">Experienced barriers to market access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(93.8%)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A71</w:t>
      </w:r>
    </w:p>
    <w:p>
      <w:pPr>
        <w:spacing w:after="120" w:before="0" w:line="240"/>
      </w:pPr>
      <w:r>
        <w:rPr>
          <w:rFonts w:ascii="Times New Roman" w:cs="Times New Roman" w:eastAsia="Times New Roman" w:hAnsi="Times New Roman"/>
          <w:b w:val="false"/>
          <w:bCs w:val="false"/>
          <w:i/>
          <w:iCs/>
          <w:color w:val="000000"/>
          <w:sz w:val="24"/>
          <w:szCs w:val="24"/>
        </w:rPr>
        <w:t xml:space="preserve">Experienced significant operational challenges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 (81.5%)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84 (87.5%)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A72</w:t>
      </w:r>
    </w:p>
    <w:p>
      <w:pPr>
        <w:spacing w:after="120" w:before="0" w:line="240"/>
      </w:pPr>
      <w:r>
        <w:rPr>
          <w:rFonts w:ascii="Times New Roman" w:cs="Times New Roman" w:eastAsia="Times New Roman" w:hAnsi="Times New Roman"/>
          <w:b w:val="false"/>
          <w:bCs w:val="false"/>
          <w:i/>
          <w:iCs/>
          <w:color w:val="000000"/>
          <w:sz w:val="24"/>
          <w:szCs w:val="24"/>
        </w:rPr>
        <w:t xml:space="preserve">Method used to manage risk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Diversification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Insurance and diversification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A73</w:t>
      </w:r>
    </w:p>
    <w:p>
      <w:pPr>
        <w:spacing w:after="120" w:before="0" w:line="240"/>
      </w:pPr>
      <w:r>
        <w:rPr>
          <w:rFonts w:ascii="Times New Roman" w:cs="Times New Roman" w:eastAsia="Times New Roman" w:hAnsi="Times New Roman"/>
          <w:b w:val="false"/>
          <w:bCs w:val="false"/>
          <w:i/>
          <w:iCs/>
          <w:color w:val="000000"/>
          <w:sz w:val="24"/>
          <w:szCs w:val="24"/>
        </w:rPr>
        <w:t xml:space="preserve">Adopted an innovative response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A74</w:t>
      </w:r>
    </w:p>
    <w:p>
      <w:pPr>
        <w:spacing w:after="120" w:before="0" w:line="240"/>
      </w:pPr>
      <w:r>
        <w:rPr>
          <w:rFonts w:ascii="Times New Roman" w:cs="Times New Roman" w:eastAsia="Times New Roman" w:hAnsi="Times New Roman"/>
          <w:b w:val="false"/>
          <w:bCs w:val="false"/>
          <w:i/>
          <w:iCs/>
          <w:color w:val="000000"/>
          <w:sz w:val="24"/>
          <w:szCs w:val="24"/>
        </w:rPr>
        <w:t xml:space="preserve">Changed marketing strategies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87 (90.6%)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(9.4%)</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A75</w:t>
      </w:r>
    </w:p>
    <w:p>
      <w:pPr>
        <w:spacing w:after="120" w:before="0" w:line="240"/>
      </w:pPr>
      <w:r>
        <w:rPr>
          <w:rFonts w:ascii="Times New Roman" w:cs="Times New Roman" w:eastAsia="Times New Roman" w:hAnsi="Times New Roman"/>
          <w:b w:val="false"/>
          <w:bCs w:val="false"/>
          <w:i/>
          <w:iCs/>
          <w:color w:val="000000"/>
          <w:sz w:val="24"/>
          <w:szCs w:val="24"/>
        </w:rPr>
        <w:t xml:space="preserve">How functions are adapted within the chain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Flexibility</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92 (95.8%)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Flexibility and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(4.2%)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A76</w:t>
      </w:r>
    </w:p>
    <w:p>
      <w:pPr>
        <w:spacing w:after="120" w:before="0" w:line="240"/>
      </w:pPr>
      <w:r>
        <w:rPr>
          <w:rFonts w:ascii="Times New Roman" w:cs="Times New Roman" w:eastAsia="Times New Roman" w:hAnsi="Times New Roman"/>
          <w:b w:val="false"/>
          <w:bCs w:val="false"/>
          <w:i/>
          <w:iCs/>
          <w:color w:val="000000"/>
          <w:sz w:val="24"/>
          <w:szCs w:val="24"/>
        </w:rPr>
        <w:t xml:space="preserve">Regulations affect marketing activities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90 (93.8%)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A77</w:t>
      </w:r>
    </w:p>
    <w:p>
      <w:pPr>
        <w:spacing w:after="120" w:before="0" w:line="240"/>
      </w:pPr>
      <w:r>
        <w:rPr>
          <w:rFonts w:ascii="Times New Roman" w:cs="Times New Roman" w:eastAsia="Times New Roman" w:hAnsi="Times New Roman"/>
          <w:b w:val="false"/>
          <w:bCs w:val="false"/>
          <w:i/>
          <w:iCs/>
          <w:color w:val="000000"/>
          <w:sz w:val="24"/>
          <w:szCs w:val="24"/>
        </w:rPr>
        <w:t xml:space="preserve">Aware of a crab fishery management plan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 (84.6%)</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61 (63.5%)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10 (15.4%)</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35 (36.5%)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A78</w:t>
      </w:r>
    </w:p>
    <w:p>
      <w:pPr>
        <w:spacing w:after="120" w:before="0" w:line="240"/>
      </w:pPr>
      <w:r>
        <w:rPr>
          <w:rFonts w:ascii="Times New Roman" w:cs="Times New Roman" w:eastAsia="Times New Roman" w:hAnsi="Times New Roman"/>
          <w:b w:val="false"/>
          <w:bCs w:val="false"/>
          <w:i/>
          <w:iCs/>
          <w:color w:val="000000"/>
          <w:sz w:val="24"/>
          <w:szCs w:val="24"/>
        </w:rPr>
        <w:t xml:space="preserve">Knows persons or organizations interested in the fishery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Yes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A79</w:t>
      </w:r>
    </w:p>
    <w:p>
      <w:pPr>
        <w:spacing w:after="120" w:before="0" w:line="240"/>
      </w:pPr>
      <w:r>
        <w:rPr>
          <w:rFonts w:ascii="Times New Roman" w:cs="Times New Roman" w:eastAsia="Times New Roman" w:hAnsi="Times New Roman"/>
          <w:b w:val="false"/>
          <w:bCs w:val="false"/>
          <w:i/>
          <w:iCs/>
          <w:color w:val="000000"/>
          <w:sz w:val="24"/>
          <w:szCs w:val="24"/>
        </w:rPr>
        <w:t xml:space="preserve">How the actor remains updated on industry trends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Networking</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 (100.0%)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A80</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the market is well structured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(21.5%)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 (15.6%)</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45 (69.2%)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13 (59.1%)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67 (69.8%)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(9.1%)</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(6.2%)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A81</w:t>
      </w:r>
    </w:p>
    <w:p>
      <w:pPr>
        <w:spacing w:after="120" w:before="0" w:line="240"/>
      </w:pPr>
      <w:r>
        <w:rPr>
          <w:rFonts w:ascii="Times New Roman" w:cs="Times New Roman" w:eastAsia="Times New Roman" w:hAnsi="Times New Roman"/>
          <w:b w:val="false"/>
          <w:bCs w:val="false"/>
          <w:i/>
          <w:iCs/>
          <w:color w:val="000000"/>
          <w:sz w:val="24"/>
          <w:szCs w:val="24"/>
        </w:rPr>
        <w:t xml:space="preserve">Perception that mud crab marketing is integrated with other species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(3.1%)</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52 (80.0%)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69 (71.9%)</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(11.5%)</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(14.6%)</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A82</w:t>
      </w:r>
    </w:p>
    <w:p>
      <w:pPr>
        <w:spacing w:after="120" w:before="0" w:line="240"/>
      </w:pPr>
      <w:r>
        <w:rPr>
          <w:rFonts w:ascii="Times New Roman" w:cs="Times New Roman" w:eastAsia="Times New Roman" w:hAnsi="Times New Roman"/>
          <w:b w:val="false"/>
          <w:bCs w:val="false"/>
          <w:i/>
          <w:iCs/>
          <w:color w:val="000000"/>
          <w:sz w:val="24"/>
          <w:szCs w:val="24"/>
        </w:rPr>
        <w:t xml:space="preserve">Awareness of a policy framework for crab markets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 (16.9%)</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18 (18.8%)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48 (73.8%)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(60.4%)</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Strongly disagree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A83</w:t>
      </w:r>
    </w:p>
    <w:p>
      <w:pPr>
        <w:spacing w:after="120" w:before="0" w:line="240"/>
      </w:pPr>
      <w:r>
        <w:rPr>
          <w:rFonts w:ascii="Times New Roman" w:cs="Times New Roman" w:eastAsia="Times New Roman" w:hAnsi="Times New Roman"/>
          <w:b w:val="false"/>
          <w:bCs w:val="false"/>
          <w:i/>
          <w:iCs/>
          <w:color w:val="000000"/>
          <w:sz w:val="24"/>
          <w:szCs w:val="24"/>
        </w:rPr>
        <w:t xml:space="preserve">Priority opportunity for improving mud crab marketing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Market access improvement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56 (86.2%)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66 (68.8%)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stability measures</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 (13.8%)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21 (95.5%)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30 (31.2%)</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A84</w:t>
      </w:r>
    </w:p>
    <w:p>
      <w:pPr>
        <w:spacing w:after="120" w:before="0" w:line="240"/>
      </w:pPr>
      <w:r>
        <w:rPr>
          <w:rFonts w:ascii="Times New Roman" w:cs="Times New Roman" w:eastAsia="Times New Roman" w:hAnsi="Times New Roman"/>
          <w:b w:val="false"/>
          <w:bCs w:val="false"/>
          <w:i/>
          <w:iCs/>
          <w:color w:val="000000"/>
          <w:sz w:val="24"/>
          <w:szCs w:val="24"/>
        </w:rPr>
        <w:t xml:space="preserve">Recommended market-system enhancement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Access to credit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(2.1%)</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Government support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65 (100.0%)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(54.5%)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Government support and industry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(36.4%)</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(16.7%)</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Industry collaboration</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(1.0%)</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A85</w:t>
      </w:r>
    </w:p>
    <w:p>
      <w:pPr>
        <w:spacing w:after="120" w:before="0" w:line="240"/>
      </w:pPr>
      <w:r>
        <w:rPr>
          <w:rFonts w:ascii="Times New Roman" w:cs="Times New Roman" w:eastAsia="Times New Roman" w:hAnsi="Times New Roman"/>
          <w:b w:val="false"/>
          <w:bCs w:val="false"/>
          <w:i/>
          <w:iCs/>
          <w:color w:val="000000"/>
          <w:sz w:val="24"/>
          <w:szCs w:val="24"/>
        </w:rPr>
        <w:t xml:space="preserve">Reported involvement of youth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Low</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 (89.2%)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16 (72.7%)</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 (40.0%)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(25.0%)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77 (80.2%)</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(10.8%)</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(7.3%)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Very low</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 (27.3%)</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(60.0%)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 (75.0%)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(12.5%)</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spacing w:after="0" w:before="240" w:line="240"/>
      </w:pPr>
      <w:r>
        <w:rPr>
          <w:rFonts w:ascii="Times New Roman" w:cs="Times New Roman" w:eastAsia="Times New Roman" w:hAnsi="Times New Roman"/>
          <w:b/>
          <w:bCs/>
          <w:color w:val="000000"/>
          <w:sz w:val="24"/>
          <w:szCs w:val="24"/>
        </w:rPr>
        <w:t xml:space="preserve">Table A86</w:t>
      </w:r>
    </w:p>
    <w:p>
      <w:pPr>
        <w:spacing w:after="120" w:before="0" w:line="240"/>
      </w:pPr>
      <w:r>
        <w:rPr>
          <w:rFonts w:ascii="Times New Roman" w:cs="Times New Roman" w:eastAsia="Times New Roman" w:hAnsi="Times New Roman"/>
          <w:b w:val="false"/>
          <w:bCs w:val="false"/>
          <w:i/>
          <w:iCs/>
          <w:color w:val="000000"/>
          <w:sz w:val="24"/>
          <w:szCs w:val="24"/>
        </w:rPr>
        <w:t xml:space="preserve">Perceived potential for product or market diversification * actor Crosstabulation  [Objective Three]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00"/>
        <w:gridCol w:w="1400"/>
        <w:gridCol w:w="1500"/>
        <w:gridCol w:w="1350"/>
        <w:gridCol w:w="1350"/>
        <w:gridCol w:w="1126"/>
      </w:tblGrid>
      <w:tr>
        <w:trPr>
          <w:tblHeader/>
        </w:trPr>
        <w:tc>
          <w:tcPr>
            <w:tcW w:type="dxa" w:w="23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Response</w:t>
            </w:r>
          </w:p>
        </w:tc>
        <w:tc>
          <w:tcPr>
            <w:tcW w:type="dxa" w:w="14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Fisher</w:t>
            </w:r>
          </w:p>
        </w:tc>
        <w:tc>
          <w:tcPr>
            <w:tcW w:type="dxa" w:w="15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Middleman</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Hotelier</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Exporter</w:t>
            </w:r>
          </w:p>
        </w:tc>
        <w:tc>
          <w:tcPr>
            <w:tcW w:type="dxa" w:w="11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Total</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Negative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(12.3%)</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8 (8.3%)</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Neutral</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19 (29.2%)</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 (4.5%)</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 (20.8%)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Not explored yet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(40.0%)</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7 (31.8%)</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 (100.0%)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 (100.0%)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42 (43.8%)</w:t>
            </w:r>
          </w:p>
        </w:tc>
      </w:tr>
      <w:tr>
        <w:tc>
          <w:tcPr>
            <w:tcW w:type="dxa" w:w="23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Positive</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12 (18.5%)</w:t>
            </w:r>
          </w:p>
        </w:tc>
        <w:tc>
          <w:tcPr>
            <w:tcW w:type="dxa" w:w="15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14 (63.6%)</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 (0.0%)</w:t>
            </w:r>
          </w:p>
        </w:tc>
        <w:tc>
          <w:tcPr>
            <w:tcW w:type="dxa" w:w="11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26 (27.1%)</w:t>
            </w:r>
          </w:p>
        </w:tc>
      </w:tr>
      <w:tr>
        <w:tc>
          <w:tcPr>
            <w:tcW w:type="dxa" w:w="23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Total</w:t>
            </w:r>
          </w:p>
        </w:tc>
        <w:tc>
          <w:tcPr>
            <w:tcW w:type="dxa" w:w="14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65 (100.0%)</w:t>
            </w:r>
          </w:p>
        </w:tc>
        <w:tc>
          <w:tcPr>
            <w:tcW w:type="dxa" w:w="150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22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5 (100.0%)</w:t>
            </w:r>
          </w:p>
        </w:tc>
        <w:tc>
          <w:tcPr>
            <w:tcW w:type="dxa" w:w="1350"/>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4 (100.0%)</w:t>
            </w:r>
          </w:p>
        </w:tc>
        <w:tc>
          <w:tcPr>
            <w:tcW w:type="dxa" w:w="1126"/>
            <w:tcBorders>
              <w:top w:val="single" w:color="000000" w:sz="4"/>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96 (100.0%)</w:t>
            </w:r>
          </w:p>
        </w:tc>
      </w:tr>
    </w:tbl>
    <w:p>
      <w:pPr>
        <w:pStyle w:val="Heading2"/>
        <w:spacing w:after="140" w:before="280" w:line="360"/>
      </w:pPr>
      <w:r>
        <w:rPr>
          <w:rFonts w:ascii="Times New Roman" w:cs="Times New Roman" w:eastAsia="Times New Roman" w:hAnsi="Times New Roman"/>
          <w:b/>
          <w:bCs/>
          <w:color w:val="000000"/>
          <w:sz w:val="26"/>
          <w:szCs w:val="26"/>
        </w:rPr>
        <w:t xml:space="preserve">A.2 Chi-Square Tests Against Study Site</w:t>
      </w:r>
    </w:p>
    <w:p>
      <w:pPr>
        <w:spacing w:after="120" w:before="0" w:line="360"/>
        <w:jc w:val="both"/>
      </w:pPr>
      <w:r>
        <w:rPr>
          <w:rFonts w:ascii="Times New Roman" w:cs="Times New Roman" w:eastAsia="Times New Roman" w:hAnsi="Times New Roman"/>
          <w:color w:val="000000"/>
          <w:sz w:val="24"/>
          <w:szCs w:val="24"/>
        </w:rPr>
        <w:t xml:space="preserve">Tests were run separately for fishers, across the four Beach Management Units, and for middlemen, across the three sites where traders were sampled. Two-sided Monte Carlo significance is based on 10,000 sampled tables with a 99% confidence interval. Hoteliers and exporters were not tested because their site coverage was too uneven for the test to be meaningful.</w:t>
      </w:r>
    </w:p>
    <w:p>
      <w:pPr>
        <w:spacing w:after="0" w:before="240" w:line="240"/>
      </w:pPr>
      <w:r>
        <w:rPr>
          <w:rFonts w:ascii="Times New Roman" w:cs="Times New Roman" w:eastAsia="Times New Roman" w:hAnsi="Times New Roman"/>
          <w:b/>
          <w:bCs/>
          <w:color w:val="000000"/>
          <w:sz w:val="24"/>
          <w:szCs w:val="24"/>
        </w:rPr>
        <w:t xml:space="preserve">Table A87</w:t>
      </w:r>
    </w:p>
    <w:p>
      <w:pPr>
        <w:spacing w:after="120" w:before="0" w:line="240"/>
      </w:pPr>
      <w:r>
        <w:rPr>
          <w:rFonts w:ascii="Times New Roman" w:cs="Times New Roman" w:eastAsia="Times New Roman" w:hAnsi="Times New Roman"/>
          <w:b w:val="false"/>
          <w:bCs w:val="false"/>
          <w:i/>
          <w:iCs/>
          <w:color w:val="000000"/>
          <w:sz w:val="24"/>
          <w:szCs w:val="24"/>
        </w:rPr>
        <w:t xml:space="preserve">Chi-Square Tests: Monte Carlo significance (10,000 samples)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323"/>
        <w:gridCol w:w="968"/>
        <w:gridCol w:w="968"/>
        <w:gridCol w:w="532"/>
        <w:gridCol w:w="581"/>
        <w:gridCol w:w="726"/>
        <w:gridCol w:w="1161"/>
        <w:gridCol w:w="1016"/>
        <w:gridCol w:w="751"/>
      </w:tblGrid>
      <w:tr>
        <w:trPr>
          <w:tblHeader/>
        </w:trPr>
        <w:tc>
          <w:tcPr>
            <w:tcW w:type="dxa" w:w="232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Variable</w:t>
            </w:r>
          </w:p>
        </w:tc>
        <w:tc>
          <w:tcPr>
            <w:tcW w:type="dxa" w:w="96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968"/>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Pearson χ²</w:t>
            </w:r>
          </w:p>
        </w:tc>
        <w:tc>
          <w:tcPr>
            <w:tcW w:type="dxa" w:w="53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df</w:t>
            </w:r>
          </w:p>
        </w:tc>
        <w:tc>
          <w:tcPr>
            <w:tcW w:type="dxa" w:w="58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72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w:t>
            </w:r>
          </w:p>
        </w:tc>
        <w:tc>
          <w:tcPr>
            <w:tcW w:type="dxa" w:w="116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99% CI</w:t>
            </w:r>
          </w:p>
        </w:tc>
        <w:tc>
          <w:tcPr>
            <w:tcW w:type="dxa" w:w="1016"/>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Min expected</w:t>
            </w:r>
          </w:p>
        </w:tc>
        <w:tc>
          <w:tcPr>
            <w:tcW w:type="dxa" w:w="75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p &lt; .05</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30.907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 .005]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Engages in other income activities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[.223, .245]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Ethnic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6.619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 .380]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Highest education attained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6.890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[.322, .346]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Holds an operating licence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1.058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[.831, .850]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How mud crab knowledge and skills were acquired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[.184, .204]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source of business credit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5.739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[.116, .133]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20.061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Monthly mud crab income band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7.132</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[.051, .063]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Received formal mud crab training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8.477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[.030, .040]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2.032</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[.594, .619]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Years of experience in the mud crab fishery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11.520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[.194, .214]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 .938]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Ethnic group</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3.571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[.496, .521]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Highest education attained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1.951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[.921, .935]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Holds an operating licence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.580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[.567, .593]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source of business credit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4.819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[.091, .107]</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Marital status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1.925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.665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[.653, .677]</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Scale of operation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9.414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[.044, .055]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Uses loans to facilitate business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2.357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[.299, .323]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Years of experience in the mud crab fishery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.747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[.736, .758]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Daily mud crab catch</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5.791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 .466]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First buyer location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125.188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&lt; .001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Fishing or collection gear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13.150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[.135, .153]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payment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8.214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[.502, .528]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transporting mud crabs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3.137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[.375, .400]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Number of buyers reported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3.087</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 .425]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0.71</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used for transportation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0.891</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.837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[.827, .846]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Proportion of catch sold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2.665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[.439, .465]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0.62</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large-crab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16.874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[.000, .002]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medium-crab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3.140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[.393, .418]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small-crab size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15.960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 .004]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Role of intermediaries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.925</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[.919, .932]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Travel time from fishing grounds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11.130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[.007, .012]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Criteria used to determine grade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Factors influencing price fluctuations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3.269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.238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[.227, .249]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How mud crab prices are set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0.800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.722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[.711, .734]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Location of sale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1.545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[.921, .935]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buyer category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4.796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[.643, .668]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payment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3.918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.470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[.457, .483]</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Mode of transporting mud crabs to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4.265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.402</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[.389, .414]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Packaging used for transportation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1.545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[.918, .931]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Preparation of mud crabs for market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daily mortality quantity</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loss through spoilage</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5.560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[.060, .072]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1.64</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Role of intermediaries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1.444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 of a crab fishery management plan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6.143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.118</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 .126]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Awareness of a policy framework for crab markets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2.128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.933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[.927, .939]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Experienced barriers to market access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1.623</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 .741]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Experienced significant operational challenges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4.398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[.242, .264]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0.57</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infrastructure or logistics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3.556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[.253, .275]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.334</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[.322, .346]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Perceived potential for product or market diversification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5.040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.860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[.851, .869]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mud crab marketing is integrated with other species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4.474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.541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[.528, .554]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the market is well structured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4.899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[.557, .582]</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0.29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Priority opportunity for improving mud crab marketing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3.889</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.263</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[.252, .275]</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0.43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involvement of youth</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2.944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63</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.421</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[.409, .434]</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0.33</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 of a crab fishery management plan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Awareness of a policy framework for crab markets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.427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[.414, .440]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infrastructure or logistics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5.675</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.339</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[.327, .351]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Main operational or marketing constraint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6.416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[.032, .041]</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Yes</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Perceived potential for product or market diversification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5.204</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[.266, .289]</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mud crab marketing is integrated with other species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[.354, .378]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1.45</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Perception that the market is well structured</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3.710</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.826</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[.817, .836]</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Priority opportunity for improving mud crab marketing</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Recommended market-system enhancement</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7.348</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.277</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[.265, .288]</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0.18</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Regulations affect marketing activities</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0.016</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w:t>
            </w:r>
          </w:p>
        </w:tc>
        <w:tc>
          <w:tcPr>
            <w:tcW w:type="dxa" w:w="116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 1.000]</w:t>
            </w:r>
          </w:p>
        </w:tc>
        <w:tc>
          <w:tcPr>
            <w:tcW w:type="dxa" w:w="1016"/>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r>
        <w:tc>
          <w:tcPr>
            <w:tcW w:type="dxa" w:w="232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involvement of youth</w:t>
            </w:r>
          </w:p>
        </w:tc>
        <w:tc>
          <w:tcPr>
            <w:tcW w:type="dxa" w:w="96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968"/>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1.637</w:t>
            </w:r>
          </w:p>
        </w:tc>
        <w:tc>
          <w:tcPr>
            <w:tcW w:type="dxa" w:w="53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w:t>
            </w:r>
          </w:p>
        </w:tc>
        <w:tc>
          <w:tcPr>
            <w:tcW w:type="dxa" w:w="58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72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.497</w:t>
            </w:r>
          </w:p>
        </w:tc>
        <w:tc>
          <w:tcPr>
            <w:tcW w:type="dxa" w:w="116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[.484, .509]</w:t>
            </w:r>
          </w:p>
        </w:tc>
        <w:tc>
          <w:tcPr>
            <w:tcW w:type="dxa" w:w="1016"/>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w:t>
            </w:r>
          </w:p>
        </w:tc>
        <w:tc>
          <w:tcPr>
            <w:tcW w:type="dxa" w:w="75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No</w:t>
            </w:r>
          </w:p>
        </w:tc>
      </w:tr>
    </w:tbl>
    <w:p>
      <w:pPr>
        <w:pStyle w:val="Heading2"/>
        <w:spacing w:after="140" w:before="280" w:line="360"/>
      </w:pPr>
      <w:r>
        <w:rPr>
          <w:rFonts w:ascii="Times New Roman" w:cs="Times New Roman" w:eastAsia="Times New Roman" w:hAnsi="Times New Roman"/>
          <w:b/>
          <w:bCs/>
          <w:color w:val="000000"/>
          <w:sz w:val="26"/>
          <w:szCs w:val="26"/>
        </w:rPr>
        <w:t xml:space="preserve">A.3 Kruskal–Wallis Tests of Reported Prices</w:t>
      </w:r>
    </w:p>
    <w:p>
      <w:pPr>
        <w:spacing w:after="0" w:before="240" w:line="240"/>
      </w:pPr>
      <w:r>
        <w:rPr>
          <w:rFonts w:ascii="Times New Roman" w:cs="Times New Roman" w:eastAsia="Times New Roman" w:hAnsi="Times New Roman"/>
          <w:b/>
          <w:bCs/>
          <w:color w:val="000000"/>
          <w:sz w:val="24"/>
          <w:szCs w:val="24"/>
        </w:rPr>
        <w:t xml:space="preserve">Table A88</w:t>
      </w:r>
    </w:p>
    <w:p>
      <w:pPr>
        <w:spacing w:after="120" w:before="0" w:line="240"/>
      </w:pPr>
      <w:r>
        <w:rPr>
          <w:rFonts w:ascii="Times New Roman" w:cs="Times New Roman" w:eastAsia="Times New Roman" w:hAnsi="Times New Roman"/>
          <w:b w:val="false"/>
          <w:bCs w:val="false"/>
          <w:i/>
          <w:iCs/>
          <w:color w:val="000000"/>
          <w:sz w:val="24"/>
          <w:szCs w:val="24"/>
        </w:rPr>
        <w:t xml:space="preserve">Kruskal–Wallis Test Statistics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924"/>
        <w:gridCol w:w="1912"/>
        <w:gridCol w:w="1350"/>
        <w:gridCol w:w="787"/>
        <w:gridCol w:w="900"/>
        <w:gridCol w:w="1153"/>
      </w:tblGrid>
      <w:tr>
        <w:trPr>
          <w:tblHeader/>
        </w:trPr>
        <w:tc>
          <w:tcPr>
            <w:tcW w:type="dxa" w:w="292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20"/>
                <w:szCs w:val="20"/>
              </w:rPr>
              <w:t xml:space="preserve">Comparison</w:t>
            </w:r>
          </w:p>
        </w:tc>
        <w:tc>
          <w:tcPr>
            <w:tcW w:type="dxa" w:w="191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Size grade</w:t>
            </w:r>
          </w:p>
        </w:tc>
        <w:tc>
          <w:tcPr>
            <w:tcW w:type="dxa" w:w="135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H</w:t>
            </w:r>
          </w:p>
        </w:tc>
        <w:tc>
          <w:tcPr>
            <w:tcW w:type="dxa" w:w="787"/>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df</w:t>
            </w:r>
          </w:p>
        </w:tc>
        <w:tc>
          <w:tcPr>
            <w:tcW w:type="dxa" w:w="900"/>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N</w:t>
            </w:r>
          </w:p>
        </w:tc>
        <w:tc>
          <w:tcPr>
            <w:tcW w:type="dxa" w:w="1153"/>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20"/>
                <w:szCs w:val="20"/>
              </w:rPr>
              <w:t xml:space="preserve">p</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55.839</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37.999</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96</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Price by actor category</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20.316</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20.067</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&lt; .001</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Fisher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5.846</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63</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.119</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Large (Grade A)</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5.333</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.070</w:t>
            </w:r>
          </w:p>
        </w:tc>
      </w:tr>
      <w:tr>
        <w:tc>
          <w:tcPr>
            <w:tcW w:type="dxa" w:w="292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Medium (Grade B)</w:t>
            </w:r>
          </w:p>
        </w:tc>
        <w:tc>
          <w:tcPr>
            <w:tcW w:type="dxa" w:w="135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3.782</w:t>
            </w:r>
          </w:p>
        </w:tc>
        <w:tc>
          <w:tcPr>
            <w:tcW w:type="dxa" w:w="787"/>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w:t>
            </w:r>
          </w:p>
        </w:tc>
        <w:tc>
          <w:tcPr>
            <w:tcW w:type="dxa" w:w="900"/>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22</w:t>
            </w:r>
          </w:p>
        </w:tc>
        <w:tc>
          <w:tcPr>
            <w:tcW w:type="dxa" w:w="1153"/>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.151</w:t>
            </w:r>
          </w:p>
        </w:tc>
      </w:tr>
      <w:tr>
        <w:tc>
          <w:tcPr>
            <w:tcW w:type="dxa" w:w="292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20"/>
                <w:szCs w:val="20"/>
              </w:rPr>
              <w:t xml:space="preserve">Middleman price by study site</w:t>
            </w:r>
          </w:p>
        </w:tc>
        <w:tc>
          <w:tcPr>
            <w:tcW w:type="dxa" w:w="191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Small (Grade C)</w:t>
            </w:r>
          </w:p>
        </w:tc>
        <w:tc>
          <w:tcPr>
            <w:tcW w:type="dxa" w:w="135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787"/>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900"/>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c>
          <w:tcPr>
            <w:tcW w:type="dxa" w:w="1153"/>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20"/>
                <w:szCs w:val="20"/>
              </w:rPr>
              <w:t xml:space="preserve">-</w:t>
            </w:r>
          </w:p>
        </w:tc>
      </w:tr>
    </w:tbl>
    <w:p>
      <w:pPr>
        <w:pStyle w:val="Heading2"/>
        <w:spacing w:after="140" w:before="280" w:line="360"/>
      </w:pPr>
      <w:r>
        <w:rPr>
          <w:rFonts w:ascii="Times New Roman" w:cs="Times New Roman" w:eastAsia="Times New Roman" w:hAnsi="Times New Roman"/>
          <w:b/>
          <w:bCs/>
          <w:color w:val="000000"/>
          <w:sz w:val="26"/>
          <w:szCs w:val="26"/>
        </w:rPr>
        <w:t xml:space="preserve">A.4 Descriptive Statistics</w:t>
      </w:r>
    </w:p>
    <w:p>
      <w:pPr>
        <w:spacing w:after="0" w:before="240" w:line="240"/>
      </w:pPr>
      <w:r>
        <w:rPr>
          <w:rFonts w:ascii="Times New Roman" w:cs="Times New Roman" w:eastAsia="Times New Roman" w:hAnsi="Times New Roman"/>
          <w:b/>
          <w:bCs/>
          <w:color w:val="000000"/>
          <w:sz w:val="24"/>
          <w:szCs w:val="24"/>
        </w:rPr>
        <w:t xml:space="preserve">Table A89</w:t>
      </w:r>
    </w:p>
    <w:p>
      <w:pPr>
        <w:spacing w:after="120" w:before="0" w:line="240"/>
      </w:pPr>
      <w:r>
        <w:rPr>
          <w:rFonts w:ascii="Times New Roman" w:cs="Times New Roman" w:eastAsia="Times New Roman" w:hAnsi="Times New Roman"/>
          <w:b w:val="false"/>
          <w:bCs w:val="false"/>
          <w:i/>
          <w:iCs/>
          <w:color w:val="000000"/>
          <w:sz w:val="24"/>
          <w:szCs w:val="24"/>
        </w:rPr>
        <w:t xml:space="preserve">Descriptives by Actor Category</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2129"/>
        <w:gridCol w:w="1065"/>
        <w:gridCol w:w="532"/>
        <w:gridCol w:w="919"/>
        <w:gridCol w:w="871"/>
        <w:gridCol w:w="871"/>
        <w:gridCol w:w="774"/>
        <w:gridCol w:w="774"/>
        <w:gridCol w:w="1091"/>
      </w:tblGrid>
      <w:tr>
        <w:trPr>
          <w:tblHeader/>
        </w:trPr>
        <w:tc>
          <w:tcPr>
            <w:tcW w:type="dxa" w:w="212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bCs/>
                <w:i w:val="false"/>
                <w:iCs w:val="false"/>
                <w:color w:val="000000"/>
                <w:sz w:val="17"/>
                <w:szCs w:val="17"/>
              </w:rPr>
              <w:t xml:space="preserve">Variable</w:t>
            </w:r>
          </w:p>
        </w:tc>
        <w:tc>
          <w:tcPr>
            <w:tcW w:type="dxa" w:w="1065"/>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Actor</w:t>
            </w:r>
          </w:p>
        </w:tc>
        <w:tc>
          <w:tcPr>
            <w:tcW w:type="dxa" w:w="532"/>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N</w:t>
            </w:r>
          </w:p>
        </w:tc>
        <w:tc>
          <w:tcPr>
            <w:tcW w:type="dxa" w:w="919"/>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Mean</w:t>
            </w:r>
          </w:p>
        </w:tc>
        <w:tc>
          <w:tcPr>
            <w:tcW w:type="dxa" w:w="87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SD</w:t>
            </w:r>
          </w:p>
        </w:tc>
        <w:tc>
          <w:tcPr>
            <w:tcW w:type="dxa" w:w="87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Median</w:t>
            </w:r>
          </w:p>
        </w:tc>
        <w:tc>
          <w:tcPr>
            <w:tcW w:type="dxa" w:w="77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Q1</w:t>
            </w:r>
          </w:p>
        </w:tc>
        <w:tc>
          <w:tcPr>
            <w:tcW w:type="dxa" w:w="774"/>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Q3</w:t>
            </w:r>
          </w:p>
        </w:tc>
        <w:tc>
          <w:tcPr>
            <w:tcW w:type="dxa" w:w="1091"/>
            <w:tcBorders>
              <w:top w:val="single" w:color="000000" w:sz="6"/>
              <w:left w:val="none" w:color="FFFFFF" w:sz="0"/>
              <w:bottom w:val="single" w:color="000000" w:sz="4"/>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bCs/>
                <w:i w:val="false"/>
                <w:iCs w:val="false"/>
                <w:color w:val="000000"/>
                <w:sz w:val="17"/>
                <w:szCs w:val="17"/>
              </w:rPr>
              <w:t xml:space="preserve">Range</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Reported monthly mud crab income (KSh)</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8,969.2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6,745.3</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4,000–50,000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27,954.5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11,407.9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15,000–50,000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43,000.0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34,568.8</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15,000–100,000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90,000.0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17,320.5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85,000.0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70,000–100,000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Age in completed years</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36.0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14–77</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44.3</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10.7</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37.2</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24–65</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29.0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28.0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32.0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26–48</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44.0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4.9</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45.0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41.0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48.0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38–48</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Large-crab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192.2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945.5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800–1,200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570.1</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2,000.0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1,500–3,000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1,700.0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1,600–1,800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Medium-crab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514.6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163.4</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22</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718.2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100.6</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800.0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600–800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380.0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109.5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300–500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4</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115.5</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1,400.0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1,200–1,400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Small-crab price (KSh/kg)</w:t>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Fisher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65</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309.2</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50.7</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300.0</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250–500</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Middleman</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r>
        <w:tc>
          <w:tcPr>
            <w:tcW w:type="dxa" w:w="212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Hotelier</w:t>
            </w:r>
          </w:p>
        </w:tc>
        <w:tc>
          <w:tcPr>
            <w:tcW w:type="dxa" w:w="532"/>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none" w:color="FFFFFF" w:sz="0"/>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r>
        <w:tc>
          <w:tcPr>
            <w:tcW w:type="dxa" w:w="212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left"/>
            </w:pPr>
            <w:r>
              <w:rPr>
                <w:rFonts w:ascii="Times New Roman" w:cs="Times New Roman" w:eastAsia="Times New Roman" w:hAnsi="Times New Roman"/>
                <w:b w:val="false"/>
                <w:bCs w:val="false"/>
                <w:i w:val="false"/>
                <w:iCs w:val="false"/>
                <w:color w:val="000000"/>
                <w:sz w:val="17"/>
                <w:szCs w:val="17"/>
              </w:rPr>
              <w:t xml:space="preserve"/>
            </w:r>
          </w:p>
        </w:tc>
        <w:tc>
          <w:tcPr>
            <w:tcW w:type="dxa" w:w="1065"/>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Exporter</w:t>
            </w:r>
          </w:p>
        </w:tc>
        <w:tc>
          <w:tcPr>
            <w:tcW w:type="dxa" w:w="532"/>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919"/>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87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774"/>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c>
          <w:tcPr>
            <w:tcW w:type="dxa" w:w="1091"/>
            <w:tcBorders>
              <w:top w:val="none" w:color="FFFFFF" w:sz="0"/>
              <w:left w:val="none" w:color="FFFFFF" w:sz="0"/>
              <w:bottom w:val="single" w:color="000000" w:sz="6"/>
              <w:right w:val="none" w:color="FFFFFF" w:sz="0"/>
            </w:tcBorders>
            <w:tcMar>
              <w:top w:type="dxa" w:w="30"/>
              <w:left w:type="dxa" w:w="60"/>
              <w:bottom w:type="dxa" w:w="30"/>
              <w:right w:type="dxa" w:w="60"/>
            </w:tcMar>
            <w:vAlign w:val="bottom"/>
          </w:tcPr>
          <w:p>
            <w:pPr>
              <w:spacing w:after="20" w:before="20" w:line="240"/>
              <w:jc w:val="center"/>
            </w:pPr>
            <w:r>
              <w:rPr>
                <w:rFonts w:ascii="Times New Roman" w:cs="Times New Roman" w:eastAsia="Times New Roman" w:hAnsi="Times New Roman"/>
                <w:b w:val="false"/>
                <w:bCs w:val="false"/>
                <w:i w:val="false"/>
                <w:iCs w:val="false"/>
                <w:color w:val="000000"/>
                <w:sz w:val="17"/>
                <w:szCs w:val="17"/>
              </w:rPr>
              <w:t xml:space="preserve">-</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Appendix A: SPSS Output</dc:title>
  <dc:creator>Mercy Sangura</dc:creator>
  <cp:lastModifiedBy>Un-named</cp:lastModifiedBy>
  <cp:revision>1</cp:revision>
  <dcterms:created xsi:type="dcterms:W3CDTF">2026-09-28T19:19:08.130Z</dcterms:created>
  <dcterms:modified xsi:type="dcterms:W3CDTF">2026-09-28T19:19:08.130Z</dcterms:modified>
</cp:coreProperties>
</file>

<file path=docProps/custom.xml><?xml version="1.0" encoding="utf-8"?>
<Properties xmlns="http://schemas.openxmlformats.org/officeDocument/2006/custom-properties" xmlns:vt="http://schemas.openxmlformats.org/officeDocument/2006/docPropsVTypes"/>
</file>