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689AB" w14:textId="77777777" w:rsidR="00221112" w:rsidRPr="00DE5E47" w:rsidRDefault="00C14051">
      <w:pPr>
        <w:spacing w:line="480" w:lineRule="auto"/>
        <w:jc w:val="center"/>
        <w:rPr>
          <w:rFonts w:cs="Times New Roman"/>
          <w:b/>
          <w:bCs/>
          <w:sz w:val="24"/>
          <w:szCs w:val="24"/>
        </w:rPr>
      </w:pPr>
      <w:bookmarkStart w:id="0" w:name="_Toc69041130"/>
      <w:bookmarkStart w:id="1" w:name="_Toc69041133"/>
      <w:bookmarkStart w:id="2" w:name="_Toc76558177"/>
      <w:r w:rsidRPr="00DE5E47">
        <w:rPr>
          <w:rFonts w:cs="Times New Roman"/>
          <w:b/>
          <w:bCs/>
          <w:sz w:val="24"/>
          <w:szCs w:val="24"/>
        </w:rPr>
        <w:t>MARKET STRUCTURE FOR MUD CRABS (Scylla serrata) IN SOUTH</w:t>
      </w:r>
    </w:p>
    <w:p w14:paraId="3B5C5357" w14:textId="77777777" w:rsidR="00221112" w:rsidRPr="00DE5E47" w:rsidRDefault="00C14051">
      <w:pPr>
        <w:spacing w:line="480" w:lineRule="auto"/>
        <w:jc w:val="center"/>
        <w:rPr>
          <w:rFonts w:cs="Times New Roman"/>
          <w:b/>
          <w:bCs/>
          <w:sz w:val="24"/>
          <w:szCs w:val="24"/>
        </w:rPr>
      </w:pPr>
      <w:r w:rsidRPr="00DE5E47">
        <w:rPr>
          <w:rFonts w:cs="Times New Roman"/>
          <w:b/>
          <w:bCs/>
          <w:sz w:val="24"/>
          <w:szCs w:val="24"/>
        </w:rPr>
        <w:t>COAST, KENYA</w:t>
      </w:r>
    </w:p>
    <w:p w14:paraId="5FF611DC" w14:textId="77777777" w:rsidR="00221112" w:rsidRPr="00DE5E47" w:rsidRDefault="00C14051">
      <w:pPr>
        <w:tabs>
          <w:tab w:val="left" w:pos="134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7E181C4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E01DD8E" w14:textId="77777777" w:rsidR="00221112" w:rsidRPr="00DE5E47" w:rsidRDefault="00221112">
      <w:pPr>
        <w:spacing w:after="200" w:line="480" w:lineRule="auto"/>
        <w:jc w:val="both"/>
        <w:rPr>
          <w:rFonts w:eastAsia="Times New Roman" w:cs="Times New Roman"/>
          <w:b/>
          <w:kern w:val="0"/>
          <w:sz w:val="24"/>
          <w:szCs w:val="24"/>
          <w14:ligatures w14:val="none"/>
        </w:rPr>
      </w:pPr>
    </w:p>
    <w:p w14:paraId="289D83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3DD9FD6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SG25/36064/19</w:t>
      </w:r>
    </w:p>
    <w:p w14:paraId="6EDA1826" w14:textId="77777777" w:rsidR="00221112" w:rsidRPr="00DE5E47" w:rsidRDefault="00221112">
      <w:pPr>
        <w:spacing w:after="200" w:line="480" w:lineRule="auto"/>
        <w:jc w:val="both"/>
        <w:rPr>
          <w:rFonts w:eastAsia="Times New Roman" w:cs="Times New Roman"/>
          <w:b/>
          <w:kern w:val="0"/>
          <w:sz w:val="24"/>
          <w:szCs w:val="24"/>
          <w14:ligatures w14:val="none"/>
        </w:rPr>
      </w:pP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bookmarkStart w:id="3" w:name="_gjdgxs"/>
      <w:r w:rsidRPr="00DE5E47">
        <w:rPr>
          <w:rFonts w:eastAsia="Times New Roman" w:cs="Times New Roman"/>
          <w:b/>
          <w:kern w:val="0"/>
          <w:sz w:val="24"/>
          <w:szCs w:val="24"/>
          <w14:ligatures w14:val="none"/>
        </w:rPr>
        <w:t>A thesis submitted in partial fulfilment of the requirements for the award of the Master of Science in Fisheries in the Department of Biological Sciences of Pwani University.</w:t>
      </w:r>
      <w:bookmarkEnd w:id="3"/>
    </w:p>
    <w:p w14:paraId="2BB4666D" w14:textId="77777777" w:rsidR="00221112" w:rsidRPr="00DE5E47" w:rsidRDefault="00221112">
      <w:pPr>
        <w:spacing w:after="200" w:line="480" w:lineRule="auto"/>
        <w:jc w:val="center"/>
        <w:rPr>
          <w:rFonts w:eastAsia="Times New Roman" w:cs="Times New Roman"/>
          <w:b/>
          <w:kern w:val="0"/>
          <w:sz w:val="24"/>
          <w:szCs w:val="24"/>
          <w14:ligatures w14:val="none"/>
        </w:rPr>
      </w:pPr>
    </w:p>
    <w:p w14:paraId="42CA1B58" w14:textId="77777777" w:rsidR="00221112" w:rsidRPr="00DE5E47" w:rsidRDefault="00020103">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August</w:t>
      </w:r>
      <w:r w:rsidR="00C14051" w:rsidRPr="00DE5E47">
        <w:rPr>
          <w:rFonts w:eastAsia="Times New Roman" w:cs="Times New Roman"/>
          <w:b/>
          <w:kern w:val="0"/>
          <w:sz w:val="24"/>
          <w:szCs w:val="24"/>
          <w14:ligatures w14:val="none"/>
        </w:rPr>
        <w:t xml:space="preserve"> 2026</w:t>
      </w:r>
    </w:p>
    <w:p w14:paraId="5E87DE33" w14:textId="77777777" w:rsidR="00221112" w:rsidRPr="00DE5E47" w:rsidRDefault="00221112">
      <w:pPr>
        <w:spacing w:after="200" w:line="480" w:lineRule="auto"/>
        <w:jc w:val="both"/>
        <w:rPr>
          <w:rFonts w:eastAsia="Times New Roman" w:cs="Times New Roman"/>
          <w:b/>
          <w:kern w:val="0"/>
          <w:sz w:val="24"/>
          <w:szCs w:val="24"/>
          <w14:ligatures w14:val="none"/>
        </w:rPr>
        <w:sectPr w:rsidR="00221112" w:rsidRPr="00DE5E47">
          <w:footerReference w:type="default" r:id="rId9"/>
          <w:footerReference w:type="first" r:id="rId10"/>
          <w:pgSz w:w="11910" w:h="16840"/>
          <w:pgMar w:top="1440" w:right="1440" w:bottom="1440" w:left="1440" w:header="504" w:footer="504" w:gutter="0"/>
          <w:pgNumType w:fmt="lowerRoman" w:start="1"/>
          <w:cols w:space="720"/>
          <w:titlePg/>
          <w:docGrid w:linePitch="299"/>
        </w:sectPr>
      </w:pPr>
    </w:p>
    <w:p w14:paraId="1D644590" w14:textId="77777777" w:rsidR="00221112" w:rsidRPr="00DE5E47" w:rsidRDefault="00C14051">
      <w:pPr>
        <w:spacing w:before="600" w:after="240" w:line="480" w:lineRule="auto"/>
        <w:contextualSpacing/>
        <w:jc w:val="both"/>
        <w:outlineLvl w:val="0"/>
        <w:rPr>
          <w:rFonts w:eastAsia="Times New Roman" w:cs="Times New Roman"/>
          <w:b/>
          <w:bCs/>
          <w:kern w:val="0"/>
          <w:sz w:val="24"/>
          <w:szCs w:val="24"/>
          <w14:ligatures w14:val="none"/>
        </w:rPr>
      </w:pPr>
      <w:bookmarkStart w:id="4" w:name="_Toc76558172"/>
      <w:bookmarkStart w:id="5" w:name="_Toc240214076"/>
      <w:bookmarkStart w:id="6" w:name="_Toc241432213"/>
      <w:r w:rsidRPr="00DE5E47">
        <w:rPr>
          <w:rFonts w:eastAsia="Times New Roman" w:cs="Times New Roman"/>
          <w:b/>
          <w:bCs/>
          <w:kern w:val="0"/>
          <w:sz w:val="24"/>
          <w:szCs w:val="24"/>
          <w14:ligatures w14:val="none"/>
        </w:rPr>
        <w:lastRenderedPageBreak/>
        <w:t>DECLARATION</w:t>
      </w:r>
      <w:bookmarkEnd w:id="4"/>
      <w:bookmarkEnd w:id="5"/>
      <w:bookmarkEnd w:id="6"/>
    </w:p>
    <w:p w14:paraId="2ACD6288"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I declare that this thesis is my original work and has not been presented for a degree in any other university or for another award.</w:t>
      </w:r>
    </w:p>
    <w:p w14:paraId="2449BE3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SIGN___________________________________</w:t>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r>
      <w:r w:rsidRPr="00DE5E47">
        <w:rPr>
          <w:rFonts w:eastAsia="Times New Roman" w:cs="Times New Roman"/>
          <w:b/>
          <w:kern w:val="0"/>
          <w:sz w:val="24"/>
          <w:szCs w:val="24"/>
          <w14:ligatures w14:val="none"/>
        </w:rPr>
        <w:tab/>
        <w:t>DATE_____________</w:t>
      </w:r>
    </w:p>
    <w:p w14:paraId="3C142B43"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SG25/PU/36064/19</w:t>
      </w:r>
    </w:p>
    <w:p w14:paraId="6CCC81E7" w14:textId="77777777" w:rsidR="00221112" w:rsidRPr="00DE5E47" w:rsidRDefault="00221112">
      <w:pPr>
        <w:spacing w:after="200" w:line="480" w:lineRule="auto"/>
        <w:jc w:val="both"/>
        <w:rPr>
          <w:rFonts w:eastAsia="Times New Roman" w:cs="Times New Roman"/>
          <w:b/>
          <w:kern w:val="0"/>
          <w:sz w:val="24"/>
          <w:szCs w:val="24"/>
          <w14:ligatures w14:val="none"/>
        </w:rPr>
      </w:pPr>
    </w:p>
    <w:p w14:paraId="7CA06F94" w14:textId="77777777" w:rsidR="00221112" w:rsidRPr="00DE5E47" w:rsidRDefault="00C14051">
      <w:pPr>
        <w:spacing w:after="200" w:line="480" w:lineRule="auto"/>
        <w:jc w:val="both"/>
        <w:rPr>
          <w:rFonts w:eastAsia="Times New Roman" w:cs="Times New Roman"/>
          <w:kern w:val="0"/>
          <w:sz w:val="24"/>
          <w:szCs w:val="24"/>
          <w14:ligatures w14:val="none"/>
        </w:rPr>
      </w:pPr>
      <w:r w:rsidRPr="00DE5E47">
        <w:rPr>
          <w:rFonts w:eastAsia="Times New Roman" w:cs="Times New Roman"/>
          <w:kern w:val="0"/>
          <w:sz w:val="24"/>
          <w:szCs w:val="24"/>
          <w14:ligatures w14:val="none"/>
        </w:rPr>
        <w:t>We confirm that the candidate did the work reported in this thesis under our supervision.</w:t>
      </w:r>
    </w:p>
    <w:p w14:paraId="31E579ED" w14:textId="77777777" w:rsidR="00221112" w:rsidRPr="00DE5E47" w:rsidRDefault="00221112">
      <w:pPr>
        <w:spacing w:after="200" w:line="480" w:lineRule="auto"/>
        <w:jc w:val="both"/>
        <w:rPr>
          <w:rFonts w:eastAsia="Times New Roman" w:cs="Times New Roman"/>
          <w:b/>
          <w:kern w:val="0"/>
          <w:sz w:val="24"/>
          <w:szCs w:val="24"/>
          <w14:ligatures w14:val="none"/>
        </w:rPr>
      </w:pPr>
    </w:p>
    <w:p w14:paraId="4B8347FF"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 Prof. Andrew Wamukota</w:t>
      </w:r>
    </w:p>
    <w:p w14:paraId="066DE5BF" w14:textId="77777777" w:rsidR="00221112" w:rsidRPr="00DE5E47" w:rsidRDefault="00C14051">
      <w:pPr>
        <w:tabs>
          <w:tab w:val="left" w:pos="1095"/>
        </w:tabs>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ab/>
      </w:r>
    </w:p>
    <w:p w14:paraId="41137746"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SIGN__________________________</w:t>
      </w:r>
      <w:r w:rsidRPr="00DE5E47">
        <w:rPr>
          <w:rFonts w:eastAsia="Times New Roman" w:cs="Times New Roman"/>
          <w:b/>
          <w:kern w:val="0"/>
          <w:sz w:val="24"/>
          <w:szCs w:val="24"/>
          <w14:ligatures w14:val="none"/>
        </w:rPr>
        <w:tab/>
        <w:t>DATE___________ _________</w:t>
      </w:r>
    </w:p>
    <w:p w14:paraId="22D39CB0" w14:textId="77777777" w:rsidR="00221112" w:rsidRPr="00DE5E47" w:rsidRDefault="00C14051">
      <w:pPr>
        <w:spacing w:after="200" w:line="480" w:lineRule="auto"/>
        <w:jc w:val="both"/>
        <w:rPr>
          <w:rFonts w:eastAsia="Times New Roman" w:cs="Times New Roman"/>
          <w:b/>
          <w:kern w:val="0"/>
          <w:sz w:val="24"/>
          <w:szCs w:val="24"/>
          <w14:ligatures w14:val="none"/>
        </w:rPr>
      </w:pPr>
      <w:r w:rsidRPr="00DE5E47">
        <w:rPr>
          <w:rFonts w:eastAsia="Times New Roman" w:cs="Times New Roman"/>
          <w:b/>
          <w:kern w:val="0"/>
          <w:sz w:val="24"/>
          <w:szCs w:val="24"/>
          <w14:ligatures w14:val="none"/>
        </w:rPr>
        <w:t>Dr. David O. Mirera</w:t>
      </w:r>
    </w:p>
    <w:p w14:paraId="2B2EC0C3"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7" w:name="_Toc76558173"/>
      <w:bookmarkStart w:id="8" w:name="_Toc240214077"/>
      <w:bookmarkStart w:id="9" w:name="_Toc241432214"/>
      <w:r w:rsidRPr="00DE5E47">
        <w:rPr>
          <w:rFonts w:eastAsia="Times New Roman" w:cs="Times New Roman"/>
          <w:b/>
          <w:bCs/>
          <w:kern w:val="0"/>
          <w:sz w:val="24"/>
          <w:szCs w:val="24"/>
          <w14:ligatures w14:val="none"/>
        </w:rPr>
        <w:t>DEDICATION</w:t>
      </w:r>
      <w:bookmarkEnd w:id="0"/>
      <w:bookmarkEnd w:id="7"/>
      <w:bookmarkEnd w:id="8"/>
      <w:bookmarkEnd w:id="9"/>
    </w:p>
    <w:p w14:paraId="3BA5D4DA"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I dedicate this work to my God who strengthens me in everything.</w:t>
      </w:r>
    </w:p>
    <w:p w14:paraId="63E38B21" w14:textId="77777777" w:rsidR="00221112" w:rsidRPr="00DE5E47" w:rsidRDefault="00221112">
      <w:pPr>
        <w:spacing w:after="200" w:line="480" w:lineRule="auto"/>
        <w:jc w:val="both"/>
        <w:rPr>
          <w:rFonts w:eastAsia="Times New Roman" w:cs="Times New Roman"/>
          <w:kern w:val="0"/>
          <w:sz w:val="24"/>
          <w:szCs w:val="24"/>
          <w14:ligatures w14:val="none"/>
        </w:rPr>
      </w:pPr>
    </w:p>
    <w:p w14:paraId="2B5D6C52" w14:textId="77777777" w:rsidR="00221112" w:rsidRPr="00DE5E47" w:rsidRDefault="00C14051">
      <w:pPr>
        <w:spacing w:before="600" w:after="240" w:line="480" w:lineRule="auto"/>
        <w:contextualSpacing/>
        <w:jc w:val="center"/>
        <w:outlineLvl w:val="0"/>
        <w:rPr>
          <w:rFonts w:eastAsia="Times New Roman" w:cs="Times New Roman"/>
          <w:b/>
          <w:bCs/>
          <w:kern w:val="0"/>
          <w:sz w:val="24"/>
          <w:szCs w:val="24"/>
          <w14:ligatures w14:val="none"/>
        </w:rPr>
      </w:pPr>
      <w:bookmarkStart w:id="10" w:name="_Toc76558174"/>
      <w:bookmarkStart w:id="11" w:name="_Toc69041131"/>
      <w:bookmarkStart w:id="12" w:name="_Toc240214078"/>
      <w:bookmarkStart w:id="13" w:name="_Toc241432215"/>
      <w:r w:rsidRPr="00DE5E47">
        <w:rPr>
          <w:rFonts w:eastAsia="Times New Roman" w:cs="Times New Roman"/>
          <w:b/>
          <w:bCs/>
          <w:kern w:val="0"/>
          <w:sz w:val="24"/>
          <w:szCs w:val="24"/>
          <w14:ligatures w14:val="none"/>
        </w:rPr>
        <w:t>ACKNOWLEDGEMEN</w:t>
      </w:r>
      <w:bookmarkEnd w:id="10"/>
      <w:bookmarkEnd w:id="11"/>
      <w:r w:rsidR="00020103" w:rsidRPr="00DE5E47">
        <w:rPr>
          <w:rFonts w:eastAsia="Times New Roman" w:cs="Times New Roman"/>
          <w:b/>
          <w:bCs/>
          <w:kern w:val="0"/>
          <w:sz w:val="24"/>
          <w:szCs w:val="24"/>
          <w14:ligatures w14:val="none"/>
        </w:rPr>
        <w:t>T</w:t>
      </w:r>
      <w:bookmarkEnd w:id="12"/>
      <w:bookmarkEnd w:id="13"/>
    </w:p>
    <w:p w14:paraId="3A115EE1" w14:textId="77777777" w:rsidR="00221112" w:rsidRPr="00DE5E47" w:rsidRDefault="00C14051">
      <w:pPr>
        <w:spacing w:line="480" w:lineRule="auto"/>
        <w:jc w:val="both"/>
        <w:rPr>
          <w:rFonts w:cs="Times New Roman"/>
          <w:color w:val="000000" w:themeColor="text1"/>
          <w:sz w:val="24"/>
          <w:szCs w:val="24"/>
        </w:rPr>
      </w:pPr>
      <w:r w:rsidRPr="00DE5E47">
        <w:rPr>
          <w:rFonts w:cs="Times New Roman"/>
          <w:color w:val="000000" w:themeColor="text1"/>
          <w:sz w:val="24"/>
          <w:szCs w:val="24"/>
        </w:rPr>
        <w:t xml:space="preserve">I would like to acknowledge the contribution and support of the following people in the preparation of my thesis. Prof. Andrew Wamukota, for his supervisory role and advice. His patience was my </w:t>
      </w:r>
      <w:r w:rsidRPr="00DE5E47">
        <w:rPr>
          <w:rFonts w:cs="Times New Roman"/>
          <w:color w:val="000000" w:themeColor="text1"/>
          <w:sz w:val="24"/>
          <w:szCs w:val="24"/>
        </w:rPr>
        <w:lastRenderedPageBreak/>
        <w:t>support. Dr. Mirera from KMFRI-Mombasa is acknowledged for his intellectual advice and encouragement. I would also like to acknowledge Mr. Benrick Ogutu from the Kenya Fisheries Service (KeFS) for the immense support during the process of data collection and the officials of BMUs (Vanga, Shimoni and Majoreni) for enabling me to carry out data collection in the region. I would also like to thank my beloved husband Dr. Dan Elisha Mugubi, my son Leslie Johnson, and my parents Mr. Joseph Sangura and Ms. Christine Lusaka for being there socially and financially. Much thanks to Pwani University especially the department of Biological Sciences for giving me the opportunity to pursue my masters degree and for the support throughout my study period. Above all, may God bless and give grace to everyone who had a helping hand in my studies.</w:t>
      </w:r>
    </w:p>
    <w:p w14:paraId="4771B674" w14:textId="77777777" w:rsidR="00A32D91" w:rsidRPr="00DE5E47" w:rsidRDefault="00A32D91">
      <w:pPr>
        <w:jc w:val="center"/>
        <w:rPr>
          <w:rFonts w:eastAsia="Times New Roman" w:cs="Times New Roman"/>
          <w:b/>
          <w:sz w:val="24"/>
          <w:szCs w:val="24"/>
        </w:rPr>
      </w:pPr>
    </w:p>
    <w:p w14:paraId="70715C60" w14:textId="77777777" w:rsidR="00A32D91" w:rsidRPr="00DE5E47" w:rsidRDefault="00A32D91">
      <w:pPr>
        <w:jc w:val="center"/>
        <w:rPr>
          <w:rFonts w:eastAsia="Times New Roman" w:cs="Times New Roman"/>
          <w:b/>
          <w:sz w:val="24"/>
          <w:szCs w:val="24"/>
        </w:rPr>
      </w:pPr>
    </w:p>
    <w:p w14:paraId="47F1BFB8" w14:textId="77777777" w:rsidR="00A32D91" w:rsidRPr="00DE5E47" w:rsidRDefault="00A32D91">
      <w:pPr>
        <w:jc w:val="center"/>
        <w:rPr>
          <w:rFonts w:eastAsia="Times New Roman" w:cs="Times New Roman"/>
          <w:b/>
          <w:sz w:val="24"/>
          <w:szCs w:val="24"/>
        </w:rPr>
      </w:pPr>
    </w:p>
    <w:p w14:paraId="2054BE9A" w14:textId="77777777" w:rsidR="00A32D91" w:rsidRPr="00DE5E47" w:rsidRDefault="00A32D91">
      <w:pPr>
        <w:jc w:val="center"/>
        <w:rPr>
          <w:rFonts w:eastAsia="Times New Roman" w:cs="Times New Roman"/>
          <w:b/>
          <w:sz w:val="24"/>
          <w:szCs w:val="24"/>
        </w:rPr>
      </w:pPr>
    </w:p>
    <w:p w14:paraId="6E20DBBB" w14:textId="77777777" w:rsidR="00A32D91" w:rsidRPr="00DE5E47" w:rsidRDefault="00A32D91">
      <w:pPr>
        <w:jc w:val="center"/>
        <w:rPr>
          <w:rFonts w:eastAsia="Times New Roman" w:cs="Times New Roman"/>
          <w:b/>
          <w:sz w:val="24"/>
          <w:szCs w:val="24"/>
        </w:rPr>
      </w:pPr>
    </w:p>
    <w:p w14:paraId="7D9A8134" w14:textId="77777777" w:rsidR="00A32D91" w:rsidRPr="00DE5E47" w:rsidRDefault="00A32D91">
      <w:pPr>
        <w:jc w:val="center"/>
        <w:rPr>
          <w:rFonts w:eastAsia="Times New Roman" w:cs="Times New Roman"/>
          <w:b/>
          <w:sz w:val="24"/>
          <w:szCs w:val="24"/>
        </w:rPr>
      </w:pPr>
    </w:p>
    <w:p w14:paraId="2B5B93DD" w14:textId="77777777" w:rsidR="00A32D91" w:rsidRPr="00DE5E47" w:rsidRDefault="00A32D91">
      <w:pPr>
        <w:jc w:val="center"/>
        <w:rPr>
          <w:rFonts w:eastAsia="Times New Roman" w:cs="Times New Roman"/>
          <w:b/>
          <w:sz w:val="24"/>
          <w:szCs w:val="24"/>
        </w:rPr>
      </w:pPr>
    </w:p>
    <w:p w14:paraId="73445561" w14:textId="77777777" w:rsidR="00A32D91" w:rsidRPr="00DE5E47" w:rsidRDefault="00A32D91">
      <w:pPr>
        <w:jc w:val="center"/>
        <w:rPr>
          <w:rFonts w:eastAsia="Times New Roman" w:cs="Times New Roman"/>
          <w:b/>
          <w:sz w:val="24"/>
          <w:szCs w:val="24"/>
        </w:rPr>
      </w:pPr>
    </w:p>
    <w:p w14:paraId="1F8C711D" w14:textId="77777777" w:rsidR="00A32D91" w:rsidRPr="00DE5E47" w:rsidRDefault="00A32D91">
      <w:pPr>
        <w:jc w:val="center"/>
        <w:rPr>
          <w:rFonts w:eastAsia="Times New Roman" w:cs="Times New Roman"/>
          <w:b/>
          <w:sz w:val="24"/>
          <w:szCs w:val="24"/>
        </w:rPr>
      </w:pPr>
    </w:p>
    <w:p w14:paraId="69DC1736" w14:textId="77777777" w:rsidR="00A32D91" w:rsidRPr="00DE5E47" w:rsidRDefault="00A32D91">
      <w:pPr>
        <w:jc w:val="center"/>
        <w:rPr>
          <w:rFonts w:eastAsia="Times New Roman" w:cs="Times New Roman"/>
          <w:b/>
          <w:sz w:val="24"/>
          <w:szCs w:val="24"/>
        </w:rPr>
      </w:pPr>
    </w:p>
    <w:p w14:paraId="3B735CDE" w14:textId="77777777" w:rsidR="00A32D91" w:rsidRPr="00DE5E47" w:rsidRDefault="00A32D91">
      <w:pPr>
        <w:jc w:val="center"/>
        <w:rPr>
          <w:rFonts w:eastAsia="Times New Roman" w:cs="Times New Roman"/>
          <w:b/>
          <w:sz w:val="24"/>
          <w:szCs w:val="24"/>
        </w:rPr>
      </w:pPr>
    </w:p>
    <w:p w14:paraId="53BE79DA" w14:textId="77777777" w:rsidR="00A32D91" w:rsidRPr="00DE5E47" w:rsidRDefault="00A32D91">
      <w:pPr>
        <w:jc w:val="center"/>
        <w:rPr>
          <w:rFonts w:eastAsia="Times New Roman" w:cs="Times New Roman"/>
          <w:b/>
          <w:sz w:val="24"/>
          <w:szCs w:val="24"/>
        </w:rPr>
      </w:pPr>
    </w:p>
    <w:p w14:paraId="4D558BCB" w14:textId="77777777" w:rsidR="00A32D91" w:rsidRPr="00DE5E47" w:rsidRDefault="00A32D91">
      <w:pPr>
        <w:jc w:val="center"/>
        <w:rPr>
          <w:rFonts w:eastAsia="Times New Roman" w:cs="Times New Roman"/>
          <w:b/>
          <w:sz w:val="24"/>
          <w:szCs w:val="24"/>
        </w:rPr>
      </w:pPr>
    </w:p>
    <w:p w14:paraId="65E0BE4A" w14:textId="77777777" w:rsidR="00221112" w:rsidRPr="00DE5E47" w:rsidRDefault="00C14051">
      <w:pPr>
        <w:jc w:val="center"/>
        <w:outlineLvl w:val="0"/>
        <w:rPr>
          <w:rFonts w:eastAsia="Times New Roman" w:cs="Times New Roman"/>
          <w:b/>
          <w:bCs/>
          <w:kern w:val="0"/>
          <w:sz w:val="24"/>
          <w:szCs w:val="24"/>
          <w14:ligatures w14:val="none"/>
        </w:rPr>
      </w:pPr>
      <w:r w:rsidRPr="00DE5E47">
        <w:rPr>
          <w:rFonts w:eastAsia="Times New Roman" w:cs="Times New Roman"/>
          <w:b/>
          <w:sz w:val="24"/>
          <w:szCs w:val="24"/>
        </w:rPr>
        <w:t>ABSTRACT</w:t>
      </w:r>
    </w:p>
    <w:p w14:paraId="79F10B06" w14:textId="77777777" w:rsidR="00221112" w:rsidRPr="00DE5E47" w:rsidRDefault="00C14051">
      <w:pPr>
        <w:spacing w:after="0" w:line="276" w:lineRule="auto"/>
        <w:jc w:val="both"/>
        <w:rPr>
          <w:rFonts w:eastAsia="Calibri" w:cs="Times New Roman"/>
          <w:sz w:val="24"/>
          <w:szCs w:val="24"/>
        </w:rPr>
      </w:pPr>
      <w:r>
        <w:t>Mud crab (Scylla serrata) fishing supports coastal livelihoods on the South Coast of Kenya, yet how the market is organised, and how the value of a crab is shared between the people who catch, trade and sell it, has not been documented in detail. This study profiled mud crab actors in Kwale County, examined the functions they perform at each market node, and assessed the constraints and opportunities each actor category reported. A cross-sectional survey of 96 respondents — 65 fishers, 22 middlemen, five hoteliers and four exporters — was carried out between May 2022 and December 2023 using structured questionnaires, field observation and key-informant interviews. Analysis in IBM SPSS Statistics used valid percentages within actor category and Beach Management Unit, Monte Carlo chi-square tests based on 10,000 resamples, Kruskal–Wallis tests for reported prices, and measures of concentration, marketing margin and price dispersion, at the 5% significance level.</w:t>
      </w:r>
      <w:r/>
    </w:p>
    <w:p w14:paraId="79F10B06" w14:textId="77777777" w:rsidR="00221112" w:rsidRPr="00DE5E47" w:rsidRDefault="00C14051">
      <w:pPr>
        <w:spacing w:after="0" w:line="276" w:lineRule="auto"/>
        <w:jc w:val="both"/>
        <w:rPr>
          <w:rFonts w:eastAsia="Calibri" w:cs="Times New Roman"/>
          <w:sz w:val="24"/>
          <w:szCs w:val="24"/>
        </w:rPr>
      </w:pPr>
      <w:r>
        <w:t xml:space="preserve">The four actor categories differed systematically. Ninety-five of the 96 respondents were men, no fisher or middleman had schooling beyond secondary level while every hotelier and exporter held a certificate, diploma or degree, and no respondent belonged to a cooperative, an association or a self-help group. Operating licences were held by 12.5% of fishers against every hotelier and exporter, 93.8% of fishers named a middleman as their main source of credit, and mean monthly mud crab income rose from KSh 8,969 among fishers to KSh 90,000 among exporters. Of 68 tests against BMU, nine reached the .05 level; fisher age group was the clearest, χ²(12, N = 63) = 30.91, p = .004.</w:t>
      </w:r>
      <w:r/>
    </w:p>
    <w:p w14:paraId="79F10B06" w14:textId="77777777" w:rsidR="00221112" w:rsidRPr="00DE5E47" w:rsidRDefault="00C14051">
      <w:pPr>
        <w:spacing w:after="0" w:line="276" w:lineRule="auto"/>
        <w:jc w:val="both"/>
        <w:rPr>
          <w:rFonts w:eastAsia="Calibri" w:cs="Times New Roman"/>
          <w:sz w:val="24"/>
          <w:szCs w:val="24"/>
        </w:rPr>
      </w:pPr>
      <w:r>
        <w:t xml:space="preserve">Functions divided cleanly by node, and so did the information attached to them. All 65 fishers graded on weight alone while 95.5% of middlemen and every hotelier and exporter used size, weight, shell condition and claw size, and formal quality control and contact with the final buyer sat entirely downstream. Mean large-crab prices rose from KSh 604.6/kg for fishers to KSh 945.5 for middlemen, KSh 1,700.0 for exporters and KSh 2,200.0 for hoteliers, H(3) = 55.84, p &lt; .001. First sale was concentrated at every landing site: 63 fishers named eight buying points between them, a Herfindahl–Hirschman Index of 2,371 overall and 8,580 at Majoreni, and 76.9% sold to a single buyer. The total gross marketing margin took 60.4% to 72.5% of the final price, leaving the harvester 27.5% to 39.6%, or 24.6% to 35.5% once the 10.4% of landed volume lost to mortality is carried through. Fisher prices differed across sites, H(3) = 20.32, p &lt; .001, while middleman prices did not, H(2) = 5.33, p = .070, so the first-sale gap is set locally. Price dispersion fell from a coefficient of variation of 31.8% among fishers to 6.8% among exporters. No costs were collected, so these are gross margins.</w:t>
      </w:r>
      <w:r/>
    </w:p>
    <w:p w14:paraId="79F10B06" w14:textId="77777777" w:rsidR="00221112" w:rsidRPr="00DE5E47" w:rsidRDefault="00C14051">
      <w:pPr>
        <w:spacing w:after="0" w:line="276" w:lineRule="auto"/>
        <w:jc w:val="both"/>
        <w:rPr>
          <w:rFonts w:eastAsia="Calibri" w:cs="Times New Roman"/>
          <w:sz w:val="24"/>
          <w:szCs w:val="24"/>
        </w:rPr>
      </w:pPr>
      <w:r>
        <w:t xml:space="preserve">Constraints followed function: price fluctuation and poor roads for fishers, mortality and missing aggregation facilities for middlemen, seasonality for hoteliers, freight cost and flight risk for exporters. Barriers to market access were reported by 95.8% of respondents, no actor had adopted new equipment or conducted market research, and management-plan awareness reached 95.5% of middlemen but only 15.4% of fishers. The market is commercially active but institutionally uneven, with grading knowledge, logistics and access to high-value buyers concentrated downstream. A shared grading standard, a public BMU price register, better live-crab handling and aggregation facilities, transparent credit terms and practical licensing support are recommended.</w:t>
      </w:r>
      <w:r/>
    </w:p>
    <w:p w14:paraId="2F40E5D5" w14:textId="77777777" w:rsidR="00221112" w:rsidRPr="00DE5E47" w:rsidRDefault="00221112">
      <w:pPr>
        <w:pStyle w:val="TableofFigures"/>
        <w:pageBreakBefore/>
        <w:spacing w:line="480" w:lineRule="auto"/>
        <w:jc w:val="center"/>
        <w:rPr>
          <w:rFonts w:eastAsia="Calibri" w:cs="Times New Roman"/>
          <w:sz w:val="24"/>
          <w:szCs w:val="24"/>
        </w:rPr>
      </w:pPr>
      <w:r>
        <w:lastRenderedPageBreak/>
        <w:t>TABLE OF CONTENTS</w:t>
      </w:r>
    </w:p>
    <w:p>
      <w:pPr>
        <w:tabs>
          <w:tab w:val="right" w:leader="dot" w:pos="8827"/>
        </w:tabs>
        <w:spacing w:line="276" w:lineRule="auto" w:after="40"/>
      </w:pPr>
      <w:r>
        <w:rPr>
          <w:rFonts w:ascii="Times New Roman" w:hAnsi="Times New Roman" w:cs="Times New Roman"/>
          <w:b/>
          <w:sz w:val="24"/>
          <w:szCs w:val="24"/>
          <w:color w:val="000000"/>
        </w:rPr>
        <w:t xml:space="preserve">LIST OF TABLES</w:t>
      </w:r>
      <w:r>
        <w:tab/>
      </w:r>
      <w:r>
        <w:fldChar w:fldCharType="begin"/>
      </w:r>
      <w:r>
        <w:instrText xml:space="preserve"> PAGEREF _Toc_1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FIGURES</w:t>
      </w:r>
      <w:r>
        <w:tab/>
      </w:r>
      <w:r>
        <w:fldChar w:fldCharType="begin"/>
      </w:r>
      <w:r>
        <w:instrText xml:space="preserve"> PAGEREF _Toc_2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LIST OF ABBREVIATIONS</w:t>
      </w:r>
      <w:r>
        <w:tab/>
      </w:r>
      <w:r>
        <w:fldChar w:fldCharType="begin"/>
      </w:r>
      <w:r>
        <w:instrText xml:space="preserve"> PAGEREF _Toc_3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ONE: INTRODUCTION</w:t>
      </w:r>
      <w:r>
        <w:tab/>
      </w:r>
      <w:r>
        <w:fldChar w:fldCharType="begin"/>
      </w:r>
      <w:r>
        <w:instrText xml:space="preserve"> PAGEREF _Toc_4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1.1 Background information</w:t>
      </w:r>
      <w:r>
        <w:tab/>
      </w:r>
      <w:r>
        <w:fldChar w:fldCharType="begin"/>
      </w:r>
      <w:r>
        <w:instrText xml:space="preserve"> PAGEREF _Toc_5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1.2 Statement of the problem</w:t>
      </w:r>
      <w:r>
        <w:tab/>
      </w:r>
      <w:r>
        <w:fldChar w:fldCharType="begin"/>
      </w:r>
      <w:r>
        <w:instrText xml:space="preserve"> PAGEREF _Toc_6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1.3 Objectives of the Study</w:t>
      </w:r>
      <w:r>
        <w:tab/>
      </w:r>
      <w:r>
        <w:fldChar w:fldCharType="begin"/>
      </w:r>
      <w:r>
        <w:instrText xml:space="preserve"> PAGEREF _Toc_7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1.3.1 General Objective</w:t>
      </w:r>
      <w:r>
        <w:tab/>
      </w:r>
      <w:r>
        <w:fldChar w:fldCharType="begin"/>
      </w:r>
      <w:r>
        <w:instrText xml:space="preserve"> PAGEREF _Toc_8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1.3.2 Specific objectives</w:t>
      </w:r>
      <w:r>
        <w:tab/>
      </w:r>
      <w:r>
        <w:fldChar w:fldCharType="begin"/>
      </w:r>
      <w:r>
        <w:instrText xml:space="preserve"> PAGEREF _Toc_9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1.4 Research Questions</w:t>
      </w:r>
      <w:r>
        <w:tab/>
      </w:r>
      <w:r>
        <w:fldChar w:fldCharType="begin"/>
      </w:r>
      <w:r>
        <w:instrText xml:space="preserve"> PAGEREF _Toc_10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1.5 Significance of the study</w:t>
      </w:r>
      <w:r>
        <w:tab/>
      </w:r>
      <w:r>
        <w:fldChar w:fldCharType="begin"/>
      </w:r>
      <w:r>
        <w:instrText xml:space="preserve"> PAGEREF _Toc_11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TWO: LITERATURE REVIEW</w:t>
      </w:r>
      <w:r>
        <w:tab/>
      </w:r>
      <w:r>
        <w:fldChar w:fldCharType="begin"/>
      </w:r>
      <w:r>
        <w:instrText xml:space="preserve"> PAGEREF _Toc_12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 Species biology and Ecological importance</w:t>
      </w:r>
      <w:r>
        <w:tab/>
      </w:r>
      <w:r>
        <w:fldChar w:fldCharType="begin"/>
      </w:r>
      <w:r>
        <w:instrText xml:space="preserve"> PAGEREF _Toc_13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2.2 Mud crab harvesting strategies</w:t>
      </w:r>
      <w:r>
        <w:tab/>
      </w:r>
      <w:r>
        <w:fldChar w:fldCharType="begin"/>
      </w:r>
      <w:r>
        <w:instrText xml:space="preserve"> PAGEREF _Toc_14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2.3 Overview of mud crab fisheries and market structure</w:t>
      </w:r>
      <w:r>
        <w:tab/>
      </w:r>
      <w:r>
        <w:fldChar w:fldCharType="begin"/>
      </w:r>
      <w:r>
        <w:instrText xml:space="preserve"> PAGEREF _Toc_15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2.4 Mud crab fishery actors and their characteristics</w:t>
      </w:r>
      <w:r>
        <w:tab/>
      </w:r>
      <w:r>
        <w:fldChar w:fldCharType="begin"/>
      </w:r>
      <w:r>
        <w:instrText xml:space="preserve"> PAGEREF _Toc_16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2.5 Functions of actors at different market levels</w:t>
      </w:r>
      <w:r>
        <w:tab/>
      </w:r>
      <w:r>
        <w:fldChar w:fldCharType="begin"/>
      </w:r>
      <w:r>
        <w:instrText xml:space="preserve"> PAGEREF _Toc_17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2.6 Business dynamics of the mud crab fishery</w:t>
      </w:r>
      <w:r>
        <w:tab/>
      </w:r>
      <w:r>
        <w:fldChar w:fldCharType="begin"/>
      </w:r>
      <w:r>
        <w:instrText xml:space="preserve"> PAGEREF _Toc_18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2.6.1 Overview of mud crab business dynamics</w:t>
      </w:r>
      <w:r>
        <w:tab/>
      </w:r>
      <w:r>
        <w:fldChar w:fldCharType="begin"/>
      </w:r>
      <w:r>
        <w:instrText xml:space="preserve"> PAGEREF _Toc_19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2.6.2 Grading of mud crabs</w:t>
      </w:r>
      <w:r>
        <w:tab/>
      </w:r>
      <w:r>
        <w:fldChar w:fldCharType="begin"/>
      </w:r>
      <w:r>
        <w:instrText xml:space="preserve"> PAGEREF _Toc_20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2.6.3 Pricing of mud crabs</w:t>
      </w:r>
      <w:r>
        <w:tab/>
      </w:r>
      <w:r>
        <w:fldChar w:fldCharType="begin"/>
      </w:r>
      <w:r>
        <w:instrText xml:space="preserve"> PAGEREF _Toc_21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2.6.4 Transport of mud crabs</w:t>
      </w:r>
      <w:r>
        <w:tab/>
      </w:r>
      <w:r>
        <w:fldChar w:fldCharType="begin"/>
      </w:r>
      <w:r>
        <w:instrText xml:space="preserve"> PAGEREF _Toc_22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2.6.5 Packaging of mud crabs</w:t>
      </w:r>
      <w:r>
        <w:tab/>
      </w:r>
      <w:r>
        <w:fldChar w:fldCharType="begin"/>
      </w:r>
      <w:r>
        <w:instrText xml:space="preserve"> PAGEREF _Toc_23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2.6.6 Modes of payment in the mud crab trade</w:t>
      </w:r>
      <w:r>
        <w:tab/>
      </w:r>
      <w:r>
        <w:fldChar w:fldCharType="begin"/>
      </w:r>
      <w:r>
        <w:instrText xml:space="preserve"> PAGEREF _Toc_24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2.7 Constraints faced by mud crab fishery actors</w:t>
      </w:r>
      <w:r>
        <w:tab/>
      </w:r>
      <w:r>
        <w:fldChar w:fldCharType="begin"/>
      </w:r>
      <w:r>
        <w:instrText xml:space="preserve"> PAGEREF _Toc_25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2.8 Opportunities in the mud crab fishery</w:t>
      </w:r>
      <w:r>
        <w:tab/>
      </w:r>
      <w:r>
        <w:fldChar w:fldCharType="begin"/>
      </w:r>
      <w:r>
        <w:instrText xml:space="preserve"> PAGEREF _Toc_26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2.9 Legal and policy frameworks governing mud crab fishery in Kenya</w:t>
      </w:r>
      <w:r>
        <w:tab/>
      </w:r>
      <w:r>
        <w:fldChar w:fldCharType="begin"/>
      </w:r>
      <w:r>
        <w:instrText xml:space="preserve"> PAGEREF _Toc_27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2.10 Critical Assessment of the Literature</w:t>
      </w:r>
      <w:r>
        <w:tab/>
      </w:r>
      <w:r>
        <w:fldChar w:fldCharType="begin"/>
      </w:r>
      <w:r>
        <w:instrText xml:space="preserve"> PAGEREF _Toc_28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2.10.1 Where the literature agrees</w:t>
      </w:r>
      <w:r>
        <w:tab/>
      </w:r>
      <w:r>
        <w:fldChar w:fldCharType="begin"/>
      </w:r>
      <w:r>
        <w:instrText xml:space="preserve"> PAGEREF _Toc_29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2.10.2 Where the literature conflicts: the role of the middleman</w:t>
      </w:r>
      <w:r>
        <w:tab/>
      </w:r>
      <w:r>
        <w:fldChar w:fldCharType="begin"/>
      </w:r>
      <w:r>
        <w:instrText xml:space="preserve"> PAGEREF _Toc_30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2.10.3 Where the literature conflicts: what grading does</w:t>
      </w:r>
      <w:r>
        <w:tab/>
      </w:r>
      <w:r>
        <w:fldChar w:fldCharType="begin"/>
      </w:r>
      <w:r>
        <w:instrText xml:space="preserve"> PAGEREF _Toc_31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2.10.4 Methodological limitations of previous studies</w:t>
      </w:r>
      <w:r>
        <w:tab/>
      </w:r>
      <w:r>
        <w:fldChar w:fldCharType="begin"/>
      </w:r>
      <w:r>
        <w:instrText xml:space="preserve"> PAGEREF _Toc_32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2.10.5 The South Coast and Kwale County: what is and is not known</w:t>
      </w:r>
      <w:r>
        <w:tab/>
      </w:r>
      <w:r>
        <w:fldChar w:fldCharType="begin"/>
      </w:r>
      <w:r>
        <w:instrText xml:space="preserve"> PAGEREF _Toc_33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2.10.6 The research gap</w:t>
      </w:r>
      <w:r>
        <w:tab/>
      </w:r>
      <w:r>
        <w:fldChar w:fldCharType="begin"/>
      </w:r>
      <w:r>
        <w:instrText xml:space="preserve"> PAGEREF _Toc_34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2.11 Theoretical Framework</w:t>
      </w:r>
      <w:r>
        <w:tab/>
      </w:r>
      <w:r>
        <w:fldChar w:fldCharType="begin"/>
      </w:r>
      <w:r>
        <w:instrText xml:space="preserve"> PAGEREF _Toc_35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2.12 Conceptual Framework</w:t>
      </w:r>
      <w:r>
        <w:tab/>
      </w:r>
      <w:r>
        <w:fldChar w:fldCharType="begin"/>
      </w:r>
      <w:r>
        <w:instrText xml:space="preserve"> PAGEREF _Toc_36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THREE: MATERIALS AND METHODS</w:t>
      </w:r>
      <w:r>
        <w:tab/>
      </w:r>
      <w:r>
        <w:fldChar w:fldCharType="begin"/>
      </w:r>
      <w:r>
        <w:instrText xml:space="preserve"> PAGEREF _Toc_37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 Introduction</w:t>
      </w:r>
      <w:r>
        <w:tab/>
      </w:r>
      <w:r>
        <w:fldChar w:fldCharType="begin"/>
      </w:r>
      <w:r>
        <w:instrText xml:space="preserve"> PAGEREF _Toc_38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3.2 Study site</w:t>
      </w:r>
      <w:r>
        <w:tab/>
      </w:r>
      <w:r>
        <w:fldChar w:fldCharType="begin"/>
      </w:r>
      <w:r>
        <w:instrText xml:space="preserve"> PAGEREF _Toc_39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3.3 Research design</w:t>
      </w:r>
      <w:r>
        <w:tab/>
      </w:r>
      <w:r>
        <w:fldChar w:fldCharType="begin"/>
      </w:r>
      <w:r>
        <w:instrText xml:space="preserve"> PAGEREF _Toc_40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3.4 Target population</w:t>
      </w:r>
      <w:r>
        <w:tab/>
      </w:r>
      <w:r>
        <w:fldChar w:fldCharType="begin"/>
      </w:r>
      <w:r>
        <w:instrText xml:space="preserve"> PAGEREF _Toc_41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3.5 Sample size and sampling procedures</w:t>
      </w:r>
      <w:r>
        <w:tab/>
      </w:r>
      <w:r>
        <w:fldChar w:fldCharType="begin"/>
      </w:r>
      <w:r>
        <w:instrText xml:space="preserve"> PAGEREF _Toc_42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3.6 Non-Response and Sampling Limitations</w:t>
      </w:r>
      <w:r>
        <w:tab/>
      </w:r>
      <w:r>
        <w:fldChar w:fldCharType="begin"/>
      </w:r>
      <w:r>
        <w:instrText xml:space="preserve"> PAGEREF _Toc_43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3.7 Pilot study</w:t>
      </w:r>
      <w:r>
        <w:tab/>
      </w:r>
      <w:r>
        <w:fldChar w:fldCharType="begin"/>
      </w:r>
      <w:r>
        <w:instrText xml:space="preserve"> PAGEREF _Toc_44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3.8 Data collection</w:t>
      </w:r>
      <w:r>
        <w:tab/>
      </w:r>
      <w:r>
        <w:fldChar w:fldCharType="begin"/>
      </w:r>
      <w:r>
        <w:instrText xml:space="preserve"> PAGEREF _Toc_45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3.9 Alignment of objectives and analysis</w:t>
      </w:r>
      <w:r>
        <w:tab/>
      </w:r>
      <w:r>
        <w:fldChar w:fldCharType="begin"/>
      </w:r>
      <w:r>
        <w:instrText xml:space="preserve"> PAGEREF _Toc_46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3.10 Data analysis</w:t>
      </w:r>
      <w:r>
        <w:tab/>
      </w:r>
      <w:r>
        <w:fldChar w:fldCharType="begin"/>
      </w:r>
      <w:r>
        <w:instrText xml:space="preserve"> PAGEREF _Toc_47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3.10.1 Data entry and processing</w:t>
      </w:r>
      <w:r>
        <w:tab/>
      </w:r>
      <w:r>
        <w:fldChar w:fldCharType="begin"/>
      </w:r>
      <w:r>
        <w:instrText xml:space="preserve"> PAGEREF _Toc_48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3.10.2 Chi-square tests of association</w:t>
      </w:r>
      <w:r>
        <w:tab/>
      </w:r>
      <w:r>
        <w:fldChar w:fldCharType="begin"/>
      </w:r>
      <w:r>
        <w:instrText xml:space="preserve"> PAGEREF _Toc_49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3.10.3 Kruskal–Wallis tests of reported prices</w:t>
      </w:r>
      <w:r>
        <w:tab/>
      </w:r>
      <w:r>
        <w:fldChar w:fldCharType="begin"/>
      </w:r>
      <w:r>
        <w:instrText xml:space="preserve"> PAGEREF _Toc_50 \h </w:instrText>
      </w:r>
      <w:r>
        <w:fldChar w:fldCharType="separate"/>
      </w:r>
      <w:r>
        <w:rPr>
          <w:rFonts w:ascii="Times New Roman" w:hAnsi="Times New Roman" w:cs="Times New Roman"/>
          <w:sz w:val="24"/>
          <w:szCs w:val="24"/>
          <w:color w:val="000000"/>
        </w:rPr>
        <w:t xml:space="preserve">  </w:t>
      </w:r>
      <w:r>
        <w:fldChar w:fldCharType="end"/>
      </w:r>
    </w:p>
    <w:p>
      <w:pPr>
        <w:pStyle w:val="Heading3"/>
        <w:tabs>
          <w:tab w:val="right" w:leader="dot" w:pos="8827"/>
        </w:tabs>
        <w:spacing w:line="276" w:lineRule="auto" w:after="40"/>
        <w:ind w:left="720"/>
      </w:pPr>
      <w:r>
        <w:rPr>
          <w:rFonts w:ascii="Times New Roman" w:hAnsi="Times New Roman" w:cs="Times New Roman"/>
          <w:sz w:val="24"/>
          <w:szCs w:val="24"/>
          <w:color w:val="000000"/>
        </w:rPr>
        <w:t xml:space="preserve">3.10.4 Market structure, margin and dispersion measures</w:t>
      </w:r>
    </w:p>
    <w:p>
      <w:pPr>
        <w:tabs>
          <w:tab w:val="right" w:leader="dot" w:pos="8827"/>
        </w:tabs>
        <w:spacing w:line="276" w:lineRule="auto" w:after="40"/>
        <w:ind w:left="720"/>
      </w:pPr>
      <w:r>
        <w:rPr>
          <w:rFonts w:ascii="Times New Roman" w:hAnsi="Times New Roman" w:cs="Times New Roman"/>
          <w:sz w:val="24"/>
          <w:szCs w:val="24"/>
          <w:color w:val="000000"/>
        </w:rPr>
        <w:t xml:space="preserve">Four measures summarise market structure. Concentration at first sale is taken over the buying points fishers named, using the concentration ratio, the share of harvesters attached to the largest point, and the Herfindahl-Hirschman Index, the sum of the squared shares on a scale to 10,000. Dividing 10,000 by that index gives the numbers-equivalent, the count of equal-sized outlets that would produce the same concentration. Because the survey recorded where fishers sold rather than what each buyer handled, these are shares of harvesters and not shares of volume, and they are reported on that basis. The gross marketing margin at a node is the difference between that actor’s selling price and his buying price, expressed as a percentage of his selling price; the total marketing margin applies the same formula across the whole chain; and the producer’s share is the fisher mean divided by the final-node mean. Physical mortality, the one cost the survey measured, is carried through as a deduction from the volume the harvester realises, which yields a producer’s share net of that loss. Price dispersion is the coefficient of variation, the standard deviation divided by the mean, which lets nodes whose price levels differ by a factor of three be compared directly. All four were computed in a spreadsheet from the IBM SPSS Statistics output rather than by a built-in procedure, and the formulas are given in the syntax file.</w:t>
      </w:r>
    </w:p>
    <w:p>
      <w:pPr>
        <w:tabs>
          <w:tab w:val="right" w:leader="dot" w:pos="8827"/>
        </w:tabs>
        <w:spacing w:line="276" w:lineRule="auto" w:after="40"/>
        <w:ind w:left="360"/>
      </w:pPr>
      <w:r>
        <w:rPr>
          <w:rFonts w:ascii="Times New Roman" w:hAnsi="Times New Roman" w:cs="Times New Roman"/>
          <w:sz w:val="24"/>
          <w:szCs w:val="24"/>
          <w:color w:val="000000"/>
        </w:rPr>
        <w:t xml:space="preserve">3.11 Ethical considerations</w:t>
      </w:r>
      <w:r>
        <w:tab/>
      </w:r>
      <w:r>
        <w:fldChar w:fldCharType="begin"/>
      </w:r>
      <w:r>
        <w:instrText xml:space="preserve"> PAGEREF _Toc_51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FOUR: RESULTS</w:t>
      </w:r>
      <w:r>
        <w:tab/>
      </w:r>
      <w:r>
        <w:fldChar w:fldCharType="begin"/>
      </w:r>
      <w:r>
        <w:instrText xml:space="preserve"> PAGEREF _Toc_52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4.1 Introduction</w:t>
      </w:r>
      <w:r>
        <w:tab/>
      </w:r>
      <w:r>
        <w:fldChar w:fldCharType="begin"/>
      </w:r>
      <w:r>
        <w:instrText xml:space="preserve"> PAGEREF _Toc_53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4.2 Distribution of Respondents</w:t>
      </w:r>
      <w:r>
        <w:tab/>
      </w:r>
      <w:r>
        <w:fldChar w:fldCharType="begin"/>
      </w:r>
      <w:r>
        <w:instrText xml:space="preserve"> PAGEREF _Toc_54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4.3 Objective One: Profile of Mud Crab Actors and Their Characteristics</w:t>
      </w:r>
      <w:r>
        <w:tab/>
      </w:r>
      <w:r>
        <w:fldChar w:fldCharType="begin"/>
      </w:r>
      <w:r>
        <w:instrText xml:space="preserve"> PAGEREF _Toc_55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4.3.1 Demographic and Personal Characteristics</w:t>
      </w:r>
      <w:r>
        <w:tab/>
      </w:r>
      <w:r>
        <w:fldChar w:fldCharType="begin"/>
      </w:r>
      <w:r>
        <w:instrText xml:space="preserve"> PAGEREF _Toc_56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4.3.2 Business and Operational Characteristics</w:t>
      </w:r>
      <w:r>
        <w:tab/>
      </w:r>
      <w:r>
        <w:fldChar w:fldCharType="begin"/>
      </w:r>
      <w:r>
        <w:instrText xml:space="preserve"> PAGEREF _Toc_57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4.3.3 Knowledge, Training and Group Membership</w:t>
      </w:r>
      <w:r>
        <w:tab/>
      </w:r>
      <w:r>
        <w:fldChar w:fldCharType="begin"/>
      </w:r>
      <w:r>
        <w:instrText xml:space="preserve"> PAGEREF _Toc_58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4.3.4 Summary of Objective One</w:t>
      </w:r>
      <w:r>
        <w:tab/>
      </w:r>
      <w:r>
        <w:fldChar w:fldCharType="begin"/>
      </w:r>
      <w:r>
        <w:instrText xml:space="preserve"> PAGEREF _Toc_59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4.3.5 Discussion of Findings in Relation to Previous Studies</w:t>
      </w:r>
      <w:r>
        <w:tab/>
      </w:r>
      <w:r>
        <w:fldChar w:fldCharType="begin"/>
      </w:r>
      <w:r>
        <w:instrText xml:space="preserve"> PAGEREF _Toc_60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4.4 Objective Two: Functions Performed by Actors at Each Market Node</w:t>
      </w:r>
      <w:r>
        <w:tab/>
      </w:r>
      <w:r>
        <w:fldChar w:fldCharType="begin"/>
      </w:r>
      <w:r>
        <w:instrText xml:space="preserve"> PAGEREF _Toc_61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 Acquisition of Crabs and Disposal of the Catch</w:t>
      </w:r>
      <w:r>
        <w:tab/>
      </w:r>
      <w:r>
        <w:fldChar w:fldCharType="begin"/>
      </w:r>
      <w:r>
        <w:instrText xml:space="preserve"> PAGEREF _Toc_62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4.4.2 Buyers and Market Channels</w:t>
      </w:r>
      <w:r>
        <w:tab/>
      </w:r>
      <w:r>
        <w:fldChar w:fldCharType="begin"/>
      </w:r>
      <w:r>
        <w:instrText xml:space="preserve"> PAGEREF _Toc_63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4.4.3 Preparation, Packaging and Transport</w:t>
      </w:r>
      <w:r>
        <w:tab/>
      </w:r>
      <w:r>
        <w:fldChar w:fldCharType="begin"/>
      </w:r>
      <w:r>
        <w:instrText xml:space="preserve"> PAGEREF _Toc_64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4.4.4 Grading and Quality Control</w:t>
      </w:r>
      <w:r>
        <w:tab/>
      </w:r>
      <w:r>
        <w:fldChar w:fldCharType="begin"/>
      </w:r>
      <w:r>
        <w:instrText xml:space="preserve"> PAGEREF _Toc_65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4.4.5 Reported Losses</w:t>
      </w:r>
      <w:r>
        <w:tab/>
      </w:r>
      <w:r>
        <w:fldChar w:fldCharType="begin"/>
      </w:r>
      <w:r>
        <w:instrText xml:space="preserve"> PAGEREF _Toc_66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4.4.6 Payment, Price Setting and Sale Location</w:t>
      </w:r>
      <w:r>
        <w:tab/>
      </w:r>
      <w:r>
        <w:fldChar w:fldCharType="begin"/>
      </w:r>
      <w:r>
        <w:instrText xml:space="preserve"> PAGEREF _Toc_67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4.4.7 Trading Relationships and Market Information</w:t>
      </w:r>
      <w:r>
        <w:tab/>
      </w:r>
      <w:r>
        <w:fldChar w:fldCharType="begin"/>
      </w:r>
      <w:r>
        <w:instrText xml:space="preserve"> PAGEREF _Toc_68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4.4.8 Reported Mud Crab Prices</w:t>
      </w:r>
      <w:r>
        <w:tab/>
      </w:r>
      <w:r>
        <w:fldChar w:fldCharType="begin"/>
      </w:r>
      <w:r>
        <w:instrText xml:space="preserve"> PAGEREF _Toc_69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4.4.9 Marketing Margins and the Distribution of Value</w:t>
      </w:r>
      <w:r>
        <w:tab/>
      </w:r>
      <w:r>
        <w:fldChar w:fldCharType="begin"/>
      </w:r>
      <w:r>
        <w:instrText xml:space="preserve"> PAGEREF _Toc_70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4.4.10 Prices by Study Site</w:t>
      </w:r>
      <w:r>
        <w:tab/>
      </w:r>
      <w:r>
        <w:fldChar w:fldCharType="begin"/>
      </w:r>
      <w:r>
        <w:instrText xml:space="preserve"> PAGEREF _Toc_71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4.4.11 Concentration at the Point of First Sale</w:t>
      </w:r>
      <w:r>
        <w:tab/>
      </w:r>
      <w:r>
        <w:fldChar w:fldCharType="begin"/>
      </w:r>
      <w:r>
        <w:instrText xml:space="preserve"> PAGEREF _Toc_72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4.4.12 Marketing Margins and the Distribution of Value</w:t>
      </w:r>
      <w:r>
        <w:tab/>
      </w:r>
      <w:r>
        <w:fldChar w:fldCharType="begin"/>
      </w:r>
      <w:r>
        <w:instrText xml:space="preserve"> PAGEREF _Toc_73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4.4.13 Price Dispersion and Price Transmission</w:t>
      </w:r>
      <w:r>
        <w:tab/>
      </w:r>
      <w:r>
        <w:fldChar w:fldCharType="begin"/>
      </w:r>
      <w:r>
        <w:instrText xml:space="preserve"> PAGEREF _Toc_74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4.4.14 Summary of Objective Two</w:t>
      </w:r>
      <w:r>
        <w:tab/>
      </w:r>
      <w:r>
        <w:fldChar w:fldCharType="begin"/>
      </w:r>
      <w:r>
        <w:instrText xml:space="preserve"> PAGEREF _Toc_75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4.4.15 Discussion of Findings in Relation to Previous Studies</w:t>
      </w:r>
      <w:r>
        <w:tab/>
      </w:r>
      <w:r>
        <w:fldChar w:fldCharType="begin"/>
      </w:r>
      <w:r>
        <w:instrText xml:space="preserve"> PAGEREF _Toc_76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4.5 Objective Three: Constraints and Opportunities Facing Each Actor Category</w:t>
      </w:r>
      <w:r>
        <w:tab/>
      </w:r>
      <w:r>
        <w:fldChar w:fldCharType="begin"/>
      </w:r>
      <w:r>
        <w:instrText xml:space="preserve"> PAGEREF _Toc_77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4.5.1 Operational and Infrastructure Constraints</w:t>
      </w:r>
      <w:r>
        <w:tab/>
      </w:r>
      <w:r>
        <w:fldChar w:fldCharType="begin"/>
      </w:r>
      <w:r>
        <w:instrText xml:space="preserve"> PAGEREF _Toc_78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4.5.2 Market Access, Operational Challenges and Risk</w:t>
      </w:r>
      <w:r>
        <w:tab/>
      </w:r>
      <w:r>
        <w:fldChar w:fldCharType="begin"/>
      </w:r>
      <w:r>
        <w:instrText xml:space="preserve"> PAGEREF _Toc_79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4.5.3 Regulation and Access to Information</w:t>
      </w:r>
      <w:r>
        <w:tab/>
      </w:r>
      <w:r>
        <w:fldChar w:fldCharType="begin"/>
      </w:r>
      <w:r>
        <w:instrText xml:space="preserve"> PAGEREF _Toc_80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4.5.4 Perceptions of Market Organisation and Policy</w:t>
      </w:r>
      <w:r>
        <w:tab/>
      </w:r>
      <w:r>
        <w:fldChar w:fldCharType="begin"/>
      </w:r>
      <w:r>
        <w:instrText xml:space="preserve"> PAGEREF _Toc_81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4.5.5 Opportunities, Youth Participation and Diversification</w:t>
      </w:r>
      <w:r>
        <w:tab/>
      </w:r>
      <w:r>
        <w:fldChar w:fldCharType="begin"/>
      </w:r>
      <w:r>
        <w:instrText xml:space="preserve"> PAGEREF _Toc_82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4.5.6 Summary of Objective Three</w:t>
      </w:r>
      <w:r>
        <w:tab/>
      </w:r>
      <w:r>
        <w:fldChar w:fldCharType="begin"/>
      </w:r>
      <w:r>
        <w:instrText xml:space="preserve"> PAGEREF _Toc_83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4.5.7 Discussion of Findings in Relation to Previous Studies</w:t>
      </w:r>
      <w:r>
        <w:tab/>
      </w:r>
      <w:r>
        <w:fldChar w:fldCharType="begin"/>
      </w:r>
      <w:r>
        <w:instrText xml:space="preserve"> PAGEREF _Toc_84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4.6 Actor-Specific Associations With BMU</w:t>
      </w:r>
      <w:r>
        <w:tab/>
      </w:r>
      <w:r>
        <w:fldChar w:fldCharType="begin"/>
      </w:r>
      <w:r>
        <w:instrText xml:space="preserve"> PAGEREF _Toc_85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4.7 Chapter Summary</w:t>
      </w:r>
      <w:r>
        <w:tab/>
      </w:r>
      <w:r>
        <w:fldChar w:fldCharType="begin"/>
      </w:r>
      <w:r>
        <w:instrText xml:space="preserve"> PAGEREF _Toc_86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FIVE: DISCUSSION</w:t>
      </w:r>
      <w:r>
        <w:tab/>
      </w:r>
      <w:r>
        <w:fldChar w:fldCharType="begin"/>
      </w:r>
      <w:r>
        <w:instrText xml:space="preserve"> PAGEREF _Toc_87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5.1 Introduction</w:t>
      </w:r>
      <w:r>
        <w:tab/>
      </w:r>
      <w:r>
        <w:fldChar w:fldCharType="begin"/>
      </w:r>
      <w:r>
        <w:instrText xml:space="preserve"> PAGEREF _Toc_88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5.2 Objective One: Profile of Mud Crab Actors</w:t>
      </w:r>
      <w:r>
        <w:tab/>
      </w:r>
      <w:r>
        <w:fldChar w:fldCharType="begin"/>
      </w:r>
      <w:r>
        <w:instrText xml:space="preserve"> PAGEREF _Toc_89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5.2.1 Key Findings</w:t>
      </w:r>
      <w:r>
        <w:tab/>
      </w:r>
      <w:r>
        <w:fldChar w:fldCharType="begin"/>
      </w:r>
      <w:r>
        <w:instrText xml:space="preserve"> PAGEREF _Toc_90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5.2.2 Gender and the Limits of the Sampling Frame</w:t>
      </w:r>
      <w:r>
        <w:tab/>
      </w:r>
      <w:r>
        <w:fldChar w:fldCharType="begin"/>
      </w:r>
      <w:r>
        <w:instrText xml:space="preserve"> PAGEREF _Toc_91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5.2.3 Experience, Licensing and the Absence of Collective Organisation</w:t>
      </w:r>
      <w:r>
        <w:tab/>
      </w:r>
      <w:r>
        <w:fldChar w:fldCharType="begin"/>
      </w:r>
      <w:r>
        <w:instrText xml:space="preserve"> PAGEREF _Toc_92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5.2.4 Credit and Dependence Within the Chain</w:t>
      </w:r>
      <w:r>
        <w:tab/>
      </w:r>
      <w:r>
        <w:fldChar w:fldCharType="begin"/>
      </w:r>
      <w:r>
        <w:instrText xml:space="preserve"> PAGEREF _Toc_93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5.2.5 Implications</w:t>
      </w:r>
      <w:r>
        <w:tab/>
      </w:r>
      <w:r>
        <w:fldChar w:fldCharType="begin"/>
      </w:r>
      <w:r>
        <w:instrText xml:space="preserve"> PAGEREF _Toc_94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5.3 Objective Two: Functions at Each Market Node and the Distribution of Value</w:t>
      </w:r>
      <w:r>
        <w:tab/>
      </w:r>
      <w:r>
        <w:fldChar w:fldCharType="begin"/>
      </w:r>
      <w:r>
        <w:instrText xml:space="preserve"> PAGEREF _Toc_95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5.3.1 Key Findings</w:t>
      </w:r>
      <w:r>
        <w:tab/>
      </w:r>
      <w:r>
        <w:fldChar w:fldCharType="begin"/>
      </w:r>
      <w:r>
        <w:instrText xml:space="preserve"> PAGEREF _Toc_96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5.3.2 Grading as a Mechanism of Value Capture</w:t>
      </w:r>
      <w:r>
        <w:tab/>
      </w:r>
      <w:r>
        <w:fldChar w:fldCharType="begin"/>
      </w:r>
      <w:r>
        <w:instrText xml:space="preserve"> PAGEREF _Toc_97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5.3.3 Handling, Packaging and Loss</w:t>
      </w:r>
      <w:r>
        <w:tab/>
      </w:r>
      <w:r>
        <w:fldChar w:fldCharType="begin"/>
      </w:r>
      <w:r>
        <w:instrText xml:space="preserve"> PAGEREF _Toc_98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5.3.4 Price Formation and the Distribution of Value</w:t>
      </w:r>
      <w:r>
        <w:tab/>
      </w:r>
      <w:r>
        <w:fldChar w:fldCharType="begin"/>
      </w:r>
      <w:r>
        <w:instrText xml:space="preserve"> PAGEREF _Toc_99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5.3.5 Site Differences and What Drives Them</w:t>
      </w:r>
      <w:r>
        <w:tab/>
      </w:r>
      <w:r>
        <w:fldChar w:fldCharType="begin"/>
      </w:r>
      <w:r>
        <w:instrText xml:space="preserve"> PAGEREF _Toc_100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5.3.6 The Hotelier Medium-Grade Anomaly</w:t>
      </w:r>
      <w:r>
        <w:tab/>
      </w:r>
      <w:r>
        <w:fldChar w:fldCharType="begin"/>
      </w:r>
      <w:r>
        <w:instrText xml:space="preserve"> PAGEREF _Toc_101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5.3.7 Implications</w:t>
      </w:r>
      <w:r>
        <w:tab/>
      </w:r>
      <w:r>
        <w:fldChar w:fldCharType="begin"/>
      </w:r>
      <w:r>
        <w:instrText xml:space="preserve"> PAGEREF _Toc_102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5.4 Objective Three: Constraints and Opportunities</w:t>
      </w:r>
      <w:r>
        <w:tab/>
      </w:r>
      <w:r>
        <w:fldChar w:fldCharType="begin"/>
      </w:r>
      <w:r>
        <w:instrText xml:space="preserve"> PAGEREF _Toc_103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5.4.1 Key Findings</w:t>
      </w:r>
      <w:r>
        <w:tab/>
      </w:r>
      <w:r>
        <w:fldChar w:fldCharType="begin"/>
      </w:r>
      <w:r>
        <w:instrText xml:space="preserve"> PAGEREF _Toc_104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5.4.2 Constraints Follow Function</w:t>
      </w:r>
      <w:r>
        <w:tab/>
      </w:r>
      <w:r>
        <w:fldChar w:fldCharType="begin"/>
      </w:r>
      <w:r>
        <w:instrText xml:space="preserve"> PAGEREF _Toc_105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5.4.3 Governance and the Direction Information Travels</w:t>
      </w:r>
      <w:r>
        <w:tab/>
      </w:r>
      <w:r>
        <w:fldChar w:fldCharType="begin"/>
      </w:r>
      <w:r>
        <w:instrText xml:space="preserve"> PAGEREF _Toc_106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5.4.4 Opposing Priorities Within One Transaction</w:t>
      </w:r>
      <w:r>
        <w:tab/>
      </w:r>
      <w:r>
        <w:fldChar w:fldCharType="begin"/>
      </w:r>
      <w:r>
        <w:instrText xml:space="preserve"> PAGEREF _Toc_107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5.4.5 Implications</w:t>
      </w:r>
      <w:r>
        <w:tab/>
      </w:r>
      <w:r>
        <w:fldChar w:fldCharType="begin"/>
      </w:r>
      <w:r>
        <w:instrText xml:space="preserve"> PAGEREF _Toc_108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5.5 Synthesis Using the Structure-Conduct-Performance Framework</w:t>
      </w:r>
      <w:r>
        <w:tab/>
      </w:r>
      <w:r>
        <w:fldChar w:fldCharType="begin"/>
      </w:r>
      <w:r>
        <w:instrText xml:space="preserve"> PAGEREF _Toc_109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5.6 What the Structure Measures Do and Do Not Capture</w:t>
      </w:r>
      <w:r>
        <w:tab/>
      </w:r>
      <w:r>
        <w:fldChar w:fldCharType="begin"/>
      </w:r>
      <w:r>
        <w:instrText xml:space="preserve"> PAGEREF _Toc_110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5.7 Study Limitations</w:t>
      </w:r>
      <w:r>
        <w:tab/>
      </w:r>
      <w:r>
        <w:fldChar w:fldCharType="begin"/>
      </w:r>
      <w:r>
        <w:instrText xml:space="preserve"> PAGEREF _Toc_111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CHAPTER SIX: CONCLUSIONS AND RECOMMENDATIONS</w:t>
      </w:r>
      <w:r>
        <w:tab/>
      </w:r>
      <w:r>
        <w:fldChar w:fldCharType="begin"/>
      </w:r>
      <w:r>
        <w:instrText xml:space="preserve"> PAGEREF _Toc_112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6.1 Introduction</w:t>
      </w:r>
      <w:r>
        <w:tab/>
      </w:r>
      <w:r>
        <w:fldChar w:fldCharType="begin"/>
      </w:r>
      <w:r>
        <w:instrText xml:space="preserve"> PAGEREF _Toc_113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6.2 Conclusions</w:t>
      </w:r>
      <w:r>
        <w:tab/>
      </w:r>
      <w:r>
        <w:fldChar w:fldCharType="begin"/>
      </w:r>
      <w:r>
        <w:instrText xml:space="preserve"> PAGEREF _Toc_114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6.2.1 Conclusion for Objective One</w:t>
      </w:r>
      <w:r>
        <w:tab/>
      </w:r>
      <w:r>
        <w:fldChar w:fldCharType="begin"/>
      </w:r>
      <w:r>
        <w:instrText xml:space="preserve"> PAGEREF _Toc_115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6.2.2 Conclusion for Objective Two</w:t>
      </w:r>
      <w:r>
        <w:tab/>
      </w:r>
      <w:r>
        <w:fldChar w:fldCharType="begin"/>
      </w:r>
      <w:r>
        <w:instrText xml:space="preserve"> PAGEREF _Toc_116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6.2.3 Conclusion for Objective Three</w:t>
      </w:r>
      <w:r>
        <w:tab/>
      </w:r>
      <w:r>
        <w:fldChar w:fldCharType="begin"/>
      </w:r>
      <w:r>
        <w:instrText xml:space="preserve"> PAGEREF _Toc_117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6.3 Overall Conclusion</w:t>
      </w:r>
      <w:r>
        <w:tab/>
      </w:r>
      <w:r>
        <w:fldChar w:fldCharType="begin"/>
      </w:r>
      <w:r>
        <w:instrText xml:space="preserve"> PAGEREF _Toc_118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6.4 Recommendations</w:t>
      </w:r>
      <w:r>
        <w:tab/>
      </w:r>
      <w:r>
        <w:fldChar w:fldCharType="begin"/>
      </w:r>
      <w:r>
        <w:instrText xml:space="preserve"> PAGEREF _Toc_119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6.4.1 Recommendations From Objective One</w:t>
      </w:r>
      <w:r>
        <w:tab/>
      </w:r>
      <w:r>
        <w:fldChar w:fldCharType="begin"/>
      </w:r>
      <w:r>
        <w:instrText xml:space="preserve"> PAGEREF _Toc_120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6.4.2 Recommendations From Objective Two</w:t>
      </w:r>
      <w:r>
        <w:tab/>
      </w:r>
      <w:r>
        <w:fldChar w:fldCharType="begin"/>
      </w:r>
      <w:r>
        <w:instrText xml:space="preserve"> PAGEREF _Toc_121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720"/>
      </w:pPr>
      <w:r>
        <w:rPr>
          <w:rFonts w:ascii="Times New Roman" w:hAnsi="Times New Roman" w:cs="Times New Roman"/>
          <w:sz w:val="24"/>
          <w:szCs w:val="24"/>
          <w:color w:val="000000"/>
        </w:rPr>
        <w:t xml:space="preserve">6.4.3 Recommendations From Objective Three</w:t>
      </w:r>
      <w:r>
        <w:tab/>
      </w:r>
      <w:r>
        <w:fldChar w:fldCharType="begin"/>
      </w:r>
      <w:r>
        <w:instrText xml:space="preserve"> PAGEREF _Toc_122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ind w:left="360"/>
      </w:pPr>
      <w:r>
        <w:rPr>
          <w:rFonts w:ascii="Times New Roman" w:hAnsi="Times New Roman" w:cs="Times New Roman"/>
          <w:sz w:val="24"/>
          <w:szCs w:val="24"/>
          <w:color w:val="000000"/>
        </w:rPr>
        <w:t xml:space="preserve">6.5 Recommendations for Further Research</w:t>
      </w:r>
      <w:r>
        <w:tab/>
      </w:r>
      <w:r>
        <w:fldChar w:fldCharType="begin"/>
      </w:r>
      <w:r>
        <w:instrText xml:space="preserve"> PAGEREF _Toc_123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REFERENCES</w:t>
      </w:r>
      <w:r>
        <w:tab/>
      </w:r>
      <w:r>
        <w:fldChar w:fldCharType="begin"/>
      </w:r>
      <w:r>
        <w:instrText xml:space="preserve"> PAGEREF _Toc_124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40"/>
      </w:pPr>
      <w:r>
        <w:rPr>
          <w:rFonts w:ascii="Times New Roman" w:hAnsi="Times New Roman" w:cs="Times New Roman"/>
          <w:b/>
          <w:sz w:val="24"/>
          <w:szCs w:val="24"/>
          <w:color w:val="000000"/>
        </w:rPr>
        <w:t xml:space="preserve">APPENDICES</w:t>
      </w:r>
      <w:r>
        <w:tab/>
      </w:r>
      <w:r>
        <w:fldChar w:fldCharType="begin"/>
      </w:r>
      <w:r>
        <w:instrText xml:space="preserve"> PAGEREF _Toc_125 \h </w:instrText>
      </w:r>
      <w:r>
        <w:fldChar w:fldCharType="separate"/>
      </w:r>
      <w:r>
        <w:rPr>
          <w:rFonts w:ascii="Times New Roman" w:hAnsi="Times New Roman" w:cs="Times New Roman"/>
          <w:sz w:val="24"/>
          <w:szCs w:val="24"/>
          <w:color w:val="000000"/>
        </w:rPr>
        <w:t xml:space="preserve">  </w:t>
      </w:r>
      <w:r>
        <w:fldChar w:fldCharType="end"/>
      </w:r>
    </w:p>
    <w:p w14:paraId="609C3C8A" w14:textId="77777777" w:rsidR="00221112" w:rsidRPr="00DE5E47" w:rsidRDefault="00C14051" w:rsidP="00A32D91">
      <w:pPr>
        <w:pStyle w:val="TableofFigures"/>
        <w:pageBreakBefore/>
        <w:tabs>
          <w:tab w:val="right" w:leader="dot" w:pos="8827"/>
        </w:tabs>
        <w:spacing w:line="360" w:lineRule="auto"/>
        <w:jc w:val="center"/>
        <w:outlineLvl w:val="0"/>
        <w:rPr>
          <w:rFonts w:eastAsia="Times New Roman" w:cs="Times New Roman"/>
          <w:b/>
          <w:bCs/>
          <w:kern w:val="0"/>
          <w:sz w:val="24"/>
          <w:szCs w:val="24"/>
          <w14:ligatures w14:val="none"/>
        </w:rPr>
      </w:pPr>
      <w:bookmarkStart w:id="52001" w:name="_Toc_1"/>
      <w:r w:rsidRPr="00DE5E47">
        <w:rPr>
          <w:rFonts w:eastAsia="Times New Roman" w:cs="Times New Roman"/>
          <w:b/>
          <w:bCs/>
          <w:kern w:val="0"/>
          <w:sz w:val="24"/>
          <w:szCs w:val="24"/>
          <w14:ligatures w14:val="none"/>
        </w:rPr>
        <w:lastRenderedPageBreak/>
        <w:t>LIST OF TABLES</w:t>
      </w:r>
      <w:bookmarkEnd w:id="52001"/>
    </w:p>
    <w:p>
      <w:pPr>
        <w:tabs>
          <w:tab w:val="right" w:leader="dot" w:pos="8827"/>
        </w:tabs>
        <w:spacing w:line="276" w:lineRule="auto" w:after="60"/>
      </w:pPr>
      <w:r>
        <w:rPr>
          <w:rFonts w:ascii="Times New Roman" w:hAnsi="Times New Roman" w:cs="Times New Roman"/>
          <w:sz w:val="24"/>
          <w:szCs w:val="24"/>
          <w:color w:val="000000"/>
        </w:rPr>
        <w:t xml:space="preserve">Table 1: Alignment of Study Objectives, Variables Measured and Analysis Applied</w:t>
      </w:r>
      <w:r>
        <w:tab/>
      </w:r>
      <w:r>
        <w:fldChar w:fldCharType="begin"/>
      </w:r>
      <w:r>
        <w:instrText xml:space="preserve"> PAGEREF _Tbl1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 Distribution of Respondents by Actor Category and BMU</w:t>
      </w:r>
      <w:r>
        <w:tab/>
      </w:r>
      <w:r>
        <w:fldChar w:fldCharType="begin"/>
      </w:r>
      <w:r>
        <w:instrText xml:space="preserve"> PAGEREF _Tbl2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 Age Group of Fishers, Middlemen, Hoteliers and Exporters by BMU</w:t>
      </w:r>
      <w:r>
        <w:tab/>
      </w:r>
      <w:r>
        <w:fldChar w:fldCharType="begin"/>
      </w:r>
      <w:r>
        <w:instrText xml:space="preserve"> PAGEREF _Tbl3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 Gender of Fishers, Middlemen, Hoteliers and Exporters by BMU</w:t>
      </w:r>
      <w:r>
        <w:tab/>
      </w:r>
      <w:r>
        <w:fldChar w:fldCharType="begin"/>
      </w:r>
      <w:r>
        <w:instrText xml:space="preserve"> PAGEREF _Tbl4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 Ethnic Group of Fishers, Middlemen, Hoteliers and Exporters by BMU</w:t>
      </w:r>
      <w:r>
        <w:tab/>
      </w:r>
      <w:r>
        <w:fldChar w:fldCharType="begin"/>
      </w:r>
      <w:r>
        <w:instrText xml:space="preserve"> PAGEREF _Tbl5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6: Marital Status of Fishers, Middlemen, Hoteliers and Exporters by BMU</w:t>
      </w:r>
      <w:r>
        <w:tab/>
      </w:r>
      <w:r>
        <w:fldChar w:fldCharType="begin"/>
      </w:r>
      <w:r>
        <w:instrText xml:space="preserve"> PAGEREF _Tbl6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7: Years of Experience of Fishers, Middlemen, Hoteliers and Exporters by BMU</w:t>
      </w:r>
      <w:r>
        <w:tab/>
      </w:r>
      <w:r>
        <w:fldChar w:fldCharType="begin"/>
      </w:r>
      <w:r>
        <w:instrText xml:space="preserve"> PAGEREF _Tbl7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8: Primary Role and Business Ownership of Fishers, Middlemen, Hoteliers and Exporters by BMU</w:t>
      </w:r>
      <w:r>
        <w:tab/>
      </w:r>
      <w:r>
        <w:fldChar w:fldCharType="begin"/>
      </w:r>
      <w:r>
        <w:instrText xml:space="preserve"> PAGEREF _Tbl8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9: Scale of Operation of Fishers, Middlemen, Hoteliers and Exporters by BMU</w:t>
      </w:r>
      <w:r>
        <w:tab/>
      </w:r>
      <w:r>
        <w:fldChar w:fldCharType="begin"/>
      </w:r>
      <w:r>
        <w:instrText xml:space="preserve"> PAGEREF _Tbl9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10: Reported Monthly Income and Age of Respondents by Actor Category</w:t>
      </w:r>
      <w:r>
        <w:tab/>
      </w:r>
      <w:r>
        <w:fldChar w:fldCharType="begin"/>
      </w:r>
      <w:r>
        <w:instrText xml:space="preserve"> PAGEREF _Tbl10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11: Other Income Activities, Operating Licence and Loan Use by Actor and BMU</w:t>
      </w:r>
      <w:r>
        <w:tab/>
      </w:r>
      <w:r>
        <w:fldChar w:fldCharType="begin"/>
      </w:r>
      <w:r>
        <w:instrText xml:space="preserve"> PAGEREF _Tbl11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12: Main Source of Business Credit by Actor and BMU</w:t>
      </w:r>
      <w:r>
        <w:tab/>
      </w:r>
      <w:r>
        <w:fldChar w:fldCharType="begin"/>
      </w:r>
      <w:r>
        <w:instrText xml:space="preserve"> PAGEREF _Tbl12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13: Knowledge Acquisition and Formal Training by Actor and BMU</w:t>
      </w:r>
      <w:r>
        <w:tab/>
      </w:r>
      <w:r>
        <w:fldChar w:fldCharType="begin"/>
      </w:r>
      <w:r>
        <w:instrText xml:space="preserve"> PAGEREF _Tbl13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14: Cooperative Membership, Self-Help Group Participation and Primary Market Supplied by Actor and BMU</w:t>
      </w:r>
      <w:r>
        <w:tab/>
      </w:r>
      <w:r>
        <w:fldChar w:fldCharType="begin"/>
      </w:r>
      <w:r>
        <w:instrText xml:space="preserve"> PAGEREF _Tbl14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15: How Mud Crabs Are Acquired and Source of Crabs for Sale by Actor and BMU</w:t>
      </w:r>
      <w:r>
        <w:tab/>
      </w:r>
      <w:r>
        <w:fldChar w:fldCharType="begin"/>
      </w:r>
      <w:r>
        <w:instrText xml:space="preserve"> PAGEREF _Tbl15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16: Proportion of Catch Sold and Travel Time from Fishing Grounds to Market by Actor and BMU</w:t>
      </w:r>
      <w:r>
        <w:tab/>
      </w:r>
      <w:r>
        <w:fldChar w:fldCharType="begin"/>
      </w:r>
      <w:r>
        <w:instrText xml:space="preserve"> PAGEREF _Tbl16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17: Primary Market Channel and Contact With Final Consumers by Actor and BMU</w:t>
      </w:r>
      <w:r>
        <w:tab/>
      </w:r>
      <w:r>
        <w:fldChar w:fldCharType="begin"/>
      </w:r>
      <w:r>
        <w:instrText xml:space="preserve"> PAGEREF _Tbl17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18: Number of Buyers, State of Crabs Sold and Regularity of the Main Buyer by Actor and BMU</w:t>
      </w:r>
      <w:r>
        <w:tab/>
      </w:r>
      <w:r>
        <w:fldChar w:fldCharType="begin"/>
      </w:r>
      <w:r>
        <w:instrText xml:space="preserve"> PAGEREF _Tbl18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19: Location of Sale and Knowledge of the Onward Sale by Actor and BMU</w:t>
      </w:r>
      <w:r>
        <w:tab/>
      </w:r>
      <w:r>
        <w:fldChar w:fldCharType="begin"/>
      </w:r>
      <w:r>
        <w:instrText xml:space="preserve"> PAGEREF _Tbl19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20: First Buyer Location Reported by Fishers by BMU</w:t>
      </w:r>
      <w:r>
        <w:tab/>
      </w:r>
      <w:r>
        <w:fldChar w:fldCharType="begin"/>
      </w:r>
      <w:r>
        <w:instrText xml:space="preserve"> PAGEREF _Tbl20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21: Second Buyer Location Reported by Fishers by BMU</w:t>
      </w:r>
      <w:r>
        <w:tab/>
      </w:r>
      <w:r>
        <w:fldChar w:fldCharType="begin"/>
      </w:r>
      <w:r>
        <w:instrText xml:space="preserve"> PAGEREF _Tbl21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22: Preparation of Mud Crabs for Market and Preservation by Actor and BMU</w:t>
      </w:r>
      <w:r>
        <w:tab/>
      </w:r>
      <w:r>
        <w:fldChar w:fldCharType="begin"/>
      </w:r>
      <w:r>
        <w:instrText xml:space="preserve"> PAGEREF _Tbl22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23: Grading Practice and Criteria Used to Determine Grade by Actor and BMU</w:t>
      </w:r>
      <w:r>
        <w:tab/>
      </w:r>
      <w:r>
        <w:fldChar w:fldCharType="begin"/>
      </w:r>
      <w:r>
        <w:instrText xml:space="preserve"> PAGEREF _Tbl23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24: Quality Measures Before Market and Use of Formal Quality Control by Actor and BMU</w:t>
      </w:r>
      <w:r>
        <w:tab/>
      </w:r>
      <w:r>
        <w:fldChar w:fldCharType="begin"/>
      </w:r>
      <w:r>
        <w:instrText xml:space="preserve"> PAGEREF _Tbl24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25: Size Label and Grade Assignment for Large Crabs by Actor and BMU</w:t>
      </w:r>
      <w:r>
        <w:tab/>
      </w:r>
      <w:r>
        <w:fldChar w:fldCharType="begin"/>
      </w:r>
      <w:r>
        <w:instrText xml:space="preserve"> PAGEREF _Tbl25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26: Size Label and Grade Assignment for Medium Crabs by Actor and BMU</w:t>
      </w:r>
      <w:r>
        <w:tab/>
      </w:r>
      <w:r>
        <w:fldChar w:fldCharType="begin"/>
      </w:r>
      <w:r>
        <w:instrText xml:space="preserve"> PAGEREF _Tbl26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27: Size Label and Grade Assignment for Small Crabs by Actor and BMU</w:t>
      </w:r>
      <w:r>
        <w:tab/>
      </w:r>
      <w:r>
        <w:fldChar w:fldCharType="begin"/>
      </w:r>
      <w:r>
        <w:instrText xml:space="preserve"> PAGEREF _Tbl27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28: Reported Loss Through Spoilage by Actor and BMU</w:t>
      </w:r>
      <w:r>
        <w:tab/>
      </w:r>
      <w:r>
        <w:fldChar w:fldCharType="begin"/>
      </w:r>
      <w:r>
        <w:instrText xml:space="preserve"> PAGEREF _Tbl28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29: Pricing Mechanism and How Prices Are Set by Actor and BMU</w:t>
      </w:r>
      <w:r>
        <w:tab/>
      </w:r>
      <w:r>
        <w:fldChar w:fldCharType="begin"/>
      </w:r>
      <w:r>
        <w:instrText xml:space="preserve"> PAGEREF _Tbl29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30: Factors Influencing Price Fluctuations by Actor and BMU</w:t>
      </w:r>
      <w:r>
        <w:tab/>
      </w:r>
      <w:r>
        <w:fldChar w:fldCharType="begin"/>
      </w:r>
      <w:r>
        <w:instrText xml:space="preserve"> PAGEREF _Tbl30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31: Tied Depot Owners and Arrangements With Tied Fishers and Traders by Actor and BMU</w:t>
      </w:r>
      <w:r>
        <w:tab/>
      </w:r>
      <w:r>
        <w:fldChar w:fldCharType="begin"/>
      </w:r>
      <w:r>
        <w:instrText xml:space="preserve"> PAGEREF _Tbl31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32: Arrangements Used With Tied Depot Owners by Actor and BMU</w:t>
      </w:r>
      <w:r>
        <w:tab/>
      </w:r>
      <w:r>
        <w:fldChar w:fldCharType="begin"/>
      </w:r>
      <w:r>
        <w:instrText xml:space="preserve"> PAGEREF _Tbl32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33: Tied Fishers, Tied Traders and Trading Agreements by Actor and BMU</w:t>
      </w:r>
      <w:r>
        <w:tab/>
      </w:r>
      <w:r>
        <w:fldChar w:fldCharType="begin"/>
      </w:r>
      <w:r>
        <w:instrText xml:space="preserve"> PAGEREF _Tbl33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34: Role of Intermediaries and Negotiation Terms by Actor and BMU</w:t>
      </w:r>
      <w:r>
        <w:tab/>
      </w:r>
      <w:r>
        <w:fldChar w:fldCharType="begin"/>
      </w:r>
      <w:r>
        <w:instrText xml:space="preserve"> PAGEREF _Tbl34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35: Technology Adoption and Market Research by Actor and BMU</w:t>
      </w:r>
      <w:r>
        <w:tab/>
      </w:r>
      <w:r>
        <w:fldChar w:fldCharType="begin"/>
      </w:r>
      <w:r>
        <w:instrText xml:space="preserve"> PAGEREF _Tbl35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36: Reported Mud Crab Prices by Actor Category and Size Grade</w:t>
      </w:r>
      <w:r>
        <w:tab/>
      </w:r>
      <w:r>
        <w:fldChar w:fldCharType="begin"/>
      </w:r>
      <w:r>
        <w:instrText xml:space="preserve"> PAGEREF _Tbl36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37: Kruskal–Wallis Comparisons of Reported Mud Crab Prices</w:t>
      </w:r>
      <w:r>
        <w:tab/>
      </w:r>
      <w:r>
        <w:fldChar w:fldCharType="begin"/>
      </w:r>
      <w:r>
        <w:instrText xml:space="preserve"> PAGEREF _Tbl37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38: Marketing Margins and the Distribution of the Final Chain Price Across Actor Nodes</w:t>
      </w:r>
      <w:r>
        <w:tab/>
      </w:r>
      <w:r>
        <w:fldChar w:fldCharType="begin"/>
      </w:r>
      <w:r>
        <w:instrText xml:space="preserve"> PAGEREF _Tbl38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39: Mean Reported Mud Crab Price by Actor Category, BMU and Size Grade</w:t>
      </w:r>
      <w:r>
        <w:tab/>
      </w:r>
      <w:r>
        <w:fldChar w:fldCharType="begin"/>
      </w:r>
      <w:r>
        <w:instrText xml:space="preserve"> PAGEREF _Tbl39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40: First-Sale Price Spread Between Fishers and Middlemen Within Each BMU</w:t>
      </w:r>
      <w:r>
        <w:tab/>
      </w:r>
      <w:r>
        <w:fldChar w:fldCharType="begin"/>
      </w:r>
      <w:r>
        <w:instrText xml:space="preserve"> PAGEREF _Tbl40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41: Concentration of First-Sale Outlets Reported by Fishers, by BMU</w:t>
      </w:r>
      <w:r>
        <w:tab/>
      </w:r>
      <w:r>
        <w:fldChar w:fldCharType="begin"/>
      </w:r>
      <w:r>
        <w:instrText xml:space="preserve"> PAGEREF _Tbl41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42: Buyer Options per Harvester and Harvesters per Trader, by BMU</w:t>
      </w:r>
      <w:r>
        <w:tab/>
      </w:r>
      <w:r>
        <w:fldChar w:fldCharType="begin"/>
      </w:r>
      <w:r>
        <w:instrText xml:space="preserve"> PAGEREF _Tbl42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43: Gross Marketing Margin, Total Margin and Producer’s Share by Chain</w:t>
      </w:r>
      <w:r>
        <w:tab/>
      </w:r>
      <w:r>
        <w:fldChar w:fldCharType="begin"/>
      </w:r>
      <w:r>
        <w:instrText xml:space="preserve"> PAGEREF _Tbl43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44: Price Dispersion Within Each Actor Category and Price Transmission to the Fisher</w:t>
      </w:r>
      <w:r>
        <w:tab/>
      </w:r>
      <w:r>
        <w:fldChar w:fldCharType="begin"/>
      </w:r>
      <w:r>
        <w:instrText xml:space="preserve"> PAGEREF _Tbl44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45: Main Operational or Marketing Constraint by Actor and BMU</w:t>
      </w:r>
      <w:r>
        <w:tab/>
      </w:r>
      <w:r>
        <w:fldChar w:fldCharType="begin"/>
      </w:r>
      <w:r>
        <w:instrText xml:space="preserve"> PAGEREF _Tbl45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46: Main Infrastructure or Logistics Constraint and Need for Improvement by Actor and BMU</w:t>
      </w:r>
      <w:r>
        <w:tab/>
      </w:r>
      <w:r>
        <w:fldChar w:fldCharType="begin"/>
      </w:r>
      <w:r>
        <w:instrText xml:space="preserve"> PAGEREF _Tbl46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47: Barriers to Market Access and Operational Challenges by Actor and BMU</w:t>
      </w:r>
      <w:r>
        <w:tab/>
      </w:r>
      <w:r>
        <w:fldChar w:fldCharType="begin"/>
      </w:r>
      <w:r>
        <w:instrText xml:space="preserve"> PAGEREF _Tbl47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48: Risk Management Method by Actor and BMU</w:t>
      </w:r>
      <w:r>
        <w:tab/>
      </w:r>
      <w:r>
        <w:fldChar w:fldCharType="begin"/>
      </w:r>
      <w:r>
        <w:instrText xml:space="preserve"> PAGEREF _Tbl48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49: Innovation, Changes in Marketing Strategy and Adaptation by Actor and BMU</w:t>
      </w:r>
      <w:r>
        <w:tab/>
      </w:r>
      <w:r>
        <w:fldChar w:fldCharType="begin"/>
      </w:r>
      <w:r>
        <w:instrText xml:space="preserve"> PAGEREF _Tbl49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50: Regulation, Management-Plan Awareness and Sources of Industry Information by Actor and BMU</w:t>
      </w:r>
      <w:r>
        <w:tab/>
      </w:r>
      <w:r>
        <w:fldChar w:fldCharType="begin"/>
      </w:r>
      <w:r>
        <w:instrText xml:space="preserve"> PAGEREF _Tbl50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51: Perception That Mud Crab Marketing Is Integrated With Other Fisheries by Actor and BMU</w:t>
      </w:r>
      <w:r>
        <w:tab/>
      </w:r>
      <w:r>
        <w:fldChar w:fldCharType="begin"/>
      </w:r>
      <w:r>
        <w:instrText xml:space="preserve"> PAGEREF _Tbl51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52: Awareness of a Policy Framework for Crab Markets by Actor and BMU</w:t>
      </w:r>
      <w:r>
        <w:tab/>
      </w:r>
      <w:r>
        <w:fldChar w:fldCharType="begin"/>
      </w:r>
      <w:r>
        <w:instrText xml:space="preserve"> PAGEREF _Tbl52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Table 53: Statistically Significant Actor-Specific Associations With BMU</w:t>
      </w:r>
      <w:r>
        <w:tab/>
      </w:r>
      <w:r>
        <w:fldChar w:fldCharType="begin"/>
      </w:r>
      <w:r>
        <w:instrText xml:space="preserve"> PAGEREF _Tbl53 \h </w:instrText>
      </w:r>
      <w:r>
        <w:fldChar w:fldCharType="separate"/>
      </w:r>
      <w:r>
        <w:rPr>
          <w:rFonts w:ascii="Times New Roman" w:hAnsi="Times New Roman" w:cs="Times New Roman"/>
          <w:sz w:val="24"/>
          <w:szCs w:val="24"/>
          <w:color w:val="000000"/>
        </w:rPr>
        <w:t xml:space="preserve">  </w:t>
      </w:r>
      <w:r>
        <w:fldChar w:fldCharType="end"/>
      </w:r>
    </w:p>
    <w:p w14:paraId="6853EE13"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14" w:name="_Toc240214079"/>
    </w:p>
    <w:p w14:paraId="76E149D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BDB598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06A3B9"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EC3F0EF"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DFEDCE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356DB98D"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D742712"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C0BB70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878768E"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06913A7"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0A23E75B"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1E6F40F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D1AF77A"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7E94D750"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2F1509A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55203398"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4F682596" w14:textId="77777777" w:rsidR="00A32D91" w:rsidRPr="00DE5E47" w:rsidRDefault="00A32D91" w:rsidP="00A32D91">
      <w:pPr>
        <w:spacing w:before="600" w:after="240" w:line="360" w:lineRule="auto"/>
        <w:contextualSpacing/>
        <w:jc w:val="center"/>
        <w:outlineLvl w:val="0"/>
        <w:rPr>
          <w:rFonts w:eastAsia="Times New Roman" w:cs="Times New Roman"/>
          <w:b/>
          <w:bCs/>
          <w:kern w:val="0"/>
          <w:sz w:val="24"/>
          <w:szCs w:val="24"/>
          <w14:ligatures w14:val="none"/>
        </w:rPr>
      </w:pPr>
    </w:p>
    <w:p w14:paraId="6976BD63" w14:textId="77777777" w:rsidR="00221112" w:rsidRPr="00DE5E47" w:rsidRDefault="00C14051" w:rsidP="00A32D91">
      <w:pPr>
        <w:spacing w:before="600" w:after="240" w:line="360" w:lineRule="auto"/>
        <w:contextualSpacing/>
        <w:jc w:val="center"/>
        <w:outlineLvl w:val="0"/>
        <w:rPr>
          <w:rFonts w:eastAsia="Times New Roman" w:cs="Times New Roman"/>
          <w:b/>
          <w:bCs/>
          <w:kern w:val="0"/>
          <w:sz w:val="24"/>
          <w:szCs w:val="24"/>
          <w14:ligatures w14:val="none"/>
        </w:rPr>
      </w:pPr>
      <w:bookmarkStart w:id="52002" w:name="_Toc_2"/>
      <w:bookmarkStart w:id="15" w:name="_Toc241432216"/>
      <w:r w:rsidRPr="00DE5E47">
        <w:rPr>
          <w:rFonts w:eastAsia="Times New Roman" w:cs="Times New Roman"/>
          <w:b/>
          <w:bCs/>
          <w:kern w:val="0"/>
          <w:sz w:val="24"/>
          <w:szCs w:val="24"/>
          <w14:ligatures w14:val="none"/>
        </w:rPr>
        <w:lastRenderedPageBreak/>
        <w:t>LIST OF FIGURES</w:t>
      </w:r>
      <w:bookmarkEnd w:id="14"/>
      <w:bookmarkEnd w:id="15"/>
      <w:bookmarkEnd w:id="52002"/>
    </w:p>
    <w:p>
      <w:pPr>
        <w:tabs>
          <w:tab w:val="right" w:leader="dot" w:pos="8827"/>
        </w:tabs>
        <w:spacing w:line="276" w:lineRule="auto" w:after="60"/>
      </w:pPr>
      <w:r>
        <w:rPr>
          <w:rFonts w:ascii="Times New Roman" w:hAnsi="Times New Roman" w:cs="Times New Roman"/>
          <w:sz w:val="24"/>
          <w:szCs w:val="24"/>
          <w:color w:val="000000"/>
        </w:rPr>
        <w:t xml:space="preserve">Figure 1: Mangrove mud crab (Scylla serrata)</w:t>
      </w:r>
      <w:r>
        <w:tab/>
      </w:r>
      <w:r>
        <w:fldChar w:fldCharType="begin"/>
      </w:r>
      <w:r>
        <w:instrText xml:space="preserve"> PAGEREF _Fig1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 Structure-Conduct-Performance (SCP) linkages guiding the study</w:t>
      </w:r>
      <w:r>
        <w:tab/>
      </w:r>
      <w:r>
        <w:fldChar w:fldCharType="begin"/>
      </w:r>
      <w:r>
        <w:instrText xml:space="preserve"> PAGEREF _Fig2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3: Descriptive framework linking the study objectives to the analysis</w:t>
      </w:r>
      <w:r>
        <w:tab/>
      </w:r>
      <w:r>
        <w:fldChar w:fldCharType="begin"/>
      </w:r>
      <w:r>
        <w:instrText xml:space="preserve"> PAGEREF _Fig3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4: Study site (Author, 2026)</w:t>
      </w:r>
      <w:r>
        <w:tab/>
      </w:r>
      <w:r>
        <w:fldChar w:fldCharType="begin"/>
      </w:r>
      <w:r>
        <w:instrText xml:space="preserve"> PAGEREF _Fig4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5: Highest Education Attained Within Each Actor Category</w:t>
      </w:r>
      <w:r>
        <w:tab/>
      </w:r>
      <w:r>
        <w:fldChar w:fldCharType="begin"/>
      </w:r>
      <w:r>
        <w:instrText xml:space="preserve"> PAGEREF _Fig5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6: Monthly Mud Crab Income Band Within Each Actor Category</w:t>
      </w:r>
      <w:r>
        <w:tab/>
      </w:r>
      <w:r>
        <w:fldChar w:fldCharType="begin"/>
      </w:r>
      <w:r>
        <w:instrText xml:space="preserve"> PAGEREF _Fig6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7: Licensing, Credit, Training and Collective Membership by Actor Category</w:t>
      </w:r>
      <w:r>
        <w:tab/>
      </w:r>
      <w:r>
        <w:fldChar w:fldCharType="begin"/>
      </w:r>
      <w:r>
        <w:instrText xml:space="preserve"> PAGEREF _Fig7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8: Source of Crabs for Sale Within Each Actor Category</w:t>
      </w:r>
      <w:r>
        <w:tab/>
      </w:r>
      <w:r>
        <w:fldChar w:fldCharType="begin"/>
      </w:r>
      <w:r>
        <w:instrText xml:space="preserve"> PAGEREF _Fig8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9: Fishing or Collection Gear Used by Fishers Within Each BMU</w:t>
      </w:r>
      <w:r>
        <w:tab/>
      </w:r>
      <w:r>
        <w:fldChar w:fldCharType="begin"/>
      </w:r>
      <w:r>
        <w:instrText xml:space="preserve"> PAGEREF _Fig9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10: Daily Mud Crab Catch Reported by Fishers Within Each BMU</w:t>
      </w:r>
      <w:r>
        <w:tab/>
      </w:r>
      <w:r>
        <w:fldChar w:fldCharType="begin"/>
      </w:r>
      <w:r>
        <w:instrText xml:space="preserve"> PAGEREF _Fig10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11: Main Buyer Category Within Each Actor Category</w:t>
      </w:r>
      <w:r>
        <w:tab/>
      </w:r>
      <w:r>
        <w:fldChar w:fldCharType="begin"/>
      </w:r>
      <w:r>
        <w:instrText xml:space="preserve"> PAGEREF _Fig11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12: Preparation of Mud Crabs for Market by Actor Category</w:t>
      </w:r>
      <w:r>
        <w:tab/>
      </w:r>
      <w:r>
        <w:fldChar w:fldCharType="begin"/>
      </w:r>
      <w:r>
        <w:instrText xml:space="preserve"> PAGEREF _Fig12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13: Packaging Used for Transporting Mud Crabs by Actor Category</w:t>
      </w:r>
      <w:r>
        <w:tab/>
      </w:r>
      <w:r>
        <w:fldChar w:fldCharType="begin"/>
      </w:r>
      <w:r>
        <w:instrText xml:space="preserve"> PAGEREF _Fig13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14: Mode of Transporting Mud Crabs to Market by Actor Category</w:t>
      </w:r>
      <w:r>
        <w:tab/>
      </w:r>
      <w:r>
        <w:fldChar w:fldCharType="begin"/>
      </w:r>
      <w:r>
        <w:instrText xml:space="preserve"> PAGEREF _Fig14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15: Criteria Used to Determine Crab Grade by Actor Category</w:t>
      </w:r>
      <w:r>
        <w:tab/>
      </w:r>
      <w:r>
        <w:fldChar w:fldCharType="begin"/>
      </w:r>
      <w:r>
        <w:instrText xml:space="preserve"> PAGEREF _Fig15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16: Reported Daily Mortality by Actor Category</w:t>
      </w:r>
      <w:r>
        <w:tab/>
      </w:r>
      <w:r>
        <w:fldChar w:fldCharType="begin"/>
      </w:r>
      <w:r>
        <w:instrText xml:space="preserve"> PAGEREF _Fig16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17: Mode of Payment by Actor Category</w:t>
      </w:r>
      <w:r>
        <w:tab/>
      </w:r>
      <w:r>
        <w:fldChar w:fldCharType="begin"/>
      </w:r>
      <w:r>
        <w:instrText xml:space="preserve"> PAGEREF _Fig17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18: How Mud Crab Prices Are Set, by Actor Category</w:t>
      </w:r>
      <w:r>
        <w:tab/>
      </w:r>
      <w:r>
        <w:fldChar w:fldCharType="begin"/>
      </w:r>
      <w:r>
        <w:instrText xml:space="preserve"> PAGEREF _Fig18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19: Main Infrastructure or Logistics Constraint by Actor Category</w:t>
      </w:r>
      <w:r>
        <w:tab/>
      </w:r>
      <w:r>
        <w:fldChar w:fldCharType="begin"/>
      </w:r>
      <w:r>
        <w:instrText xml:space="preserve"> PAGEREF _Fig19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20: Awareness of the Crab Fishery Management Plan Among Fishers, by BMU</w:t>
      </w:r>
      <w:r>
        <w:tab/>
      </w:r>
      <w:r>
        <w:fldChar w:fldCharType="begin"/>
      </w:r>
      <w:r>
        <w:instrText xml:space="preserve"> PAGEREF _Fig20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21: Perception That the Mud Crab Market Is Well Structured, by Actor Category</w:t>
      </w:r>
      <w:r>
        <w:tab/>
      </w:r>
      <w:r>
        <w:fldChar w:fldCharType="begin"/>
      </w:r>
      <w:r>
        <w:instrText xml:space="preserve"> PAGEREF _Fig21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22: Priority Opportunity for Improving Mud Crab Marketing by Actor Category</w:t>
      </w:r>
      <w:r>
        <w:tab/>
      </w:r>
      <w:r>
        <w:fldChar w:fldCharType="begin"/>
      </w:r>
      <w:r>
        <w:instrText xml:space="preserve"> PAGEREF _Fig22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23: Recommended Market-System Enhancement by Actor Category</w:t>
      </w:r>
      <w:r>
        <w:tab/>
      </w:r>
      <w:r>
        <w:fldChar w:fldCharType="begin"/>
      </w:r>
      <w:r>
        <w:instrText xml:space="preserve"> PAGEREF _Fig23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24: Reported Involvement of Youth by Actor Category</w:t>
      </w:r>
      <w:r>
        <w:tab/>
      </w:r>
      <w:r>
        <w:fldChar w:fldCharType="begin"/>
      </w:r>
      <w:r>
        <w:instrText xml:space="preserve"> PAGEREF _Fig24 \h </w:instrText>
      </w:r>
      <w:r>
        <w:fldChar w:fldCharType="separate"/>
      </w:r>
      <w:r>
        <w:rPr>
          <w:rFonts w:ascii="Times New Roman" w:hAnsi="Times New Roman" w:cs="Times New Roman"/>
          <w:sz w:val="24"/>
          <w:szCs w:val="24"/>
          <w:color w:val="000000"/>
        </w:rPr>
        <w:t xml:space="preserve">  </w:t>
      </w:r>
      <w:r>
        <w:fldChar w:fldCharType="end"/>
      </w:r>
    </w:p>
    <w:p>
      <w:pPr>
        <w:tabs>
          <w:tab w:val="right" w:leader="dot" w:pos="8827"/>
        </w:tabs>
        <w:spacing w:line="276" w:lineRule="auto" w:after="60"/>
      </w:pPr>
      <w:r>
        <w:rPr>
          <w:rFonts w:ascii="Times New Roman" w:hAnsi="Times New Roman" w:cs="Times New Roman"/>
          <w:sz w:val="24"/>
          <w:szCs w:val="24"/>
          <w:color w:val="000000"/>
        </w:rPr>
        <w:t xml:space="preserve">Figure 25: Perceived Potential for Product or Market Diversification by Actor Category</w:t>
      </w:r>
      <w:r>
        <w:tab/>
      </w:r>
      <w:r>
        <w:fldChar w:fldCharType="begin"/>
      </w:r>
      <w:r>
        <w:instrText xml:space="preserve"> PAGEREF _Fig25 \h </w:instrText>
      </w:r>
      <w:r>
        <w:fldChar w:fldCharType="separate"/>
      </w:r>
      <w:r>
        <w:rPr>
          <w:rFonts w:ascii="Times New Roman" w:hAnsi="Times New Roman" w:cs="Times New Roman"/>
          <w:sz w:val="24"/>
          <w:szCs w:val="24"/>
          <w:color w:val="000000"/>
        </w:rPr>
        <w:t xml:space="preserve">  </w:t>
      </w:r>
      <w:r>
        <w:fldChar w:fldCharType="end"/>
      </w:r>
    </w:p>
    <w:p w14:paraId="575C1069" w14:textId="77777777" w:rsidR="00A32D91" w:rsidRPr="00DE5E47" w:rsidRDefault="00A32D91" w:rsidP="00A32D91">
      <w:pPr>
        <w:rPr>
          <w:rFonts w:cs="Times New Roman"/>
        </w:rPr>
      </w:pPr>
    </w:p>
    <w:p w14:paraId="01EE81C9" w14:textId="77777777" w:rsidR="00A32D91" w:rsidRPr="00DE5E47" w:rsidRDefault="00A32D91" w:rsidP="00A32D91">
      <w:pPr>
        <w:rPr>
          <w:rFonts w:cs="Times New Roman"/>
        </w:rPr>
      </w:pPr>
    </w:p>
    <w:p w14:paraId="35F5B63D" w14:textId="77777777" w:rsidR="00A32D91" w:rsidRPr="00DE5E47" w:rsidRDefault="00A32D91" w:rsidP="00A32D91">
      <w:pPr>
        <w:rPr>
          <w:rFonts w:cs="Times New Roman"/>
        </w:rPr>
      </w:pPr>
    </w:p>
    <w:p w14:paraId="2E5D212C" w14:textId="77777777" w:rsidR="00A32D91" w:rsidRPr="00DE5E47" w:rsidRDefault="00A32D91" w:rsidP="00A32D91">
      <w:pPr>
        <w:rPr>
          <w:rFonts w:cs="Times New Roman"/>
        </w:rPr>
      </w:pPr>
    </w:p>
    <w:p w14:paraId="45CE6BC0" w14:textId="77777777" w:rsidR="00A32D91" w:rsidRPr="00DE5E47" w:rsidRDefault="00A32D91" w:rsidP="00A32D91">
      <w:pPr>
        <w:rPr>
          <w:rFonts w:cs="Times New Roman"/>
        </w:rPr>
      </w:pPr>
    </w:p>
    <w:p w14:paraId="1B088BA1" w14:textId="77777777" w:rsidR="00A32D91" w:rsidRPr="00DE5E47" w:rsidRDefault="00A32D91" w:rsidP="00A32D91">
      <w:pPr>
        <w:rPr>
          <w:rFonts w:cs="Times New Roman"/>
        </w:rPr>
      </w:pPr>
    </w:p>
    <w:p>
      <w:pPr>
        <w:spacing w:before="240" w:after="180" w:line="276" w:lineRule="auto"/>
        <w:outlineLvl w:val="0"/>
      </w:pPr>
      <w:bookmarkStart w:id="52003" w:name="_Toc_3"/>
      <w:r>
        <w:rPr>
          <w:rFonts w:ascii="Times New Roman" w:hAnsi="Times New Roman" w:cs="Times New Roman"/>
          <w:b/>
          <w:sz w:val="24"/>
          <w:color w:val="000000"/>
        </w:rPr>
        <w:t xml:space="preserve">LIST OF ABBREVIATIONS</w:t>
      </w:r>
      <w:bookmarkEnd w:id="52003"/>
    </w:p>
    <w:tbl>
      <w:tblPr>
        <w:tblStyle w:val="TableNormal"/>
        <w:tblW w:w="9026" w:type="dxa"/>
        <w:tblLayout w:type="fixed"/>
        <w:tblCellMar>
          <w:top w:w="30" w:type="dxa"/>
          <w:left w:w="80" w:type="dxa"/>
          <w:bottom w:w="30" w:type="dxa"/>
          <w:right w:w="80" w:type="dxa"/>
        </w:tblCellMar>
      </w:tblPr>
      <w:tblGrid>
        <w:gridCol w:w="2100"/>
        <w:gridCol w:w="6926"/>
      </w:tblGrid>
      <w:tr>
        <w:tc>
          <w:tcPr>
            <w:tcW w:w="2100"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Abbreviation</w:t>
            </w:r>
          </w:p>
        </w:tc>
        <w:tc>
          <w:tcPr>
            <w:tcW w:w="6926" w:type="dxa"/>
            <w:tcBorders>
              <w:top w:val="single" w:sz="8" w:space="0" w:color="000000"/>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b/>
                <w:sz w:val="24"/>
                <w:color w:val="000000"/>
              </w:rPr>
              <w:t xml:space="preserve">Meaning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BMU</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Beach Management Unit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df</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Degrees of freedom</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FAO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Food and Agriculture Organization of the United Nations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Kruskal–Wallis test statistic</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SPSS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IBM Statistical Package for the Social Sciences</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IQR</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Interquartile range (reported as the first to third quartile)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IUCN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International Union for Conservation of Nature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KeFS</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Fisheries Service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KMFRI</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Marine and Fisheries Research Institute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KSh</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Kenya Shilling</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Mdn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Median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MSc</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Master of Science</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N / n</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Sample size / subgroup count</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Probability value (significance level)</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SCP</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Structure–Conduct–Performance (framework)</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SD</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Standard deviation</w:t>
            </w:r>
          </w:p>
        </w:tc>
      </w:tr>
      <w:tr>
        <w:tc>
          <w:tcPr>
            <w:tcW w:w="2100"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WIO</w:t>
            </w:r>
          </w:p>
        </w:tc>
        <w:tc>
          <w:tcPr>
            <w:tcW w:w="6926" w:type="dxa"/>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Western Indian Ocean</w:t>
            </w:r>
          </w:p>
        </w:tc>
      </w:tr>
      <w:tr>
        <w:tc>
          <w:tcPr>
            <w:tcW w:w="2100"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χ²</w:t>
            </w:r>
          </w:p>
        </w:tc>
        <w:tc>
          <w:tcPr>
            <w:tcW w:w="6926" w:type="dxa"/>
            <w:tcBorders>
              <w:bottom w:val="single" w:sz="8" w:space="0" w:color="000000"/>
            </w:tcBorders>
            <w:tcMar>
              <w:top w:w="40" w:type="dxa"/>
              <w:left w:w="80" w:type="dxa"/>
              <w:bottom w:w="40" w:type="dxa"/>
              <w:right w:w="80" w:type="dxa"/>
            </w:tcMar>
            <w:vAlign w:val="center"/>
          </w:tcPr>
          <w:p>
            <w:pPr>
              <w:spacing w:before="20" w:after="20" w:line="240" w:lineRule="auto"/>
            </w:pPr>
            <w:r>
              <w:rPr>
                <w:rFonts w:ascii="Times New Roman" w:hAnsi="Times New Roman" w:cs="Times New Roman"/>
                <w:sz w:val="24"/>
                <w:color w:val="000000"/>
              </w:rPr>
              <w:t xml:space="preserve">Chi-square test statistic</w:t>
            </w:r>
          </w:p>
        </w:tc>
      </w:tr>
    </w:tbl>
    <w:p>
      <w:pPr>
        <w:spacing w:before="0" w:after="120" w:line="276" w:lineRule="auto"/>
      </w:pPr>
    </w:p>
    <w:p w14:paraId="31E16207" w14:textId="77777777" w:rsidR="00221112" w:rsidRPr="00DE5E47" w:rsidRDefault="00C14051">
      <w:pPr>
        <w:pStyle w:val="Heading1"/>
        <w:ind w:left="2977"/>
        <w:jc w:val="both"/>
        <w:outlineLvl w:val="0"/>
        <w:rPr>
          <w:rFonts w:cs="Times New Roman"/>
          <w:szCs w:val="24"/>
        </w:rPr>
      </w:pPr>
      <w:bookmarkStart w:id="52004" w:name="_Toc_4"/>
      <w:bookmarkStart w:id="16" w:name="_Toc236308214"/>
      <w:bookmarkStart w:id="17" w:name="_Toc236311273"/>
      <w:bookmarkStart w:id="18" w:name="_Toc236308046"/>
      <w:bookmarkStart w:id="19" w:name="_Toc236308460"/>
      <w:bookmarkStart w:id="20" w:name="_Toc236307926"/>
      <w:bookmarkStart w:id="21" w:name="_Toc76558178"/>
      <w:bookmarkStart w:id="22" w:name="_Toc69041134"/>
      <w:bookmarkStart w:id="23" w:name="_Toc240214080"/>
      <w:bookmarkStart w:id="24" w:name="_Toc241432217"/>
      <w:bookmarkEnd w:id="1"/>
      <w:bookmarkEnd w:id="2"/>
      <w:bookmarkEnd w:id="16"/>
      <w:bookmarkEnd w:id="17"/>
      <w:bookmarkEnd w:id="18"/>
      <w:bookmarkEnd w:id="19"/>
      <w:bookmarkEnd w:id="20"/>
      <w:r w:rsidRPr="00DE5E47">
        <w:rPr>
          <w:rFonts w:cs="Times New Roman"/>
          <w:szCs w:val="24"/>
        </w:rPr>
        <w:lastRenderedPageBreak/>
        <w:t xml:space="preserve">CHAPTER ONE: INTRODUCTION</w:t>
      </w:r>
      <w:bookmarkEnd w:id="21"/>
      <w:bookmarkEnd w:id="22"/>
      <w:bookmarkEnd w:id="23"/>
      <w:bookmarkEnd w:id="24"/>
      <w:bookmarkEnd w:id="52004"/>
    </w:p>
    <w:p w14:paraId="2E7A6569" w14:textId="77777777" w:rsidR="00221112" w:rsidRPr="00DE5E47" w:rsidRDefault="00C14051">
      <w:pPr>
        <w:pStyle w:val="Heading2"/>
        <w:jc w:val="both"/>
        <w:outlineLvl w:val="1"/>
        <w:rPr>
          <w:rFonts w:cs="Times New Roman"/>
          <w:szCs w:val="24"/>
        </w:rPr>
      </w:pPr>
      <w:bookmarkStart w:id="52005" w:name="_Toc_5"/>
      <w:bookmarkStart w:id="25" w:name="_Toc240214081"/>
      <w:bookmarkStart w:id="26" w:name="_Toc241432218"/>
      <w:r w:rsidRPr="00DE5E47">
        <w:rPr>
          <w:rFonts w:cs="Times New Roman"/>
          <w:szCs w:val="24"/>
        </w:rPr>
        <w:t xml:space="preserve">1.1 Background information</w:t>
      </w:r>
      <w:bookmarkEnd w:id="25"/>
      <w:bookmarkEnd w:id="26"/>
      <w:bookmarkEnd w:id="52005"/>
    </w:p>
    <w:p w14:paraId="28912FD5" w14:textId="77777777" w:rsidR="00221112" w:rsidRPr="00DE5E47" w:rsidRDefault="00C14051">
      <w:pPr>
        <w:spacing w:line="480" w:lineRule="auto"/>
        <w:jc w:val="both"/>
        <w:rPr>
          <w:rFonts w:cs="Times New Roman"/>
          <w:sz w:val="24"/>
          <w:szCs w:val="24"/>
        </w:rPr>
      </w:pPr>
      <w:r>
        <w:t>Mud crabs (Scylla spp.), including Scylla serrata, are high-value crustaceans traded in tropical and subtropical regions. Demand for live, hard-shell and soft-shell crabs supports coastal livelihoods and aquaculture, but much of the supply still depends on wild stocks, wild-caught juveniles and mangrove habitats. Market conditions therefore matter to both income and resource use: demand, grading and price can shape harvesting decisions as directly as biological factors.</w:t>
      </w:r>
    </w:p>
    <w:p w14:paraId="64E4CB2E" w14:textId="77777777" w:rsidR="00221112" w:rsidRPr="00DE5E47" w:rsidRDefault="00C14051">
      <w:pPr>
        <w:spacing w:line="480" w:lineRule="auto"/>
        <w:jc w:val="both"/>
        <w:rPr>
          <w:rFonts w:cs="Times New Roman"/>
          <w:sz w:val="24"/>
          <w:szCs w:val="24"/>
        </w:rPr>
      </w:pPr>
      <w:r>
        <w:t>Across the Western Indian Ocean, artisanal fishers harvest mud crabs in nearshore mangroves, often on foot or from small canoes. Commercialisation has linked these fishers to traders, hotels and export markets. Those links create income opportunities, but they also determine who has market information, who sets grades and prices, and who bears the cost of keeping crabs alive.</w:t>
      </w:r>
    </w:p>
    <w:p w14:paraId="38538485" w14:textId="77777777" w:rsidR="00221112" w:rsidRPr="00DE5E47" w:rsidRDefault="00C14051">
      <w:pPr>
        <w:spacing w:line="480" w:lineRule="auto"/>
        <w:jc w:val="both"/>
        <w:rPr>
          <w:rFonts w:cs="Times New Roman"/>
          <w:sz w:val="24"/>
          <w:szCs w:val="24"/>
        </w:rPr>
      </w:pPr>
      <w:r>
        <w:t>On the Kenyan coast, Scylla serrata is one of the commercially important crustaceans available to small-scale fishers with relatively little equipment. Demand from hotels, local markets and export buyers has raised its commercial value. At the same time, reports of smaller crabs and the capture of immature animals suggest pressure on stocks and mangrove-dependent habitats. Market analysis is therefore relevant to both livelihoods and management.</w:t>
      </w:r>
    </w:p>
    <w:p w14:paraId="770FAFDD" w14:textId="77777777" w:rsidR="00221112" w:rsidRPr="00DE5E47" w:rsidRDefault="00C14051">
      <w:pPr>
        <w:spacing w:line="480" w:lineRule="auto"/>
        <w:jc w:val="both"/>
        <w:rPr>
          <w:rFonts w:cs="Times New Roman"/>
          <w:sz w:val="24"/>
          <w:szCs w:val="24"/>
        </w:rPr>
      </w:pPr>
      <w:r>
        <w:t>Kenyan research has examined the biology and ecology of mud crabs more closely than their markets. Yet fishers also respond to the prices buyers offer, the grades buyers apply, access to alternative outlets, transport, credit and payment terms. When these conditions are poorly understood, management may address harvesting without addressing the incentives that influence it.</w:t>
      </w:r>
    </w:p>
    <w:p w14:paraId="2FDAB16A" w14:textId="77777777" w:rsidR="00221112" w:rsidRPr="00DE5E47" w:rsidRDefault="00C14051">
      <w:pPr>
        <w:spacing w:line="480" w:lineRule="auto"/>
        <w:jc w:val="both"/>
        <w:rPr>
          <w:rFonts w:cs="Times New Roman"/>
          <w:sz w:val="24"/>
          <w:szCs w:val="24"/>
        </w:rPr>
      </w:pPr>
      <w:r>
        <w:t xml:space="preserve">The trade connects fishers, brokers, traders, retailers, hoteliers, exporters and consumers through grading, pricing, storage, transport, packaging and credit. At many landing sites, buyers grade and price crabs informally. Fishers who lack an independent price reference or another buyer may have little room to </w:t>
      </w:r>
      <w:r>
        <w:lastRenderedPageBreak/>
        <w:t>challenge those decisions. Market organisation can therefore affect bargaining power and the distribution of returns along the chain.</w:t>
      </w:r>
    </w:p>
    <w:p w14:paraId="73D4FA5C" w14:textId="77777777" w:rsidR="00221112" w:rsidRPr="00DE5E47" w:rsidRDefault="00C14051">
      <w:pPr>
        <w:spacing w:line="480" w:lineRule="auto"/>
        <w:jc w:val="both"/>
        <w:rPr>
          <w:rFonts w:cs="Times New Roman"/>
          <w:sz w:val="24"/>
          <w:szCs w:val="24"/>
        </w:rPr>
      </w:pPr>
      <w:r>
        <w:t>Post-harvest handling is especially important because mud crabs are usually sold alive and their value depends on size, condition and survival. Poor containment, unsuitable packaging and long journeys can cause mortality or reduce quality. These losses lower returns without reducing fishing effort and may encourage additional harvesting to replace lost income.</w:t>
      </w:r>
    </w:p>
    <w:p w14:paraId="4C9586DE" w14:textId="77777777" w:rsidR="00221112" w:rsidRPr="00DE5E47" w:rsidRDefault="00C14051">
      <w:pPr>
        <w:spacing w:line="480" w:lineRule="auto"/>
        <w:jc w:val="both"/>
        <w:rPr>
          <w:rFonts w:cs="Times New Roman"/>
          <w:sz w:val="24"/>
          <w:szCs w:val="24"/>
        </w:rPr>
      </w:pPr>
      <w:r>
        <w:t>Kenya’s Blue Economy agenda has renewed interest in mud crabs as a source of food, income and coastal employment. Crab fattening, community-based aquaculture and hatchery development are among the proposed alternatives to greater pressure on wild stocks. Their value, however, depends on the market that already exists: who controls grades and prices, how crabs reach buyers, and where actors incur losses.</w:t>
      </w:r>
    </w:p>
    <w:p w14:paraId="1F63DEC6" w14:textId="77777777" w:rsidR="00221112" w:rsidRPr="00DE5E47" w:rsidRDefault="00C14051">
      <w:pPr>
        <w:spacing w:line="480" w:lineRule="auto"/>
        <w:jc w:val="both"/>
        <w:rPr>
          <w:rFonts w:cs="Times New Roman"/>
          <w:sz w:val="24"/>
          <w:szCs w:val="24"/>
        </w:rPr>
      </w:pPr>
      <w:r>
        <w:t>Kwale County supports active mud crab harvesting in mangrove creeks and supplies traders, hotels and export-oriented markets. Even so, there is limited evidence on the roles of different actors, the way grades and prices are set, how crabs are transported and packaged, the payment arrangements used, and the constraints faced at each market node. This study addresses that gap by examining the market structure and day-to-day business practices of the South Coast mud crab fishery.</w:t>
      </w:r>
    </w:p>
    <w:p w14:paraId="55660987" w14:textId="77777777" w:rsidR="00221112" w:rsidRPr="00DE5E47" w:rsidRDefault="00C14051">
      <w:pPr>
        <w:pStyle w:val="Heading2"/>
        <w:jc w:val="both"/>
        <w:outlineLvl w:val="1"/>
        <w:rPr>
          <w:rFonts w:cs="Times New Roman"/>
          <w:szCs w:val="24"/>
        </w:rPr>
      </w:pPr>
      <w:bookmarkStart w:id="52006" w:name="_Toc_6"/>
      <w:bookmarkStart w:id="27" w:name="_Toc240214082"/>
      <w:bookmarkStart w:id="28" w:name="_Toc241432219"/>
      <w:r w:rsidRPr="00DE5E47">
        <w:rPr>
          <w:rFonts w:cs="Times New Roman"/>
          <w:szCs w:val="24"/>
        </w:rPr>
        <w:t xml:space="preserve">1.2 Statement of the problem</w:t>
      </w:r>
      <w:bookmarkEnd w:id="27"/>
      <w:bookmarkEnd w:id="28"/>
      <w:bookmarkEnd w:id="52006"/>
    </w:p>
    <w:p w14:paraId="46885157" w14:textId="77777777" w:rsidR="00221112" w:rsidRPr="00DE5E47" w:rsidRDefault="00C14051">
      <w:pPr>
        <w:spacing w:line="480" w:lineRule="auto"/>
        <w:jc w:val="both"/>
        <w:rPr>
          <w:rFonts w:cs="Times New Roman"/>
          <w:sz w:val="24"/>
          <w:szCs w:val="24"/>
        </w:rPr>
      </w:pPr>
      <w:r>
        <w:t>Mud crab fishing on Kenya’s South Coast contributes to livelihoods and food security, but the marketing system is not well documented. Demand from local, tourism-linked and export markets has grown alongside concern about pressure on the resource (Fondo et al., 2020; Mirera, 2017a; Fondo &amp; Ogutu, 2021).</w:t>
      </w:r>
    </w:p>
    <w:p w14:paraId="76A55383" w14:textId="77777777" w:rsidR="00221112" w:rsidRPr="00DE5E47" w:rsidRDefault="00C14051">
      <w:pPr>
        <w:spacing w:line="480" w:lineRule="auto"/>
        <w:jc w:val="both"/>
        <w:rPr>
          <w:rFonts w:cs="Times New Roman"/>
          <w:sz w:val="24"/>
          <w:szCs w:val="24"/>
        </w:rPr>
      </w:pPr>
      <w:r>
        <w:t>Previous studies have concentrated on mud crab biology, ecology, production and aquaculture, including population structure, maturity, exploitation pressure, capture-based aquaculture and small-scale culture (Fondo et al., 2020; Mirera, 2014a; Mirera, 2017a). Much less is known about how actor characteristics vary with market roles, access to buyers, collective organisation, technology, credit, payment terms and bargaining conditions. This leaves important gaps in the evidence on where value is added and how gross returns are distributed.</w:t>
      </w:r>
      <w:r/>
    </w:p>
    <w:p w14:paraId="3F81D1C9" w14:textId="77777777" w:rsidR="00221112" w:rsidRPr="00DE5E47" w:rsidRDefault="00C14051">
      <w:pPr>
        <w:spacing w:line="480" w:lineRule="auto"/>
        <w:jc w:val="both"/>
        <w:rPr>
          <w:rFonts w:cs="Times New Roman"/>
          <w:sz w:val="24"/>
          <w:szCs w:val="24"/>
        </w:rPr>
      </w:pPr>
      <w:r>
        <w:t>Available studies point to unstable prices, weak market links, limited participation in organised groups and uneven management support (Mirera, 2014a; Mirera, 2017a; Fondo &amp; Ogutu, 2021). These conditions may restrict income, particularly for small-scale fishers, and can reinforce harvesting pressure when demand is met mainly from wild stocks (Fondo et al., 2020; FAO, 2025). Opportunities for better handling, market access and value addition are difficult to design without evidence from the actors involved.</w:t>
      </w:r>
    </w:p>
    <w:p w14:paraId="7259D5F9" w14:textId="77777777" w:rsidR="00221112" w:rsidRPr="00DE5E47" w:rsidRDefault="00C14051">
      <w:pPr>
        <w:spacing w:line="480" w:lineRule="auto"/>
        <w:jc w:val="both"/>
        <w:rPr>
          <w:rFonts w:cs="Times New Roman"/>
          <w:sz w:val="24"/>
          <w:szCs w:val="24"/>
        </w:rPr>
      </w:pPr>
      <w:r>
        <w:t>The practical problem is therefore an evidence gap. Without a clear account of market structure, actor functions and the constraints encountered at each node, interventions may address one part of the chain while leaving the underlying trading conditions unchanged. The study provides that account for the South Coast of Kenya.</w:t>
      </w:r>
    </w:p>
    <w:p w14:paraId="7B729602" w14:textId="77777777" w:rsidR="00221112" w:rsidRPr="00DE5E47" w:rsidRDefault="00C14051">
      <w:pPr>
        <w:pStyle w:val="Heading2"/>
        <w:jc w:val="both"/>
        <w:outlineLvl w:val="1"/>
        <w:rPr>
          <w:rFonts w:cs="Times New Roman"/>
          <w:szCs w:val="24"/>
        </w:rPr>
      </w:pPr>
      <w:bookmarkStart w:id="52007" w:name="_Toc_7"/>
      <w:bookmarkStart w:id="29" w:name="_Toc235346783"/>
      <w:bookmarkStart w:id="30" w:name="_Toc235347391"/>
      <w:bookmarkStart w:id="31" w:name="_Toc235350901"/>
      <w:bookmarkStart w:id="32" w:name="_Toc235347568"/>
      <w:bookmarkStart w:id="33" w:name="_Toc235350900"/>
      <w:bookmarkStart w:id="34" w:name="_Toc235350902"/>
      <w:bookmarkStart w:id="35" w:name="_Toc235347567"/>
      <w:bookmarkStart w:id="36" w:name="_Toc235351193"/>
      <w:bookmarkStart w:id="37" w:name="_Toc235346782"/>
      <w:bookmarkStart w:id="38" w:name="_Toc235347468"/>
      <w:bookmarkStart w:id="39" w:name="_Toc235347571"/>
      <w:bookmarkStart w:id="40" w:name="_Toc235351194"/>
      <w:bookmarkStart w:id="41" w:name="_Toc235347470"/>
      <w:bookmarkStart w:id="42" w:name="_Toc235347393"/>
      <w:bookmarkStart w:id="43" w:name="_Toc235350904"/>
      <w:bookmarkStart w:id="44" w:name="_Toc235347390"/>
      <w:bookmarkStart w:id="45" w:name="_Toc235347392"/>
      <w:bookmarkStart w:id="46" w:name="_Toc235347570"/>
      <w:bookmarkStart w:id="47" w:name="_Toc235346779"/>
      <w:bookmarkStart w:id="48" w:name="_Toc235350903"/>
      <w:bookmarkStart w:id="49" w:name="_Toc235351195"/>
      <w:bookmarkStart w:id="50" w:name="_Toc235346781"/>
      <w:bookmarkStart w:id="51" w:name="_Toc235351196"/>
      <w:bookmarkStart w:id="52" w:name="_Toc235351192"/>
      <w:bookmarkStart w:id="53" w:name="_Toc235347471"/>
      <w:bookmarkStart w:id="54" w:name="_Toc235347469"/>
      <w:bookmarkStart w:id="55" w:name="_Toc235347467"/>
      <w:bookmarkStart w:id="56" w:name="_Toc235347569"/>
      <w:bookmarkStart w:id="57" w:name="_Toc235347394"/>
      <w:bookmarkStart w:id="58" w:name="_Toc235346780"/>
      <w:bookmarkStart w:id="59" w:name="_Toc69041138"/>
      <w:bookmarkStart w:id="60" w:name="_Toc76558182"/>
      <w:bookmarkStart w:id="61" w:name="_Toc240214083"/>
      <w:bookmarkStart w:id="62" w:name="_Hlk157261415"/>
      <w:bookmarkStart w:id="63" w:name="_Toc241432220"/>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r w:rsidRPr="00DE5E47">
        <w:rPr>
          <w:rFonts w:cs="Times New Roman"/>
          <w:szCs w:val="24"/>
        </w:rPr>
        <w:t xml:space="preserve">1.3 Objectives of the Study</w:t>
      </w:r>
      <w:bookmarkEnd w:id="59"/>
      <w:bookmarkEnd w:id="60"/>
      <w:bookmarkEnd w:id="61"/>
      <w:bookmarkEnd w:id="63"/>
      <w:bookmarkEnd w:id="52007"/>
    </w:p>
    <w:p w14:paraId="75F1C1EF" w14:textId="77777777" w:rsidR="00221112" w:rsidRPr="00DE5E47" w:rsidRDefault="00C14051">
      <w:pPr>
        <w:pStyle w:val="Heading3"/>
        <w:jc w:val="both"/>
        <w:outlineLvl w:val="2"/>
        <w:rPr>
          <w:rFonts w:cs="Times New Roman"/>
        </w:rPr>
      </w:pPr>
      <w:bookmarkStart w:id="52008" w:name="_Toc_8"/>
      <w:bookmarkStart w:id="64" w:name="_Toc76558183"/>
      <w:bookmarkStart w:id="65" w:name="_Toc69041139"/>
      <w:bookmarkStart w:id="66" w:name="_Toc240214084"/>
      <w:bookmarkStart w:id="67" w:name="_Toc241432221"/>
      <w:r w:rsidRPr="00DE5E47">
        <w:rPr>
          <w:rFonts w:cs="Times New Roman"/>
        </w:rPr>
        <w:t xml:space="preserve">1.3.1 General Objective</w:t>
      </w:r>
      <w:bookmarkEnd w:id="64"/>
      <w:bookmarkEnd w:id="65"/>
      <w:bookmarkEnd w:id="66"/>
      <w:bookmarkEnd w:id="67"/>
      <w:bookmarkEnd w:id="52008"/>
    </w:p>
    <w:p w14:paraId="56A9EDBA" w14:textId="77777777" w:rsidR="00221112" w:rsidRPr="00DE5E47" w:rsidRDefault="00C14051">
      <w:pPr>
        <w:spacing w:line="480" w:lineRule="auto"/>
        <w:jc w:val="both"/>
        <w:rPr>
          <w:rFonts w:cs="Times New Roman"/>
          <w:sz w:val="24"/>
          <w:szCs w:val="24"/>
        </w:rPr>
      </w:pPr>
      <w:r>
        <w:t>The overall objective was to analyse the market structure of the mud crab fishery on the South Coast of Kenya.</w:t>
      </w:r>
    </w:p>
    <w:p w14:paraId="5011D4CE" w14:textId="77777777" w:rsidR="00221112" w:rsidRPr="00DE5E47" w:rsidRDefault="00C14051">
      <w:pPr>
        <w:pStyle w:val="Heading3"/>
        <w:jc w:val="both"/>
        <w:outlineLvl w:val="2"/>
        <w:rPr>
          <w:rFonts w:cs="Times New Roman"/>
        </w:rPr>
      </w:pPr>
      <w:bookmarkStart w:id="52009" w:name="_Toc_9"/>
      <w:bookmarkStart w:id="68" w:name="_Toc240214085"/>
      <w:bookmarkStart w:id="69" w:name="_Toc241432222"/>
      <w:r w:rsidRPr="00DE5E47">
        <w:rPr>
          <w:rFonts w:cs="Times New Roman"/>
        </w:rPr>
        <w:t xml:space="preserve">1.3.2 Specific objectives</w:t>
      </w:r>
      <w:bookmarkEnd w:id="68"/>
      <w:bookmarkEnd w:id="69"/>
      <w:bookmarkEnd w:id="52009"/>
    </w:p>
    <w:p w14:paraId="571DD3AD" w14:textId="77777777" w:rsidR="00221112" w:rsidRPr="00DE5E47" w:rsidRDefault="00C14051">
      <w:pPr>
        <w:spacing w:line="480" w:lineRule="auto"/>
        <w:jc w:val="both"/>
        <w:rPr>
          <w:rFonts w:cs="Times New Roman"/>
          <w:sz w:val="24"/>
          <w:szCs w:val="24"/>
        </w:rPr>
      </w:pPr>
      <w:r>
        <w:t>The study addressed the following specific objectives:</w:t>
      </w:r>
    </w:p>
    <w:p w14:paraId="2E4E82D1" w14:textId="77777777" w:rsidR="00221112" w:rsidRPr="00DE5E47" w:rsidRDefault="00C14051">
      <w:pPr>
        <w:numPr>
          <w:ilvl w:val="0"/>
          <w:numId w:val="3"/>
        </w:numPr>
        <w:spacing w:line="480" w:lineRule="auto"/>
        <w:jc w:val="both"/>
        <w:rPr>
          <w:rFonts w:cs="Times New Roman"/>
          <w:sz w:val="24"/>
          <w:szCs w:val="24"/>
        </w:rPr>
      </w:pPr>
      <w:r>
        <w:t>1. To profile mud crab fishery actors and their characteristics.</w:t>
      </w:r>
    </w:p>
    <w:p w14:paraId="14FD6624" w14:textId="77777777" w:rsidR="00221112" w:rsidRPr="00DE5E47" w:rsidRDefault="00C14051">
      <w:pPr>
        <w:numPr>
          <w:ilvl w:val="0"/>
          <w:numId w:val="3"/>
        </w:numPr>
        <w:spacing w:line="480" w:lineRule="auto"/>
        <w:jc w:val="both"/>
        <w:rPr>
          <w:rFonts w:cs="Times New Roman"/>
          <w:sz w:val="24"/>
          <w:szCs w:val="24"/>
        </w:rPr>
      </w:pPr>
      <w:r>
        <w:t>2. To examine the functions performed by mud crab fishery actors at each market node.</w:t>
      </w:r>
    </w:p>
    <w:p w14:paraId="5844413A" w14:textId="77777777" w:rsidR="00DD0A67" w:rsidRPr="00DE5E47" w:rsidRDefault="00C14051" w:rsidP="00DD0A67">
      <w:pPr>
        <w:numPr>
          <w:ilvl w:val="0"/>
          <w:numId w:val="3"/>
        </w:numPr>
        <w:spacing w:line="480" w:lineRule="auto"/>
        <w:jc w:val="both"/>
        <w:rPr>
          <w:rFonts w:cs="Times New Roman"/>
          <w:sz w:val="24"/>
          <w:szCs w:val="24"/>
        </w:rPr>
      </w:pPr>
      <w:r>
        <w:t>3. To assess the constraints and opportunities reported by each actor category.</w:t>
      </w:r>
    </w:p>
    <w:p w14:paraId="4D873938" w14:textId="77777777" w:rsidR="00DD0A67" w:rsidRPr="00DE5E47" w:rsidRDefault="00DD0A67" w:rsidP="00DD0A67">
      <w:pPr>
        <w:tabs>
          <w:tab w:val="left" w:pos="2136"/>
        </w:tabs>
        <w:rPr>
          <w:rFonts w:cs="Times New Roman"/>
          <w:sz w:val="24"/>
          <w:szCs w:val="24"/>
        </w:rPr>
        <w:sectPr w:rsidR="00DD0A67" w:rsidRPr="00DE5E47">
          <w:footerReference w:type="default" r:id="rId12"/>
          <w:pgSz w:w="12240" w:h="15840"/>
          <w:pgMar w:top="1440" w:right="1440" w:bottom="1440" w:left="1440" w:header="504" w:footer="504" w:gutter="0"/>
          <w:cols w:space="720"/>
          <w:docGrid w:linePitch="360"/>
        </w:sectPr>
      </w:pPr>
      <w:r w:rsidRPr="00DE5E47">
        <w:rPr>
          <w:rFonts w:cs="Times New Roman"/>
          <w:sz w:val="24"/>
          <w:szCs w:val="24"/>
        </w:rPr>
        <w:tab/>
      </w:r>
    </w:p>
    <w:p w14:paraId="57AAE971" w14:textId="77777777" w:rsidR="00221112" w:rsidRPr="00DE5E47" w:rsidRDefault="00C14051">
      <w:pPr>
        <w:pStyle w:val="Heading2"/>
        <w:jc w:val="both"/>
        <w:outlineLvl w:val="1"/>
        <w:rPr>
          <w:rFonts w:cs="Times New Roman"/>
          <w:szCs w:val="24"/>
        </w:rPr>
      </w:pPr>
      <w:bookmarkStart w:id="52010" w:name="_Toc_10"/>
      <w:bookmarkStart w:id="70" w:name="_Toc76558184"/>
      <w:bookmarkStart w:id="71" w:name="_Toc69041140"/>
      <w:bookmarkStart w:id="72" w:name="_Toc240214086"/>
      <w:bookmarkStart w:id="73" w:name="_Toc241432223"/>
      <w:r w:rsidRPr="00DE5E47">
        <w:rPr>
          <w:rFonts w:cs="Times New Roman"/>
          <w:szCs w:val="24"/>
        </w:rPr>
        <w:lastRenderedPageBreak/>
        <w:t xml:space="preserve">1.4 Research Questions</w:t>
      </w:r>
      <w:bookmarkEnd w:id="70"/>
      <w:bookmarkEnd w:id="71"/>
      <w:bookmarkEnd w:id="72"/>
      <w:bookmarkEnd w:id="73"/>
      <w:bookmarkEnd w:id="52010"/>
    </w:p>
    <w:p w14:paraId="52CA748F" w14:textId="77777777" w:rsidR="00221112" w:rsidRPr="00DE5E47" w:rsidRDefault="00C14051">
      <w:pPr>
        <w:numPr>
          <w:ilvl w:val="0"/>
          <w:numId w:val="4"/>
        </w:numPr>
        <w:spacing w:line="480" w:lineRule="auto"/>
        <w:jc w:val="both"/>
        <w:rPr>
          <w:rFonts w:cs="Times New Roman"/>
          <w:sz w:val="24"/>
          <w:szCs w:val="24"/>
        </w:rPr>
      </w:pPr>
      <w:r>
        <w:t>1. What are the characteristics of mud crab fishery actors?</w:t>
      </w:r>
    </w:p>
    <w:p w14:paraId="3BE669FE" w14:textId="77777777" w:rsidR="00221112" w:rsidRPr="00DE5E47" w:rsidRDefault="00C14051">
      <w:pPr>
        <w:numPr>
          <w:ilvl w:val="0"/>
          <w:numId w:val="4"/>
        </w:numPr>
        <w:spacing w:line="480" w:lineRule="auto"/>
        <w:jc w:val="both"/>
        <w:rPr>
          <w:rFonts w:cs="Times New Roman"/>
          <w:sz w:val="24"/>
          <w:szCs w:val="24"/>
        </w:rPr>
      </w:pPr>
      <w:r>
        <w:t>2. What functions do mud crab fishery actors perform at each market node?</w:t>
      </w:r>
    </w:p>
    <w:p w14:paraId="117CF929" w14:textId="77777777" w:rsidR="00221112" w:rsidRPr="00DE5E47" w:rsidRDefault="00C14051">
      <w:pPr>
        <w:numPr>
          <w:ilvl w:val="0"/>
          <w:numId w:val="4"/>
        </w:numPr>
        <w:spacing w:line="480" w:lineRule="auto"/>
        <w:jc w:val="both"/>
        <w:rPr>
          <w:rFonts w:cs="Times New Roman"/>
          <w:sz w:val="24"/>
          <w:szCs w:val="24"/>
        </w:rPr>
      </w:pPr>
      <w:r>
        <w:t>3. What constraints and opportunities are reported by each actor category?</w:t>
      </w:r>
    </w:p>
    <w:p w14:paraId="026F631B" w14:textId="77777777" w:rsidR="00221112" w:rsidRPr="00DE5E47" w:rsidRDefault="00C14051">
      <w:pPr>
        <w:pStyle w:val="Heading2"/>
        <w:jc w:val="both"/>
        <w:outlineLvl w:val="1"/>
        <w:rPr>
          <w:rFonts w:cs="Times New Roman"/>
          <w:szCs w:val="24"/>
        </w:rPr>
      </w:pPr>
      <w:bookmarkStart w:id="52011" w:name="_Toc_11"/>
      <w:bookmarkStart w:id="74" w:name="_Toc240214087"/>
      <w:bookmarkStart w:id="75" w:name="_Toc241432224"/>
      <w:bookmarkEnd w:id="62"/>
      <w:r w:rsidRPr="00DE5E47">
        <w:rPr>
          <w:rFonts w:cs="Times New Roman"/>
          <w:szCs w:val="24"/>
        </w:rPr>
        <w:t xml:space="preserve">1.5 Significance of the study</w:t>
      </w:r>
      <w:bookmarkEnd w:id="74"/>
      <w:bookmarkEnd w:id="75"/>
      <w:bookmarkEnd w:id="52011"/>
    </w:p>
    <w:p w14:paraId="0639A1AF" w14:textId="77777777" w:rsidR="00221112" w:rsidRPr="00DE5E47" w:rsidRDefault="00C14051">
      <w:pPr>
        <w:pStyle w:val="NormalWeb"/>
        <w:spacing w:line="480" w:lineRule="auto"/>
        <w:jc w:val="both"/>
      </w:pPr>
      <w:r>
        <w:t>The study documents a part of the South Coast mud crab fishery that is often discussed but rarely measured: the organisation of exchange between harvesters, traders and downstream buyers.</w:t>
      </w:r>
    </w:p>
    <w:p w14:paraId="6BFC63C2" w14:textId="77777777" w:rsidR="00221112" w:rsidRPr="00DE5E47" w:rsidRDefault="00C14051">
      <w:pPr>
        <w:pStyle w:val="NormalWeb"/>
        <w:spacing w:line="480" w:lineRule="auto"/>
        <w:jc w:val="both"/>
      </w:pPr>
      <w:r>
        <w:t>The analysis connects actor profiles with grading, pricing, transport, packaging and payment practices. It also identifies where respondents reported limited market access, post-harvest loss, weak infrastructure or gaps in institutional support.</w:t>
      </w:r>
    </w:p>
    <w:p w14:paraId="4C8BE840" w14:textId="77777777" w:rsidR="00221112" w:rsidRPr="00DE5E47" w:rsidRDefault="00C14051">
      <w:pPr>
        <w:pStyle w:val="NormalWeb"/>
        <w:spacing w:line="480" w:lineRule="auto"/>
        <w:jc w:val="both"/>
      </w:pPr>
      <w:r>
        <w:t>For fishers and traders, the results provide a basis for clearer grades, more transparent prices and better live-crab handling. They also show where transport, packaging and payment arrangements may expose actors to avoidable loss or dependence.</w:t>
      </w:r>
    </w:p>
    <w:p w14:paraId="2E59C7A0" w14:textId="77777777" w:rsidR="00221112" w:rsidRPr="00DE5E47" w:rsidRDefault="00C14051">
      <w:pPr>
        <w:pStyle w:val="NormalWeb"/>
        <w:spacing w:line="480" w:lineRule="auto"/>
        <w:jc w:val="both"/>
      </w:pPr>
      <w:r>
        <w:t>For BMUs, county officers and national fisheries agencies, the study offers actor-specific evidence for licensing support, training, infrastructure planning and communication about management measures. The cross-sectional data do not establish causal effects, but they show where practical interventions can be tested.</w:t>
      </w:r>
    </w:p>
    <w:p w14:paraId="454C1FF0" w14:textId="77777777" w:rsidR="00221112" w:rsidRPr="00DE5E47" w:rsidRDefault="00C14051">
      <w:pPr>
        <w:pStyle w:val="NormalWeb"/>
        <w:spacing w:line="480" w:lineRule="auto"/>
        <w:jc w:val="both"/>
      </w:pPr>
      <w:r>
        <w:t>The study also records opportunities for women and young people in processing, hospitality procurement, trade and crab fattening, while recognising that these groups were under-represented in the sample. Academically, it adds a South Coast case to the limited literature on small-scale fishery markets in the Western Indian Ocean.</w:t>
      </w:r>
    </w:p>
    <w:p w14:paraId="147219B9" w14:textId="77777777" w:rsidR="00221112" w:rsidRPr="00DE5E47" w:rsidRDefault="00221112">
      <w:pPr>
        <w:spacing w:before="600" w:after="240" w:line="480" w:lineRule="auto"/>
        <w:contextualSpacing/>
        <w:jc w:val="both"/>
        <w:outlineLvl w:val="0"/>
        <w:rPr>
          <w:rFonts w:eastAsia="Times New Roman" w:cs="Times New Roman"/>
          <w:b/>
          <w:bCs/>
          <w:kern w:val="0"/>
          <w:sz w:val="24"/>
          <w:szCs w:val="24"/>
          <w14:ligatures w14:val="none"/>
        </w:rPr>
        <w:sectPr w:rsidR="00221112" w:rsidRPr="00DE5E47">
          <w:pgSz w:w="12240" w:h="15840"/>
          <w:pgMar w:top="1440" w:right="1440" w:bottom="1440" w:left="1440" w:header="504" w:footer="504" w:gutter="0"/>
          <w:cols w:space="720"/>
          <w:docGrid w:linePitch="360"/>
        </w:sectPr>
      </w:pPr>
    </w:p>
    <w:p w14:paraId="78519862" w14:textId="77777777" w:rsidR="00221112" w:rsidRPr="00DE5E47" w:rsidRDefault="00C14051">
      <w:pPr>
        <w:pStyle w:val="Heading1"/>
        <w:ind w:left="2977"/>
        <w:jc w:val="both"/>
        <w:outlineLvl w:val="0"/>
        <w:rPr>
          <w:rFonts w:cs="Times New Roman"/>
          <w:szCs w:val="24"/>
        </w:rPr>
      </w:pPr>
      <w:bookmarkStart w:id="52012" w:name="_Toc_12"/>
      <w:bookmarkStart w:id="76" w:name="_Toc69041142"/>
      <w:bookmarkStart w:id="77" w:name="_Toc76558186"/>
      <w:bookmarkStart w:id="78" w:name="_Toc240214088"/>
      <w:bookmarkStart w:id="79" w:name="_Toc241432225"/>
      <w:r w:rsidRPr="00DE5E47">
        <w:rPr>
          <w:rFonts w:cs="Times New Roman"/>
          <w:szCs w:val="24"/>
        </w:rPr>
        <w:lastRenderedPageBreak/>
        <w:t xml:space="preserve">CHAPTER TWO: LITERATURE REVIEW</w:t>
      </w:r>
      <w:bookmarkStart w:id="80" w:name="_Toc69041143"/>
      <w:bookmarkStart w:id="81" w:name="_Toc76558187"/>
      <w:bookmarkEnd w:id="76"/>
      <w:bookmarkEnd w:id="77"/>
      <w:bookmarkEnd w:id="78"/>
      <w:bookmarkEnd w:id="79"/>
      <w:bookmarkEnd w:id="52012"/>
    </w:p>
    <w:p w14:paraId="6D4FE10F" w14:textId="77777777" w:rsidR="00221112" w:rsidRPr="00DE5E47" w:rsidRDefault="00C14051">
      <w:pPr>
        <w:pStyle w:val="Heading2"/>
        <w:jc w:val="both"/>
        <w:outlineLvl w:val="1"/>
        <w:rPr>
          <w:rFonts w:cs="Times New Roman"/>
          <w:szCs w:val="24"/>
        </w:rPr>
      </w:pPr>
      <w:bookmarkStart w:id="52013" w:name="_Toc_13"/>
      <w:bookmarkStart w:id="82" w:name="_Toc228037540"/>
      <w:bookmarkStart w:id="83" w:name="_Toc228027949"/>
      <w:bookmarkStart w:id="84" w:name="_Toc228036125"/>
      <w:bookmarkStart w:id="85" w:name="_Toc228027728"/>
      <w:bookmarkStart w:id="86" w:name="_Toc228034521"/>
      <w:bookmarkStart w:id="87" w:name="_Toc228034705"/>
      <w:bookmarkStart w:id="88" w:name="_Toc228026076"/>
      <w:bookmarkStart w:id="89" w:name="_Toc228037385"/>
      <w:bookmarkStart w:id="90" w:name="_Toc228034166"/>
      <w:bookmarkStart w:id="91" w:name="_Toc228026151"/>
      <w:bookmarkStart w:id="92" w:name="_Toc228027805"/>
      <w:bookmarkStart w:id="93" w:name="_Toc228037462"/>
      <w:bookmarkStart w:id="94" w:name="_Toc228037306"/>
      <w:bookmarkStart w:id="95" w:name="_Toc228037618"/>
      <w:bookmarkStart w:id="96" w:name="_Toc240214089"/>
      <w:bookmarkStart w:id="97" w:name="_Toc241432226"/>
      <w:bookmarkEnd w:id="82"/>
      <w:bookmarkEnd w:id="83"/>
      <w:bookmarkEnd w:id="84"/>
      <w:bookmarkEnd w:id="85"/>
      <w:bookmarkEnd w:id="86"/>
      <w:bookmarkEnd w:id="87"/>
      <w:bookmarkEnd w:id="88"/>
      <w:bookmarkEnd w:id="89"/>
      <w:bookmarkEnd w:id="90"/>
      <w:bookmarkEnd w:id="91"/>
      <w:bookmarkEnd w:id="92"/>
      <w:bookmarkEnd w:id="93"/>
      <w:bookmarkEnd w:id="94"/>
      <w:bookmarkEnd w:id="95"/>
      <w:r w:rsidRPr="00DE5E47">
        <w:rPr>
          <w:rFonts w:cs="Times New Roman"/>
          <w:szCs w:val="24"/>
        </w:rPr>
        <w:t xml:space="preserve">2.1 Species biology and Ecological importance</w:t>
      </w:r>
      <w:bookmarkEnd w:id="96"/>
      <w:bookmarkEnd w:id="97"/>
      <w:bookmarkEnd w:id="52013"/>
    </w:p>
    <w:p w14:paraId="2C79E739" w14:textId="77777777" w:rsidR="00221112" w:rsidRPr="00DE5E47" w:rsidRDefault="00C14051">
      <w:pPr>
        <w:spacing w:before="240" w:after="200" w:line="480" w:lineRule="auto"/>
        <w:jc w:val="both"/>
        <w:rPr>
          <w:rFonts w:eastAsia="Times New Roman" w:cs="Times New Roman"/>
          <w:kern w:val="0"/>
          <w:sz w:val="24"/>
          <w:szCs w:val="24"/>
          <w14:ligatures w14:val="none"/>
        </w:rPr>
      </w:pPr>
      <w:r>
        <w:t>The genus Scylla contains four recognised mud crab species: S. serrata, S. tranquebarica, S. olivacea and S. paramamosain (Ogawa et al., 2011). These crabs occur in mangrove estuaries and coastal waters of the Indian and Pacific oceans. Scylla serrata grows by moulting; cultured crabs weighing 33-76 g have recorded daily gains of 0.68-1.58 g, while adults can exceed 2 kg and 250 mm carapace width (Webley, 2008). Females migrate offshore to spawn. The species is a benthic predator of slow-moving crustaceans, gastropods and molluscs and is also cannibalistic (Allan &amp; Fielder, 2003).</w:t>
      </w:r>
    </w:p>
    <w:p>
      <w:pPr>
        <w:spacing w:line="240" w:lineRule="auto" w:after="60"/>
      </w:pPr>
      <w:bookmarkStart w:id="41001" w:name="_Fig1"/>
      <w:r>
        <w:rPr>
          <w:rFonts w:ascii="Times New Roman" w:hAnsi="Times New Roman" w:cs="Times New Roman"/>
          <w:b/>
          <w:sz w:val="24"/>
          <w:szCs w:val="24"/>
          <w:color w:val="000000"/>
        </w:rPr>
        <w:t xml:space="preserve">Figure 1</w:t>
      </w:r>
      <w:bookmarkEnd w:id="41001"/>
    </w:p>
    <w:p>
      <w:pPr>
        <w:spacing w:line="240" w:lineRule="auto" w:after="60"/>
      </w:pPr>
      <w:r>
        <w:rPr>
          <w:rFonts w:ascii="Times New Roman" w:hAnsi="Times New Roman" w:cs="Times New Roman"/>
          <w:i/>
          <w:sz w:val="24"/>
          <w:szCs w:val="24"/>
          <w:color w:val="000000"/>
        </w:rPr>
        <w:t xml:space="preserve">Mangrove mud crab (Scylla serrata)</w:t>
      </w:r>
    </w:p>
    <w:p w14:paraId="5BA84967" w14:textId="77777777" w:rsidR="00221112" w:rsidRPr="00DE5E47" w:rsidRDefault="00C14051" w:rsidP="00DD0A67">
      <w:pPr>
        <w:keepNext/>
        <w:spacing w:before="240" w:after="200" w:line="480" w:lineRule="auto"/>
        <w:jc w:val="center"/>
        <w:rPr>
          <w:rFonts w:cs="Times New Roman"/>
          <w:sz w:val="24"/>
          <w:szCs w:val="24"/>
        </w:rPr>
      </w:pPr>
      <w:r w:rsidRPr="00DE5E47">
        <w:rPr>
          <w:rFonts w:eastAsia="Times New Roman" w:cs="Times New Roman"/>
          <w:noProof/>
          <w:kern w:val="0"/>
          <w:sz w:val="24"/>
          <w:szCs w:val="24"/>
          <w14:ligatures w14:val="none"/>
        </w:rPr>
        <w:drawing>
          <wp:inline distT="0" distB="0" distL="0" distR="0" wp14:anchorId="11F49F9E" wp14:editId="709C310F">
            <wp:extent cx="3657600" cy="2465070"/>
            <wp:effectExtent l="0" t="0" r="0" b="0"/>
            <wp:docPr id="11" name="Picture 11" descr="Grey Mud Crab Frozen Food, Williamson Overseas Trading Corporation | ID:  1834653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ey Mud Crab Frozen Food, Williamson Overseas Trading Corporation | ID:  18346539062"/>
                    <pic:cNvPicPr>
                      <a:picLocks noChangeAspect="1" noChangeArrowheads="1"/>
                    </pic:cNvPicPr>
                  </pic:nvPicPr>
                  <pic:blipFill>
                    <a:blip r:embed="rId13">
                      <a:extLst>
                        <a:ext uri="{28A0092B-C50C-407E-A947-70E740481C1C}">
                          <a14:useLocalDpi xmlns:a14="http://schemas.microsoft.com/office/drawing/2010/main" val="0"/>
                        </a:ext>
                      </a:extLst>
                    </a:blip>
                    <a:srcRect l="2200"/>
                    <a:stretch>
                      <a:fillRect/>
                    </a:stretch>
                  </pic:blipFill>
                  <pic:spPr>
                    <a:xfrm>
                      <a:off x="0" y="0"/>
                      <a:ext cx="3657600" cy="2465070"/>
                    </a:xfrm>
                    <a:prstGeom prst="rect">
                      <a:avLst/>
                    </a:prstGeom>
                    <a:noFill/>
                    <a:ln>
                      <a:noFill/>
                    </a:ln>
                  </pic:spPr>
                </pic:pic>
              </a:graphicData>
            </a:graphic>
          </wp:inline>
        </w:drawing>
      </w:r>
    </w:p>
    <w:p w14:paraId="529B72C3" w14:textId="77777777" w:rsidR="00DD0A67" w:rsidRPr="00DE5E47" w:rsidRDefault="00DD0A67" w:rsidP="00DD0A67">
      <w:pPr>
        <w:rPr>
          <w:rFonts w:cs="Times New Roman"/>
          <w:sz w:val="24"/>
          <w:szCs w:val="24"/>
        </w:rPr>
      </w:pPr>
    </w:p>
    <w:p w14:paraId="308E78B5" w14:textId="77777777" w:rsidR="00221112" w:rsidRPr="00DE5E47" w:rsidRDefault="00C14051">
      <w:pPr>
        <w:pStyle w:val="Heading2"/>
        <w:jc w:val="both"/>
        <w:outlineLvl w:val="1"/>
        <w:rPr>
          <w:rFonts w:eastAsia="Times New Roman" w:cs="Times New Roman"/>
          <w:szCs w:val="24"/>
        </w:rPr>
      </w:pPr>
      <w:bookmarkStart w:id="52014" w:name="_Toc_14"/>
      <w:bookmarkStart w:id="98" w:name="_Toc240214090"/>
      <w:bookmarkStart w:id="99" w:name="_Toc241432227"/>
      <w:r w:rsidRPr="00DE5E47">
        <w:rPr>
          <w:rFonts w:eastAsia="Times New Roman" w:cs="Times New Roman"/>
          <w:szCs w:val="24"/>
        </w:rPr>
        <w:t xml:space="preserve">2.2 Mud crab harvesting strategies</w:t>
      </w:r>
      <w:bookmarkEnd w:id="98"/>
      <w:bookmarkEnd w:id="99"/>
      <w:bookmarkEnd w:id="52014"/>
    </w:p>
    <w:p w14:paraId="64B997BC" w14:textId="77777777" w:rsidR="00221112" w:rsidRPr="00DE5E47" w:rsidRDefault="00C14051">
      <w:pPr>
        <w:spacing w:after="200" w:line="480" w:lineRule="auto"/>
        <w:jc w:val="both"/>
        <w:rPr>
          <w:rFonts w:eastAsia="Times New Roman" w:cs="Times New Roman"/>
          <w:kern w:val="0"/>
          <w:sz w:val="24"/>
          <w:szCs w:val="24"/>
          <w14:ligatures w14:val="none"/>
        </w:rPr>
      </w:pPr>
      <w:r>
        <w:t>Fishing grounds and capture methods vary with the target crab, habitat, tide, available gear and the fisher’s experience (Mirera, 2017a). Reported methods include hand collection, hooks and sticks, baited pots or traps, scoop or seine nets, and hooked metal rods (Richmond et al., 2006; Bonine et al., 2008; Mirera, 2017a). Kenyan fishers commonly remove crabs from mangrove burrows, taking market-sized animals for sale and smaller animals for culture. Harvesting is concentrated around low spring tides, when mangrove areas are accessible (Moser et al., 2005).</w:t>
      </w:r>
      <w:r/>
    </w:p>
    <w:p w14:paraId="3EFEFB49" w14:textId="77777777" w:rsidR="00221112" w:rsidRPr="00DE5E47" w:rsidRDefault="00C14051">
      <w:pPr>
        <w:spacing w:after="200" w:line="480" w:lineRule="auto"/>
        <w:jc w:val="both"/>
        <w:rPr>
          <w:rFonts w:eastAsia="Times New Roman" w:cs="Times New Roman"/>
          <w:kern w:val="0"/>
          <w:sz w:val="24"/>
          <w:szCs w:val="24"/>
          <w14:ligatures w14:val="none"/>
        </w:rPr>
      </w:pPr>
      <w:r>
        <w:t>Along the Kenyan coast, many mud crab fishers work on foot in mangroves and rely on detailed knowledge of burrows and tidal creeks rather than specialised equipment (Fondo et al., 2020; Mirera et al., 2013). Catches may be held at home for several days until enough crabs have been accumulated for sale to a trader (Mirera et al., 2013; Ochiewo et al., 2010). The holding period makes survival and handling part of the marketing problem, not only a harvesting issue.</w:t>
      </w:r>
    </w:p>
    <w:p w14:paraId="56FB0040" w14:textId="77777777" w:rsidR="00221112" w:rsidRPr="00DE5E47" w:rsidRDefault="00C14051">
      <w:pPr>
        <w:spacing w:after="200" w:line="480" w:lineRule="auto"/>
        <w:jc w:val="both"/>
        <w:rPr>
          <w:rFonts w:eastAsia="Times New Roman" w:cs="Times New Roman"/>
          <w:kern w:val="0"/>
          <w:sz w:val="24"/>
          <w:szCs w:val="24"/>
          <w14:ligatures w14:val="none"/>
        </w:rPr>
      </w:pPr>
      <w:r>
        <w:t>The Fisheries Management and Development Act, 2016 provides for designated landing and management arrangements. Mud crab fishers, however, do not always use formal landing sites or licences, so catches may remain outside routine landing records. This weakens the information available for both market planning and stock management.</w:t>
      </w:r>
    </w:p>
    <w:p w14:paraId="76458431" w14:textId="77777777" w:rsidR="00221112" w:rsidRPr="00DE5E47" w:rsidRDefault="00C14051">
      <w:pPr>
        <w:pStyle w:val="Heading2"/>
        <w:jc w:val="both"/>
        <w:outlineLvl w:val="1"/>
        <w:rPr>
          <w:rFonts w:cs="Times New Roman"/>
          <w:szCs w:val="24"/>
        </w:rPr>
      </w:pPr>
      <w:bookmarkStart w:id="52015" w:name="_Toc_15"/>
      <w:bookmarkStart w:id="100" w:name="_Toc240214091"/>
      <w:bookmarkStart w:id="101" w:name="_Toc241432228"/>
      <w:r w:rsidRPr="00DE5E47">
        <w:rPr>
          <w:rFonts w:cs="Times New Roman"/>
          <w:szCs w:val="24"/>
        </w:rPr>
        <w:t xml:space="preserve">2.3 Overview of mud crab fisheries and market structure</w:t>
      </w:r>
      <w:bookmarkEnd w:id="100"/>
      <w:bookmarkEnd w:id="101"/>
      <w:bookmarkEnd w:id="52015"/>
    </w:p>
    <w:p w14:paraId="63ED500C" w14:textId="77777777" w:rsidR="00221112" w:rsidRPr="00DE5E47" w:rsidRDefault="00C14051">
      <w:pPr>
        <w:spacing w:after="200" w:line="480" w:lineRule="auto"/>
        <w:jc w:val="both"/>
        <w:rPr>
          <w:rFonts w:eastAsia="Times New Roman" w:cs="Times New Roman"/>
          <w:kern w:val="0"/>
          <w:sz w:val="24"/>
          <w:szCs w:val="24"/>
          <w14:ligatures w14:val="none"/>
        </w:rPr>
      </w:pPr>
      <w:r>
        <w:t>Scylla serrata is among the more valuable shellfish harvested from tropical mangroves. On Kenya’s South Coast, the fishery provides cash income to coastal households and connects small-scale harvesters with traders and downstream buyers. Its commercial growth has created a longer market chain rather than replacing small-scale production (FAO, 2025).</w:t>
      </w:r>
    </w:p>
    <w:p w14:paraId="2224CD21" w14:textId="77777777" w:rsidR="00221112" w:rsidRPr="00DE5E47" w:rsidRDefault="00C14051">
      <w:pPr>
        <w:spacing w:after="200" w:line="480" w:lineRule="auto"/>
        <w:jc w:val="both"/>
        <w:rPr>
          <w:rFonts w:eastAsia="Times New Roman" w:cs="Times New Roman"/>
          <w:kern w:val="0"/>
          <w:sz w:val="24"/>
          <w:szCs w:val="24"/>
          <w14:ligatures w14:val="none"/>
        </w:rPr>
      </w:pPr>
      <w:r>
        <w:t>Demand for live crabs can increase both harvesting pressure and the value of keeping crabs alive. Evidence from the Western Indian Ocean and other regions suggests that buyer concentration, grade setting and access to markets shape prices and the distribution of gross returns (Jacinto, 2004; Crona et al., 2016). Market structure is therefore relevant to sustainability as well as livelihoods.</w:t>
      </w:r>
    </w:p>
    <w:p w14:paraId="78DE2C9F" w14:textId="77777777" w:rsidR="00221112" w:rsidRPr="00DE5E47" w:rsidRDefault="00C14051">
      <w:pPr>
        <w:pStyle w:val="Heading2"/>
        <w:jc w:val="both"/>
        <w:outlineLvl w:val="1"/>
        <w:rPr>
          <w:rFonts w:cs="Times New Roman"/>
          <w:szCs w:val="24"/>
        </w:rPr>
      </w:pPr>
      <w:bookmarkStart w:id="52016" w:name="_Toc_16"/>
      <w:bookmarkStart w:id="102" w:name="_Toc240214092"/>
      <w:bookmarkStart w:id="103" w:name="_Toc241432229"/>
      <w:r w:rsidRPr="00DE5E47">
        <w:rPr>
          <w:rFonts w:cs="Times New Roman"/>
          <w:szCs w:val="24"/>
        </w:rPr>
        <w:t xml:space="preserve">2.4 Mud crab fishery actors and their characteristics</w:t>
      </w:r>
      <w:bookmarkEnd w:id="102"/>
      <w:bookmarkEnd w:id="103"/>
      <w:bookmarkEnd w:id="52016"/>
    </w:p>
    <w:p w14:paraId="7E62D475"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mud crab fishery involves fishers, brokers or middlemen, traders, wholesalers, retailers and final buyers. Fishers are typically small-scale operators who depend directly on mangrove habitats and use hand collection or simple gear (Mirera et al., 2013). Other actors aggregate, grade, transport, process or sell the catch.</w:t>
      </w:r>
      <w:r/>
    </w:p>
    <w:p w14:paraId="307D80B8" w14:textId="77777777" w:rsidR="00221112" w:rsidRPr="00DE5E47" w:rsidRDefault="00C14051" w:rsidP="00DD0A67">
      <w:pPr>
        <w:spacing w:before="100" w:beforeAutospacing="1" w:after="100" w:afterAutospacing="1" w:line="480" w:lineRule="auto"/>
        <w:jc w:val="both"/>
        <w:rPr>
          <w:rFonts w:eastAsia="Times New Roman" w:cs="Times New Roman"/>
          <w:kern w:val="0"/>
          <w:sz w:val="24"/>
          <w:szCs w:val="24"/>
          <w14:ligatures w14:val="none"/>
        </w:rPr>
      </w:pPr>
      <w:r>
        <w:t>Participation differs by age, experience, education, gender and access to finance. Along the Kenyan coast, mud crab income may support several members of a household, while harvesting and formal leadership have largely been male-dominated. Women are more visible in trade, processing and crab-fattening activities (Ochiewo et al., 2010; Mirera, 2014a). Earlier studies place many Kenyan crab fishers between 23 and 55 years of age and report that primary education is much more common than secondary education among East African crab fishers (Fulanda et al., 2009; Ndanga et al., 2013). These patterns provide useful context, but they do not show whether actor profiles are the same across BMUs or market nodes.</w:t>
      </w:r>
    </w:p>
    <w:p w14:paraId="59BFE231" w14:textId="77777777" w:rsidR="00221112" w:rsidRPr="00DE5E47" w:rsidRDefault="00C14051">
      <w:pPr>
        <w:pStyle w:val="Heading2"/>
        <w:jc w:val="both"/>
        <w:outlineLvl w:val="1"/>
        <w:rPr>
          <w:rFonts w:cs="Times New Roman"/>
          <w:szCs w:val="24"/>
        </w:rPr>
      </w:pPr>
      <w:bookmarkStart w:id="52017" w:name="_Toc_17"/>
      <w:bookmarkStart w:id="104" w:name="_Toc240214093"/>
      <w:bookmarkStart w:id="105" w:name="_Toc241432230"/>
      <w:r w:rsidRPr="00DE5E47">
        <w:rPr>
          <w:rFonts w:cs="Times New Roman"/>
          <w:szCs w:val="24"/>
        </w:rPr>
        <w:t xml:space="preserve">2.5 Functions of actors at different market levels</w:t>
      </w:r>
      <w:bookmarkEnd w:id="104"/>
      <w:bookmarkEnd w:id="105"/>
      <w:bookmarkEnd w:id="52017"/>
    </w:p>
    <w:p w14:paraId="3155595A"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Functions change as crabs move through the chain. Fishers capture crabs by hand, from burrows or with baited gear. The method can affect size, condition and survival, which are relevant to the price offered at first sale (Sultana et al., 2018).</w:t>
      </w:r>
    </w:p>
    <w:p w14:paraId="3251AC96"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Middlemen buy from landing sites or villages, combine catches from several fishers, grade crabs and arrange temporary holding and transport. Their networks connect fishers to distant buyers, but the same position may give them an information and bargaining advantage when fishers have few alternative outlets.</w:t>
      </w:r>
    </w:p>
    <w:p w14:paraId="0256B6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sectPr w:rsidR="00221112" w:rsidRPr="00DE5E47">
          <w:pgSz w:w="12240" w:h="15840"/>
          <w:pgMar w:top="1440" w:right="1440" w:bottom="1440" w:left="1440" w:header="504" w:footer="504" w:gutter="0"/>
          <w:cols w:space="720"/>
          <w:docGrid w:linePitch="360"/>
        </w:sectPr>
      </w:pPr>
      <w:r>
        <w:t>Wholesalers, retailers, hotels, restaurants and exporters place greater emphasis on consistent quality and survival, especially when crabs are traded alive (FAO, 2025). The chain should therefore be examined as a sequence of distinct functions rather than as a single group of ‘traders’.</w:t>
      </w:r>
    </w:p>
    <w:p w14:paraId="53A92AE9" w14:textId="77777777" w:rsidR="00DD0A67" w:rsidRPr="00DE5E47" w:rsidRDefault="00DD0A67" w:rsidP="00DD0A67">
      <w:pPr>
        <w:tabs>
          <w:tab w:val="left" w:pos="780"/>
        </w:tabs>
        <w:rPr>
          <w:rFonts w:eastAsia="Times New Roman" w:cs="Times New Roman"/>
          <w:sz w:val="24"/>
          <w:szCs w:val="24"/>
        </w:rPr>
        <w:sectPr w:rsidR="00DD0A67" w:rsidRPr="00DE5E47">
          <w:type w:val="continuous"/>
          <w:pgSz w:w="12240" w:h="15840"/>
          <w:pgMar w:top="1440" w:right="1440" w:bottom="1440" w:left="1440" w:header="504" w:footer="504" w:gutter="0"/>
          <w:pgNumType w:fmt="lowerRoman"/>
          <w:cols w:space="720"/>
          <w:docGrid w:linePitch="360"/>
        </w:sectPr>
      </w:pPr>
    </w:p>
    <w:p w14:paraId="1BE0001F" w14:textId="77777777" w:rsidR="00221112" w:rsidRPr="00DE5E47" w:rsidRDefault="00C14051">
      <w:pPr>
        <w:pStyle w:val="Heading2"/>
        <w:jc w:val="both"/>
        <w:outlineLvl w:val="1"/>
        <w:rPr>
          <w:rFonts w:eastAsia="Times New Roman" w:cs="Times New Roman"/>
          <w:szCs w:val="24"/>
        </w:rPr>
      </w:pPr>
      <w:bookmarkStart w:id="52018" w:name="_Toc_18"/>
      <w:bookmarkStart w:id="106" w:name="_Toc240214094"/>
      <w:bookmarkStart w:id="107" w:name="_Toc241432231"/>
      <w:r w:rsidRPr="00DE5E47">
        <w:rPr>
          <w:rFonts w:eastAsia="Times New Roman" w:cs="Times New Roman"/>
          <w:szCs w:val="24"/>
        </w:rPr>
        <w:lastRenderedPageBreak/>
        <w:t xml:space="preserve">2.6 Business dynamics of the mud crab fishery</w:t>
      </w:r>
      <w:bookmarkEnd w:id="106"/>
      <w:bookmarkEnd w:id="107"/>
      <w:bookmarkEnd w:id="52018"/>
    </w:p>
    <w:p w14:paraId="7B7156B6" w14:textId="77777777" w:rsidR="00221112" w:rsidRPr="00DE5E47" w:rsidRDefault="00C14051">
      <w:pPr>
        <w:pStyle w:val="Heading3"/>
        <w:jc w:val="both"/>
        <w:outlineLvl w:val="2"/>
        <w:rPr>
          <w:rFonts w:eastAsia="Times New Roman" w:cs="Times New Roman"/>
          <w:kern w:val="36"/>
        </w:rPr>
      </w:pPr>
      <w:bookmarkStart w:id="52019" w:name="_Toc_19"/>
      <w:r w:rsidRPr="00DE5E47">
        <w:rPr>
          <w:rFonts w:eastAsia="Times New Roman" w:cs="Times New Roman"/>
        </w:rPr>
        <w:t xml:space="preserve">2.6.1 Overview of mud crab business dynamics</w:t>
      </w:r>
      <w:bookmarkStart w:id="108" w:name="_Toc240214095"/>
      <w:bookmarkStart w:id="109" w:name="_Toc241432232"/>
      <w:bookmarkEnd w:id="108"/>
      <w:bookmarkEnd w:id="109"/>
      <w:bookmarkEnd w:id="52019"/>
    </w:p>
    <w:p w14:paraId="46187FD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trade depends on keeping a live, perishable product in saleable condition. Grading, price setting, transport, packaging and payment are therefore part of production economics, not secondary activities (FAO, 2025).</w:t>
      </w:r>
    </w:p>
    <w:p w14:paraId="34EC974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These practices distribute both opportunity and risk. The actor who controls grading or transport may reach a higher-value buyer, while the actor holding live crabs bears the risk of mortality, delayed payment or a rejected consignment.</w:t>
      </w:r>
    </w:p>
    <w:p w14:paraId="737509AF" w14:textId="77777777" w:rsidR="00221112" w:rsidRPr="00DE5E47" w:rsidRDefault="00C14051">
      <w:pPr>
        <w:pStyle w:val="Heading3"/>
        <w:jc w:val="both"/>
        <w:outlineLvl w:val="2"/>
        <w:rPr>
          <w:rFonts w:eastAsia="Times New Roman" w:cs="Times New Roman"/>
        </w:rPr>
      </w:pPr>
      <w:bookmarkStart w:id="52020" w:name="_Toc_20"/>
      <w:r w:rsidRPr="00DE5E47">
        <w:rPr>
          <w:rFonts w:eastAsia="Times New Roman" w:cs="Times New Roman"/>
        </w:rPr>
        <w:t xml:space="preserve">2.6.2 Grading of mud crabs</w:t>
      </w:r>
      <w:bookmarkStart w:id="110" w:name="_Toc240214096"/>
      <w:bookmarkStart w:id="111" w:name="_Toc241432233"/>
      <w:bookmarkEnd w:id="110"/>
      <w:bookmarkEnd w:id="111"/>
      <w:bookmarkEnd w:id="52020"/>
    </w:p>
    <w:p w14:paraId="6C017EED"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Crabs are commonly graded by size, weight, sex, shell hardness and physical condition. Large hard-shell crabs are often preferred because they contain more meat and tolerate transport better. Male crabs may command higher prices, while trade in berried females may be restricted for conservation reasons (FAO, 2025).</w:t>
      </w:r>
    </w:p>
    <w:p w14:paraId="106F29C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Grading may occur at the landing site or after a middleman has aggregated several catches. When the criteria are informal or applied visually, fishers may be unable to verify why a crab was placed in a particular grade. The issue is not grading itself, which can reflect real quality differences, but whether the criteria and price consequences are transparent.</w:t>
      </w:r>
    </w:p>
    <w:p w14:paraId="13A2B5DA" w14:textId="77777777" w:rsidR="00221112" w:rsidRPr="00DE5E47" w:rsidRDefault="00C14051">
      <w:pPr>
        <w:pStyle w:val="Heading3"/>
        <w:jc w:val="both"/>
        <w:outlineLvl w:val="2"/>
        <w:rPr>
          <w:rFonts w:eastAsia="Times New Roman" w:cs="Times New Roman"/>
        </w:rPr>
      </w:pPr>
      <w:bookmarkStart w:id="52021" w:name="_Toc_21"/>
      <w:r w:rsidRPr="00DE5E47">
        <w:rPr>
          <w:rFonts w:eastAsia="Times New Roman" w:cs="Times New Roman"/>
        </w:rPr>
        <w:t xml:space="preserve">2.6.3 Pricing of mud crabs</w:t>
      </w:r>
      <w:bookmarkStart w:id="112" w:name="_Toc240214097"/>
      <w:bookmarkStart w:id="113" w:name="_Toc241432234"/>
      <w:bookmarkEnd w:id="112"/>
      <w:bookmarkEnd w:id="113"/>
      <w:bookmarkEnd w:id="52021"/>
    </w:p>
    <w:p w14:paraId="642717A7"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prices vary with grade, season, demand, distance to market and whether crabs are sold alive. Large live crabs generally receive higher prices in urban, hotel and export markets, while seasonal supply and demand can shift the amount offered (FAO, 2025).</w:t>
      </w:r>
    </w:p>
    <w:p w14:paraId="4AC348FE"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Small-scale fishers may accept a buyer’s price when they lack holding facilities, need cash immediately or depend on that buyer for transport and credit. Informal agreements can reduce transaction costs, but they can also make the basis of a price difficult to challenge (Crona et al., 2016). This makes buyer choice and independent market information important alongside the nominal price.</w:t>
      </w:r>
    </w:p>
    <w:p w14:paraId="40D4249F" w14:textId="77777777" w:rsidR="00221112" w:rsidRPr="00DE5E47" w:rsidRDefault="00C14051">
      <w:pPr>
        <w:pStyle w:val="Heading3"/>
        <w:jc w:val="both"/>
        <w:outlineLvl w:val="2"/>
        <w:rPr>
          <w:rFonts w:eastAsia="Times New Roman" w:cs="Times New Roman"/>
        </w:rPr>
      </w:pPr>
      <w:bookmarkStart w:id="52022" w:name="_Toc_22"/>
      <w:r w:rsidRPr="00DE5E47">
        <w:rPr>
          <w:rFonts w:eastAsia="Times New Roman" w:cs="Times New Roman"/>
        </w:rPr>
        <w:t xml:space="preserve">2.6.4 Transport of mud crabs</w:t>
      </w:r>
      <w:bookmarkStart w:id="114" w:name="_Toc240214098"/>
      <w:bookmarkStart w:id="115" w:name="_Toc241432235"/>
      <w:bookmarkEnd w:id="114"/>
      <w:bookmarkEnd w:id="115"/>
      <w:bookmarkEnd w:id="52022"/>
    </w:p>
    <w:p w14:paraId="258DB44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Transport affects both survival and quality. Live mud crabs are vulnerable to heat, dehydration and handling stress, and deaths in transit reduce the quantity that can be sold. Traders use baskets, plastic crates or wooden boxes, often with damp material to limit dehydration.</w:t>
      </w:r>
    </w:p>
    <w:p w14:paraId="484959A3"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Long distances, poor roads and limited cold-chain or live-holding facilities add to transport risk in the Western Indian Ocean. Shorter journeys and better containment may reduce mortality and protect value without increasing fishing effort. The relevant question is which actors have access to those options and who pays for them.</w:t>
      </w:r>
    </w:p>
    <w:p w14:paraId="4100A040" w14:textId="77777777" w:rsidR="00221112" w:rsidRPr="00DE5E47" w:rsidRDefault="00C14051">
      <w:pPr>
        <w:pStyle w:val="Heading3"/>
        <w:jc w:val="both"/>
        <w:outlineLvl w:val="2"/>
        <w:rPr>
          <w:rFonts w:eastAsia="Times New Roman" w:cs="Times New Roman"/>
        </w:rPr>
      </w:pPr>
      <w:bookmarkStart w:id="52023" w:name="_Toc_23"/>
      <w:r w:rsidRPr="00DE5E47">
        <w:rPr>
          <w:rFonts w:eastAsia="Times New Roman" w:cs="Times New Roman"/>
        </w:rPr>
        <w:t xml:space="preserve">2.6.5 Packaging of mud crabs</w:t>
      </w:r>
      <w:bookmarkStart w:id="116" w:name="_Toc240214099"/>
      <w:bookmarkStart w:id="117" w:name="_Toc241432236"/>
      <w:bookmarkEnd w:id="116"/>
      <w:bookmarkEnd w:id="117"/>
      <w:bookmarkEnd w:id="52023"/>
    </w:p>
    <w:p w14:paraId="50108F8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Packaging controls movement, moisture and physical damage during transport. Live crabs may be tied or separated to reduce injury and cannibalism. Containers must also allow enough ventilation and protect claws and legs, which affect market acceptance.</w:t>
      </w:r>
    </w:p>
    <w:p w14:paraId="265E93B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Export markets often require consistent packaging, labels and traceability. Small-scale traders may instead use low-cost materials that are locally available. The trade-off between container cost, survival and reusability should be assessed under normal trading conditions rather than assumed.</w:t>
      </w:r>
    </w:p>
    <w:p w14:paraId="1556C33B" w14:textId="77777777" w:rsidR="00221112" w:rsidRPr="00DE5E47" w:rsidRDefault="00C14051">
      <w:pPr>
        <w:pStyle w:val="Heading3"/>
        <w:jc w:val="both"/>
        <w:outlineLvl w:val="2"/>
        <w:rPr>
          <w:rFonts w:eastAsia="Times New Roman" w:cs="Times New Roman"/>
        </w:rPr>
      </w:pPr>
      <w:bookmarkStart w:id="52024" w:name="_Toc_24"/>
      <w:r w:rsidRPr="00DE5E47">
        <w:rPr>
          <w:rFonts w:eastAsia="Times New Roman" w:cs="Times New Roman"/>
        </w:rPr>
        <w:lastRenderedPageBreak/>
        <w:t xml:space="preserve">2.6.6 Modes of payment in the mud crab trade</w:t>
      </w:r>
      <w:bookmarkStart w:id="118" w:name="_Toc240214100"/>
      <w:bookmarkStart w:id="119" w:name="_Toc241432237"/>
      <w:bookmarkEnd w:id="118"/>
      <w:bookmarkEnd w:id="119"/>
      <w:bookmarkEnd w:id="52024"/>
    </w:p>
    <w:p w14:paraId="3C8C74CB"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Cash remains common at landing sites because fishers need immediate income. Payment may also be delayed until a broker has sold the crabs, especially when the broker provides transport or holding services (Crona et al., 2016).</w:t>
      </w:r>
    </w:p>
    <w:p w14:paraId="736958B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Buyers may advance cash or gear in return for continued or exclusive supply. Such arrangements can solve a short-term financing problem while narrowing the fisher’s choice of buyer. Buyers may also advance cash or gear in return for continued or exclusive supply, an arrangement Crona et al. (2016) describe as solving a short-term financing problem while narrowing the seller’s choice of buyer. Whether mobile money changes that balance in this fishery is an empirical question taken up in Chapter Four.</w:t>
      </w:r>
    </w:p>
    <w:p w14:paraId="2B7DAE44" w14:textId="77777777" w:rsidR="00221112" w:rsidRPr="00DE5E47" w:rsidRDefault="00C14051">
      <w:pPr>
        <w:pStyle w:val="Heading2"/>
        <w:jc w:val="both"/>
        <w:outlineLvl w:val="1"/>
        <w:rPr>
          <w:rFonts w:eastAsia="Times New Roman" w:cs="Times New Roman"/>
          <w:szCs w:val="24"/>
        </w:rPr>
      </w:pPr>
      <w:bookmarkStart w:id="52025" w:name="_Toc_25"/>
      <w:r w:rsidRPr="00DE5E47">
        <w:rPr>
          <w:rFonts w:eastAsia="Times New Roman" w:cs="Times New Roman"/>
          <w:szCs w:val="24"/>
        </w:rPr>
        <w:t xml:space="preserve">2.7 Constraints faced by mud crab fishery actors</w:t>
      </w:r>
      <w:bookmarkStart w:id="120" w:name="_Toc240214101"/>
      <w:bookmarkStart w:id="121" w:name="_Toc241432238"/>
      <w:bookmarkEnd w:id="120"/>
      <w:bookmarkEnd w:id="121"/>
      <w:bookmarkEnd w:id="52025"/>
    </w:p>
    <w:p w14:paraId="0F93205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Mud crab actors face ecological, operational and market constraints. Fishers report seasonal availability and declining catches where juvenile or berried crabs are harvested and mangrove habitats are degraded (Mirera, 2017a). Traders face the additional problem of keeping live crabs in saleable condition while assembling enough volume for buyers.</w:t>
      </w:r>
    </w:p>
    <w:p w14:paraId="1A4BDDC8"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Limited credit, unstable prices, inadequate holding facilities and dependence on a small number of brokers can reduce bargaining options. Weak enforcement of size or harvest rules may also allow short-term market demand to undermine the resource on which the trade depends (Mirera, 2017a).</w:t>
      </w:r>
    </w:p>
    <w:p w14:paraId="6B87FC06" w14:textId="77777777" w:rsidR="00221112" w:rsidRPr="00DE5E47" w:rsidRDefault="00C14051">
      <w:pPr>
        <w:pStyle w:val="Heading2"/>
        <w:jc w:val="both"/>
        <w:outlineLvl w:val="1"/>
        <w:rPr>
          <w:rFonts w:eastAsia="Times New Roman" w:cs="Times New Roman"/>
          <w:szCs w:val="24"/>
        </w:rPr>
      </w:pPr>
      <w:bookmarkStart w:id="52026" w:name="_Toc_26"/>
      <w:bookmarkStart w:id="122" w:name="_Toc240214102"/>
      <w:bookmarkStart w:id="123" w:name="_Toc241432239"/>
      <w:r w:rsidRPr="00DE5E47">
        <w:rPr>
          <w:rFonts w:eastAsia="Times New Roman" w:cs="Times New Roman"/>
          <w:szCs w:val="24"/>
        </w:rPr>
        <w:t xml:space="preserve">2.8 Opportunities in the mud crab fishery</w:t>
      </w:r>
      <w:bookmarkEnd w:id="122"/>
      <w:bookmarkEnd w:id="123"/>
      <w:bookmarkEnd w:id="52026"/>
    </w:p>
    <w:p w14:paraId="5ADC5F20"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Demand for large, healthy crabs creates room for better handling, clearer grades and higher-value products. Crab fattening can increase sale weight before marketing, although its value depends on survival, feed, labour, seed sourcing and a confirmed buyer (Mirera, 2014b).</w:t>
      </w:r>
    </w:p>
    <w:p w14:paraId="533A2CA9"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Community participation in size limits and temporary closures has improved awareness and product quality in co-managed small-scale fisheries (Gutiérrez et al., 2011). For Kenya, the lesson is not that the same measure will transfer unchanged, but that market incentives and local enforcement need to be designed together.</w:t>
      </w:r>
    </w:p>
    <w:p w14:paraId="79D027A8" w14:textId="77777777" w:rsidR="00221112" w:rsidRPr="00DE5E47" w:rsidRDefault="00C14051">
      <w:pPr>
        <w:pStyle w:val="Heading2"/>
        <w:jc w:val="both"/>
        <w:outlineLvl w:val="1"/>
        <w:rPr>
          <w:rFonts w:eastAsia="Times New Roman" w:cs="Times New Roman"/>
          <w:szCs w:val="24"/>
        </w:rPr>
      </w:pPr>
      <w:bookmarkStart w:id="52027" w:name="_Toc_27"/>
      <w:bookmarkStart w:id="124" w:name="_Toc240214103"/>
      <w:bookmarkStart w:id="125" w:name="_Toc241432240"/>
      <w:r w:rsidRPr="00DE5E47">
        <w:rPr>
          <w:rFonts w:eastAsia="Times New Roman" w:cs="Times New Roman"/>
          <w:szCs w:val="24"/>
        </w:rPr>
        <w:t xml:space="preserve">2.9 Legal and policy frameworks governing mud crab fishery in Kenya</w:t>
      </w:r>
      <w:bookmarkEnd w:id="124"/>
      <w:bookmarkEnd w:id="125"/>
      <w:bookmarkEnd w:id="52027"/>
    </w:p>
    <w:p w14:paraId="418E572F"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Act, No. 35 of 2016 (Cap. 378) provides the main national framework for conservation, management and development of fisheries resources, including crustaceans. It recognises small-scale fisheries and co-management through Beach Management Units (Fisheries Management and Development Act, No. 35 of 2016, Cap. 378).</w:t>
      </w:r>
    </w:p>
    <w:p w14:paraId="0CB3895C"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The Fisheries Management and Development (Safety and Quality) Regulations, 2024 address the handling, movement and marketing of fishery products. Licensing, traceability, hygiene and quality requirements are particularly relevant to traders and exporters seeking formal markets (Fisheries Management and Development (Safety and Quality) Regulations, 2024).</w:t>
      </w:r>
    </w:p>
    <w:p w14:paraId="5EA93562"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Fisheries governance is shared between national and county institutions. Counties can develop management plans, while the national government provides coordination and oversight. This division matters for a fishery rooted in mangrove habitats and local landing sites (Fisheries Management and Development Act, No. 35 of 2016, Cap. 378).</w:t>
      </w:r>
    </w:p>
    <w:p w14:paraId="1C71DBD4" w14:textId="77777777" w:rsidR="00221112" w:rsidRPr="00DE5E47" w:rsidRDefault="00C14051">
      <w:pPr>
        <w:spacing w:before="100" w:beforeAutospacing="1" w:after="100" w:afterAutospacing="1" w:line="480" w:lineRule="auto"/>
        <w:jc w:val="both"/>
        <w:rPr>
          <w:rFonts w:eastAsia="Times New Roman" w:cs="Times New Roman"/>
          <w:kern w:val="0"/>
          <w:sz w:val="24"/>
          <w:szCs w:val="24"/>
          <w14:ligatures w14:val="none"/>
        </w:rPr>
      </w:pPr>
      <w:r>
        <w:t>Kenya’s Blue Economy and sustainable-development commitments place greater emphasis on traceability, monitoring and value-chain development (Fondo &amp; Ogutu, 2021). For small-scale mud crab actors, the practical gaps remain awareness, compliance support and consistent enforcement.</w:t>
      </w:r>
    </w:p>
    <w:p w14:paraId="2E7A6569" w14:textId="77777777" w:rsidR="00221112" w:rsidRPr="00DE5E47" w:rsidRDefault="00C14051">
      <w:pPr>
        <w:pStyle w:val="Heading2"/>
        <w:jc w:val="both"/>
        <w:outlineLvl w:val="1"/>
        <w:rPr>
          <w:rFonts w:cs="Times New Roman"/>
          <w:szCs w:val="24"/>
        </w:rPr>
      </w:pPr>
      <w:bookmarkStart w:id="52028" w:name="_Toc_28"/>
      <w:r w:rsidRPr="00DE5E47">
        <w:rPr>
          <w:rFonts w:cs="Times New Roman"/>
          <w:szCs w:val="24"/>
        </w:rPr>
        <w:t xml:space="preserve">2.10 Critical Assessment of the Literature</w:t>
      </w:r>
      <w:bookmarkEnd w:id="52028"/>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sections above summarise what previous studies have reported. This section asks a different question: where those studies agree, where they conflict, what their methods can and cannot support, and what remains unanswered for the South Coast.</w:t>
      </w:r>
    </w:p>
    <w:p w14:paraId="75F1C1EF" w14:textId="77777777" w:rsidR="00221112" w:rsidRPr="00DE5E47" w:rsidRDefault="00C14051">
      <w:pPr>
        <w:pStyle w:val="Heading3"/>
        <w:jc w:val="both"/>
        <w:outlineLvl w:val="2"/>
        <w:rPr>
          <w:rFonts w:cs="Times New Roman"/>
        </w:rPr>
      </w:pPr>
      <w:bookmarkStart w:id="52029" w:name="_Toc_29"/>
      <w:r w:rsidRPr="00DE5E47">
        <w:rPr>
          <w:rFonts w:cs="Times New Roman"/>
        </w:rPr>
        <w:t xml:space="preserve">2.10.1 Where the literature agrees</w:t>
      </w:r>
      <w:bookmarkEnd w:id="52029"/>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findings recur across settings and methods and can be treated as reasonably secure. First, mud crab chains in the Western Indian Ocean are structured as a sequence of distinct functions rather than a single trading group, with harvesting, aggregation, processing and export performed by different actors (Mirera, 2017a; Jacinto, 2004; FAO, 2025). Second, survival of a live, perishable product governs value, so handling, containment and holding time are production economics rather than incidental practice (FAO, 2025; Mirera et al., 2013). Third, small-scale harvesters in the region operate with limited finance, limited organisation and limited access to formal markets (Béné et al., 2007; Fondo &amp; Ogutu, 2021). The present study tests all three against a single dataset rather than accepting them as background.</w:t>
      </w:r>
    </w:p>
    <w:p w14:paraId="75F1C1EF" w14:textId="77777777" w:rsidR="00221112" w:rsidRPr="00DE5E47" w:rsidRDefault="00C14051">
      <w:pPr>
        <w:pStyle w:val="Heading3"/>
        <w:jc w:val="both"/>
        <w:outlineLvl w:val="2"/>
        <w:rPr>
          <w:rFonts w:cs="Times New Roman"/>
        </w:rPr>
      </w:pPr>
      <w:bookmarkStart w:id="52030" w:name="_Toc_30"/>
      <w:r w:rsidRPr="00DE5E47">
        <w:rPr>
          <w:rFonts w:cs="Times New Roman"/>
        </w:rPr>
        <w:t xml:space="preserve">2.10.2 Where the literature conflicts: the role of the middleman</w:t>
      </w:r>
      <w:bookmarkEnd w:id="52030"/>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clearest disagreement in this literature concerns whether middlemen improve or reduce the position of fishers, and it is not a disagreement that can be settled by preference.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One line of work treats the middleman as a net cost to the harvester. Jacinto (2004) argues that in small-scale fisheries the share of final value captured at each node follows control of information and market access rather than physical effort, which implies that an actor positioned between the harvester and the buyer captures value the harvester cannot reach. Béné et al. (2007) extend this to credit: an advance against future supply solves an immediate cash problem while narrowing where the seller may sell, and they treat such arrangements as a mechanism of persistent low returns.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line reaches almost the opposite conclusion. Crona et al. (2016), working in Kenya and Zanzibar, describe middlemen as a critical social-ecological link whose accumulated relational knowledge is not easily replaced, and find them widely blamed for outcomes largely determined further along the chain while themselves operating on modest turnovers and carrying the mortality risk. On that reading, removing the middleman would not transfer their margin to the fisher; it would remove a function that has to be performed by someone.</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two positions are not reconcilable at the level of assertion, because they make different empirical claims: one about who captures the value, the other about what the middleman’s position actually returns once risk is accounted for. Resolving them requires the price at each node and the share each node holds, measured in the same chain. Neither study reports that for a Kenyan mud crab chain, and neither does the wider Kenyan literature. That is the first gap this study addresses.</w:t>
      </w:r>
    </w:p>
    <w:p w14:paraId="75F1C1EF" w14:textId="77777777" w:rsidR="00221112" w:rsidRPr="00DE5E47" w:rsidRDefault="00C14051">
      <w:pPr>
        <w:pStyle w:val="Heading3"/>
        <w:jc w:val="both"/>
        <w:outlineLvl w:val="2"/>
        <w:rPr>
          <w:rFonts w:cs="Times New Roman"/>
        </w:rPr>
      </w:pPr>
      <w:bookmarkStart w:id="52031" w:name="_Toc_31"/>
      <w:r w:rsidRPr="00DE5E47">
        <w:rPr>
          <w:rFonts w:cs="Times New Roman"/>
        </w:rPr>
        <w:t xml:space="preserve">2.10.3 Where the literature conflicts: what grading does</w:t>
      </w:r>
      <w:bookmarkEnd w:id="52031"/>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A second, less openly stated disagreement concerns grading. FAO (2025) treats grading by size, weight, shell condition and claw size as a legitimate quality signal that supports price formation in a live-crab trade. Jacinto (2004) treats the same practice as a site of informational asymmetry, because a criterion the buyer applies and the seller cannot verify transfers value rather than signalling it. Both may be right simultaneously, but only if the grading rule is applied consistently and both parties can read it. Whether that condition holds has not been tested in a Kenyan mud crab market; doing so requires recording which criteria each actor category actually uses, which this study does.</w:t>
      </w:r>
    </w:p>
    <w:p w14:paraId="75F1C1EF" w14:textId="77777777" w:rsidR="00221112" w:rsidRPr="00DE5E47" w:rsidRDefault="00C14051">
      <w:pPr>
        <w:pStyle w:val="Heading3"/>
        <w:jc w:val="both"/>
        <w:outlineLvl w:val="2"/>
        <w:rPr>
          <w:rFonts w:cs="Times New Roman"/>
        </w:rPr>
      </w:pPr>
      <w:bookmarkStart w:id="52032" w:name="_Toc_32"/>
      <w:r w:rsidRPr="00DE5E47">
        <w:rPr>
          <w:rFonts w:cs="Times New Roman"/>
        </w:rPr>
        <w:t xml:space="preserve">2.10.4 Methodological limitations of previous studies</w:t>
      </w:r>
      <w:bookmarkEnd w:id="52032"/>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Four limitations recur in the work reviewed above and shape what can be claimed from it.</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first is a production focus. Much of the Kenyan mud crab literature is biological, ecological or aquacultural: stock status, nursery habitat, growth and culture performance (Mirera, 2017a, 2017b; Mirera &amp; Mosknes, 2015; Moser et al., 2005; Webley, 2008). This work is careful within its own terms but is not designed to describe exchange, and it cannot be read as evidence about prices, margins or bargaining.</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second is a setting mismatch. Where organisation and training have been studied, the setting has often been organised community aquaculture groups rather than independent capture-fishery actors (Mirera, 2014a). Findings about what groups achieve in an organised setting should not be transferred to a capture fishery where, as this study finds, no group exists at all.</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third is aggregation. Regional and national assessments describe constraints in finance, organisation and market access for small-scale fisheries as a sector (Fondo &amp; Ogutu, 2021; Béné et al., 2007). Because they report at sector level, they cannot say which actor category faces which constraint, and therefore cannot indicate where an intervention should be aimed.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fourth is the absence of cost data, which is a limitation this study shares. Munga and Muthumbi (2018) show for the Tana Delta that gross price differentials between nodes narrow considerably once handling and transport are netted out. Any study reporting gross prices, including the present one, must therefore stop short of claims about profit, and Section 5.6 states explicitly which market-structure dimensions that rules out.</w:t>
      </w:r>
    </w:p>
    <w:p w14:paraId="75F1C1EF" w14:textId="77777777" w:rsidR="00221112" w:rsidRPr="00DE5E47" w:rsidRDefault="00C14051">
      <w:pPr>
        <w:pStyle w:val="Heading3"/>
        <w:jc w:val="both"/>
        <w:outlineLvl w:val="2"/>
        <w:rPr>
          <w:rFonts w:cs="Times New Roman"/>
        </w:rPr>
      </w:pPr>
      <w:bookmarkStart w:id="52033" w:name="_Toc_33"/>
      <w:r w:rsidRPr="00DE5E47">
        <w:rPr>
          <w:rFonts w:cs="Times New Roman"/>
        </w:rPr>
        <w:t xml:space="preserve">2.10.5 The South Coast and Kwale County: what is and is not known</w:t>
      </w:r>
      <w:bookmarkEnd w:id="52033"/>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literature specific to this coast is thinner than the regional literature and is weighted towards production. Mirera et al. (2013) document fishing tactics and traditional knowledge among Kenyan mud crab fishers, including the practice of holding crabs at home for several days until enough have accumulated for sale, which makes survival part of the marketing problem rather than only a harvesting one. Ochiewo et al. (2010) and Mirera (2014a) record the gendered division of the coastal fishery, with harvesting and first-tier trade male-dominated and women more visible in processing and trade. Fondo et al. (2020) describe the status of the mangrove mud crab fishery nationally, and Fondo and Ogutu (2021) place it within the Blue Economy agenda. Fulanda et al. (2009) and Kimani et al. (2018) supply the fisher population figures on which this study’s sampling frame rests.</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Kwale County itself appears in this literature mainly as a location rather than as a subject. The one study that treats its institutions directly is Njiru et al. (2021), who examine the socioeconomic factors influencing trader participation in Beach Management Units in Kwale, and whose finding that participation varies with the trader’s own circumstances supports communication designed for particular actor groups rather than for the fishery as a whole. Beyond that, what is known about Shimoni, Majoreni, Vanga and Msambweni as markets, as opposed to as landing sites, is largely undocumented.</w:t>
      </w:r>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Three things follow. Prices at each node in a Kwale mud crab chain have not been reported; the grading criteria used by each actor category have not been recorded; and no study has tested whether actor characteristics, functions or constraints differ between the BMUs of this coast or are uniform across them. The regional and national literature supplies expectations on all three, but expectations formed at sector level cannot be assumed to hold at the level of a landing beach.</w:t>
      </w:r>
    </w:p>
    <w:p w14:paraId="75F1C1EF" w14:textId="77777777" w:rsidR="00221112" w:rsidRPr="00DE5E47" w:rsidRDefault="00C14051">
      <w:pPr>
        <w:pStyle w:val="Heading3"/>
        <w:jc w:val="both"/>
        <w:outlineLvl w:val="2"/>
        <w:rPr>
          <w:rFonts w:cs="Times New Roman"/>
        </w:rPr>
      </w:pPr>
      <w:bookmarkStart w:id="52034" w:name="_Toc_34"/>
      <w:r w:rsidRPr="00DE5E47">
        <w:rPr>
          <w:rFonts w:cs="Times New Roman"/>
        </w:rPr>
        <w:t xml:space="preserve">2.10.6 The research gap</w:t>
      </w:r>
      <w:bookmarkEnd w:id="52034"/>
    </w:p>
    <w:p w14:paraId="3FDD6690" w14:textId="77777777" w:rsidR="00221112" w:rsidRPr="00DE5E47" w:rsidRDefault="00C14051">
      <w:pPr>
        <w:spacing w:after="200" w:line="480" w:lineRule="auto"/>
        <w:jc w:val="center"/>
        <w:rPr>
          <w:rFonts w:eastAsia="Times New Roman" w:cs="Times New Roman"/>
          <w:b/>
          <w:kern w:val="0"/>
          <w:sz w:val="24"/>
          <w:szCs w:val="24"/>
          <w14:ligatures w14:val="none"/>
        </w:rPr>
      </w:pPr>
      <w:r w:rsidRPr="00DE5E47">
        <w:rPr>
          <w:rFonts w:eastAsia="Times New Roman" w:cs="Times New Roman"/>
          <w:b/>
          <w:kern w:val="0"/>
          <w:sz w:val="24"/>
          <w:szCs w:val="24"/>
          <w14:ligatures w14:val="none"/>
        </w:rPr>
        <w:t xml:space="preserve">The gap this study addresses is therefore specific rather than general. Previous work establishes that mud crab chains are functionally differentiated, that survival governs value and that small-scale harvesters are institutionally weak. It does not establish how the value of a South Coast mud crab is divided between the people who catch, trade and sell it; whether the grading rule that determines that division is shared or asymmetric; or whether any of this varies between the Beach Management Units through which the fishery is co-managed. Those three questions map onto the three objectives of this study, and answering them requires an actor-level inventory tested against site, which is the design adopted in Chapter Three.</w:t>
      </w:r>
    </w:p>
    <w:p w14:paraId="570B04B8" w14:textId="77777777" w:rsidR="00221112" w:rsidRPr="00DE5E47" w:rsidRDefault="00C14051">
      <w:pPr>
        <w:pStyle w:val="Heading2"/>
        <w:jc w:val="both"/>
        <w:outlineLvl w:val="1"/>
        <w:rPr>
          <w:rFonts w:eastAsia="Times New Roman" w:cs="Times New Roman"/>
          <w:szCs w:val="24"/>
        </w:rPr>
      </w:pPr>
      <w:bookmarkStart w:id="52035" w:name="_Toc_35"/>
      <w:bookmarkStart w:id="126" w:name="_Toc235348878"/>
      <w:bookmarkStart w:id="127" w:name="_Toc240214104"/>
      <w:bookmarkStart w:id="128" w:name="_Toc241432241"/>
      <w:r w:rsidRPr="00DE5E47">
        <w:rPr>
          <w:rFonts w:eastAsia="Times New Roman" w:cs="Times New Roman"/>
          <w:szCs w:val="24"/>
        </w:rPr>
        <w:t xml:space="preserve">2.11 Theoretical Framework</w:t>
      </w:r>
      <w:bookmarkEnd w:id="126"/>
      <w:bookmarkEnd w:id="127"/>
      <w:bookmarkEnd w:id="128"/>
      <w:bookmarkEnd w:id="52035"/>
    </w:p>
    <w:p w14:paraId="5CC0E33B"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This study uses the Structure-Conduct-Performance (SCP) paradigm as its main analytical framework. SCP is commonly applied in agricultural and fisheries marketing to organise evidence on market structure, actor conduct and market outcomes. In this study, it provides a way to connect the composition and organisation </w:t>
      </w:r>
      <w:r>
        <w:lastRenderedPageBreak/>
        <w:t>of the mud crab market with the practices observed at different nodes. The framework guides interpretation; it is not used to claim a causal sequence.</w:t>
      </w:r>
    </w:p>
    <w:p w14:paraId="6EDA26D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Market structure is described through the number and types of actors, their characteristics, entry conditions, licensing, access to capital, collective organisation and buyer connections. Conduct covers sourcing, grading, handling, pricing, payment, transport and credit relationships. Performance is considered through descriptive indicators available in the dataset, including reported income and prices, market access, mortality or spoilage, and perceptions of market organisation. The constraints and opportunities reported under Objective Three provide the operating context in which these patterns occur.</w:t>
      </w:r>
    </w:p>
    <w:p w14:paraId="4211398F" w14:textId="77777777" w:rsidR="00221112" w:rsidRPr="00DE5E47" w:rsidRDefault="00C14051">
      <w:pPr>
        <w:spacing w:before="100" w:beforeAutospacing="1" w:after="100" w:afterAutospacing="1" w:line="480" w:lineRule="auto"/>
        <w:jc w:val="both"/>
        <w:rPr>
          <w:rFonts w:eastAsia="Times New Roman" w:cs="Times New Roman"/>
          <w:sz w:val="24"/>
          <w:szCs w:val="24"/>
        </w:rPr>
      </w:pPr>
      <w:r>
        <w:t xml:space="preserve">Value-chain concepts are used as a mapping device to trace crabs from harvesting through aggregation, hospitality and export. They are not treated as a second causal theory. Livelihood research, in particular the sustainable livelihoods framework of Allison and Ellis (2001), provides background for interpreting education, experience, finance and collective membership, but the study did not measure a complete set of livelihood assets or estimate livelihood effects. Keeping SCP as the central framework matches the descriptive design and the analyses reported in Chapters Four and Five.</w:t>
      </w:r>
    </w:p>
    <w:p>
      <w:pPr>
        <w:spacing w:line="240" w:lineRule="auto" w:after="60"/>
      </w:pPr>
      <w:bookmarkStart w:id="41002" w:name="_Fig2"/>
      <w:r>
        <w:rPr>
          <w:rFonts w:ascii="Times New Roman" w:hAnsi="Times New Roman" w:cs="Times New Roman"/>
          <w:b/>
          <w:sz w:val="24"/>
          <w:szCs w:val="24"/>
          <w:color w:val="000000"/>
        </w:rPr>
        <w:t xml:space="preserve">Figure 2</w:t>
      </w:r>
      <w:bookmarkEnd w:id="41002"/>
    </w:p>
    <w:p>
      <w:pPr>
        <w:spacing w:line="240" w:lineRule="auto" w:after="60"/>
      </w:pPr>
      <w:r>
        <w:rPr>
          <w:rFonts w:ascii="Times New Roman" w:hAnsi="Times New Roman" w:cs="Times New Roman"/>
          <w:i/>
          <w:sz w:val="24"/>
          <w:szCs w:val="24"/>
          <w:color w:val="000000"/>
        </w:rPr>
        <w:t xml:space="preserve">Structure-Conduct-Performance (SCP) linkages guiding the study</w:t>
      </w:r>
    </w:p>
    <w:p w14:paraId="29D9FDFD" w14:textId="77777777" w:rsidR="0095467C" w:rsidRDefault="00C247CF">
      <w:pPr>
        <w:jc w:val="center"/>
      </w:pPr>
      <w:r>
        <w:rPr>
          <w:noProof/>
        </w:rPr>
        <w:drawing>
          <wp:inline distT="0" distB="0" distL="0" distR="0" wp14:anchorId="4A69E6C9" wp14:editId="5BC78848">
            <wp:extent cx="5715000" cy="2026227"/>
            <wp:effectExtent l="0" t="0" r="0" b="0"/>
            <wp:docPr id="1085561450" name="Picture 1085561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p_framework_revised.png"/>
                    <pic:cNvPicPr/>
                  </pic:nvPicPr>
                  <pic:blipFill>
                    <a:blip r:embed="rId14"/>
                    <a:stretch>
                      <a:fillRect/>
                    </a:stretch>
                  </pic:blipFill>
                  <pic:spPr>
                    <a:xfrm>
                      <a:off x="0" y="0"/>
                      <a:ext cx="5715000" cy="2026227"/>
                    </a:xfrm>
                    <a:prstGeom prst="rect">
                      <a:avLst/>
                    </a:prstGeom>
                  </pic:spPr>
                </pic:pic>
              </a:graphicData>
            </a:graphic>
          </wp:inline>
        </w:drawing>
      </w:r>
    </w:p>
    <w:p w14:paraId="12B9C7BB" w14:textId="77777777" w:rsidR="00221112" w:rsidRPr="00DE5E47" w:rsidRDefault="00C14051">
      <w:pPr>
        <w:pStyle w:val="Heading2"/>
        <w:jc w:val="both"/>
        <w:outlineLvl w:val="1"/>
        <w:rPr>
          <w:rFonts w:eastAsia="Times New Roman" w:cs="Times New Roman"/>
          <w:szCs w:val="24"/>
        </w:rPr>
      </w:pPr>
      <w:bookmarkStart w:id="52036" w:name="_Toc_36"/>
      <w:bookmarkStart w:id="129" w:name="_Toc235348879"/>
      <w:bookmarkStart w:id="130" w:name="_Toc240214105"/>
      <w:bookmarkStart w:id="131" w:name="_Toc241432242"/>
      <w:r w:rsidRPr="00DE5E47">
        <w:rPr>
          <w:rFonts w:eastAsia="Times New Roman" w:cs="Times New Roman"/>
          <w:szCs w:val="24"/>
        </w:rPr>
        <w:lastRenderedPageBreak/>
        <w:t xml:space="preserve">2.12 Conceptual Framework</w:t>
      </w:r>
      <w:bookmarkEnd w:id="129"/>
      <w:bookmarkEnd w:id="130"/>
      <w:bookmarkEnd w:id="131"/>
      <w:bookmarkEnd w:id="52036"/>
    </w:p>
    <w:p w14:paraId="7C2FFEC9" w14:textId="77777777" w:rsidR="00221112" w:rsidRPr="00DE5E47" w:rsidRDefault="00C14051">
      <w:pPr>
        <w:spacing w:before="100" w:beforeAutospacing="1" w:after="100" w:afterAutospacing="1" w:line="480" w:lineRule="auto"/>
        <w:jc w:val="both"/>
        <w:rPr>
          <w:rFonts w:eastAsia="Times New Roman" w:cs="Times New Roman"/>
          <w:sz w:val="24"/>
          <w:szCs w:val="24"/>
        </w:rPr>
      </w:pPr>
      <w:r>
        <w:t>Figure 3 organises the study variables by objective and shows how they were used in the analysis. It is a descriptive framework rather than a causal model. The arrows indicate the order in which market structure, actor conduct and observed outcomes were examined; they do not represent estimated effects.</w:t>
      </w:r>
    </w:p>
    <w:p w14:paraId="584E6B84"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One describes market structure and actor profiles using actor category, BMU or site, age, gender, education, experience, scale of operation, licensing, collective membership, credit and related business characteristics. These variables were summarised by actor category and, where sample coverage allowed, compared across BMUs.</w:t>
      </w:r>
    </w:p>
    <w:p w14:paraId="537F8297"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Two examines conduct and functions at each node, including harvesting and sourcing, grading, handling, packaging, transport, pricing, payment, buyer relations and market research. Reported income, prices, market access and post-harvest losses are presented as descriptive market outcomes. They were not combined into a single performance index.</w:t>
      </w:r>
    </w:p>
    <w:p w14:paraId="5DC1BA50" w14:textId="77777777" w:rsidR="00221112" w:rsidRPr="00DE5E47" w:rsidRDefault="00C14051">
      <w:pPr>
        <w:spacing w:before="100" w:beforeAutospacing="1" w:after="100" w:afterAutospacing="1" w:line="480" w:lineRule="auto"/>
        <w:jc w:val="both"/>
        <w:rPr>
          <w:rFonts w:eastAsia="Times New Roman" w:cs="Times New Roman"/>
          <w:sz w:val="24"/>
          <w:szCs w:val="24"/>
        </w:rPr>
      </w:pPr>
      <w:r>
        <w:t>Objective Three describes the infrastructure, market barriers, policy awareness, risks and opportunities reported by each actor category. These conditions are interpreted alongside the structure and conduct findings. No mediation or moderation model was estimated, and the cross-sectional design does not support causal inference. Actor category and BMU are used as grouping variables for description and actor-specific association tests.</w:t>
      </w:r>
    </w:p>
    <w:p>
      <w:pPr>
        <w:spacing w:line="240" w:lineRule="auto" w:after="60"/>
      </w:pPr>
      <w:bookmarkStart w:id="41003" w:name="_Fig3"/>
      <w:r>
        <w:rPr>
          <w:rFonts w:ascii="Times New Roman" w:hAnsi="Times New Roman" w:cs="Times New Roman"/>
          <w:b/>
          <w:sz w:val="24"/>
          <w:szCs w:val="24"/>
          <w:color w:val="000000"/>
        </w:rPr>
        <w:t xml:space="preserve">Figure 3</w:t>
      </w:r>
      <w:bookmarkEnd w:id="41003"/>
    </w:p>
    <w:p>
      <w:pPr>
        <w:spacing w:line="240" w:lineRule="auto" w:after="60"/>
      </w:pPr>
      <w:r>
        <w:rPr>
          <w:rFonts w:ascii="Times New Roman" w:hAnsi="Times New Roman" w:cs="Times New Roman"/>
          <w:i/>
          <w:sz w:val="24"/>
          <w:szCs w:val="24"/>
          <w:color w:val="000000"/>
        </w:rPr>
        <w:t xml:space="preserve">Descriptive framework linking the study objectives to the analysis</w:t>
      </w:r>
    </w:p>
    <w:p w14:paraId="6C1578A2" w14:textId="77777777" w:rsidR="0095467C" w:rsidRDefault="00C247CF">
      <w:pPr>
        <w:jc w:val="center"/>
      </w:pPr>
      <w:r>
        <w:rPr>
          <w:noProof/>
        </w:rPr>
        <w:lastRenderedPageBreak/>
        <w:drawing>
          <wp:inline distT="0" distB="0" distL="0" distR="0" wp14:anchorId="10C41524" wp14:editId="4D6BB788">
            <wp:extent cx="5715000" cy="3452813"/>
            <wp:effectExtent l="0" t="0" r="0" b="0"/>
            <wp:docPr id="1085561451" name="Picture 1085561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_framework_revised.png"/>
                    <pic:cNvPicPr/>
                  </pic:nvPicPr>
                  <pic:blipFill>
                    <a:blip r:embed="rId15"/>
                    <a:stretch>
                      <a:fillRect/>
                    </a:stretch>
                  </pic:blipFill>
                  <pic:spPr>
                    <a:xfrm>
                      <a:off x="0" y="0"/>
                      <a:ext cx="5715000" cy="3452813"/>
                    </a:xfrm>
                    <a:prstGeom prst="rect">
                      <a:avLst/>
                    </a:prstGeom>
                  </pic:spPr>
                </pic:pic>
              </a:graphicData>
            </a:graphic>
          </wp:inline>
        </w:drawing>
      </w:r>
    </w:p>
    <w:p w14:paraId="3E325249" w14:textId="77777777" w:rsidR="00DD0A67" w:rsidRPr="00DE5E47" w:rsidRDefault="00DD0A67" w:rsidP="00DD0A67">
      <w:pPr>
        <w:rPr>
          <w:rFonts w:cs="Times New Roman"/>
          <w:sz w:val="24"/>
          <w:szCs w:val="24"/>
        </w:rPr>
      </w:pPr>
    </w:p>
    <w:p w14:paraId="2B8B8AB2" w14:textId="77777777" w:rsidR="00DD0A67" w:rsidRPr="00DE5E47" w:rsidRDefault="00DD0A67" w:rsidP="00DD0A67">
      <w:pPr>
        <w:rPr>
          <w:rFonts w:cs="Times New Roman"/>
          <w:sz w:val="24"/>
          <w:szCs w:val="24"/>
        </w:rPr>
      </w:pPr>
    </w:p>
    <w:p w14:paraId="23548FC7" w14:textId="77777777" w:rsidR="00DD0A67" w:rsidRPr="00DE5E47" w:rsidRDefault="00DD0A67" w:rsidP="00DD0A67">
      <w:pPr>
        <w:rPr>
          <w:rFonts w:cs="Times New Roman"/>
          <w:sz w:val="24"/>
          <w:szCs w:val="24"/>
        </w:rPr>
      </w:pPr>
    </w:p>
    <w:p w14:paraId="7E1C9936" w14:textId="77777777" w:rsidR="00DD0A67" w:rsidRPr="00DE5E47" w:rsidRDefault="00DD0A67" w:rsidP="00DD0A67">
      <w:pPr>
        <w:rPr>
          <w:rFonts w:cs="Times New Roman"/>
          <w:sz w:val="24"/>
          <w:szCs w:val="24"/>
        </w:rPr>
      </w:pPr>
    </w:p>
    <w:p w14:paraId="2A2E973E" w14:textId="77777777" w:rsidR="00DD0A67" w:rsidRPr="00DE5E47" w:rsidRDefault="00DD0A67" w:rsidP="00DD0A67">
      <w:pPr>
        <w:rPr>
          <w:rFonts w:cs="Times New Roman"/>
          <w:sz w:val="24"/>
          <w:szCs w:val="24"/>
        </w:rPr>
      </w:pPr>
    </w:p>
    <w:p w14:paraId="586CEB48" w14:textId="77777777" w:rsidR="00DD0A67" w:rsidRPr="00DE5E47" w:rsidRDefault="00DD0A67" w:rsidP="00DD0A67">
      <w:pPr>
        <w:rPr>
          <w:rFonts w:cs="Times New Roman"/>
          <w:sz w:val="24"/>
          <w:szCs w:val="24"/>
        </w:rPr>
      </w:pPr>
    </w:p>
    <w:p w14:paraId="658B071D" w14:textId="77777777" w:rsidR="00DD0A67" w:rsidRPr="00DE5E47" w:rsidRDefault="00DD0A67" w:rsidP="00DD0A67">
      <w:pPr>
        <w:rPr>
          <w:rFonts w:cs="Times New Roman"/>
          <w:sz w:val="24"/>
          <w:szCs w:val="24"/>
        </w:rPr>
      </w:pPr>
    </w:p>
    <w:p w14:paraId="219CDB33" w14:textId="77777777" w:rsidR="00DD0A67" w:rsidRPr="00DE5E47" w:rsidRDefault="00DD0A67" w:rsidP="00DD0A67">
      <w:pPr>
        <w:rPr>
          <w:rFonts w:cs="Times New Roman"/>
          <w:sz w:val="24"/>
          <w:szCs w:val="24"/>
        </w:rPr>
      </w:pPr>
    </w:p>
    <w:p w14:paraId="1991EA14" w14:textId="77777777" w:rsidR="00DD0A67" w:rsidRPr="00DE5E47" w:rsidRDefault="00DD0A67" w:rsidP="00DD0A67">
      <w:pPr>
        <w:rPr>
          <w:rFonts w:cs="Times New Roman"/>
          <w:sz w:val="24"/>
          <w:szCs w:val="24"/>
        </w:rPr>
      </w:pPr>
    </w:p>
    <w:p w14:paraId="0DCDBDBC" w14:textId="77777777" w:rsidR="00221112" w:rsidRPr="00DE5E47" w:rsidRDefault="00C14051">
      <w:pPr>
        <w:pStyle w:val="Heading1"/>
        <w:ind w:left="1843"/>
        <w:jc w:val="both"/>
        <w:outlineLvl w:val="0"/>
        <w:rPr>
          <w:rFonts w:cs="Times New Roman"/>
          <w:szCs w:val="24"/>
        </w:rPr>
      </w:pPr>
      <w:bookmarkStart w:id="52037" w:name="_Toc_37"/>
      <w:bookmarkStart w:id="132" w:name="_1v1yuxt"/>
      <w:bookmarkStart w:id="133" w:name="_3fwokq0"/>
      <w:bookmarkStart w:id="134" w:name="_Toc235350926"/>
      <w:bookmarkStart w:id="135" w:name="_4f1mdlm"/>
      <w:bookmarkStart w:id="136" w:name="_Toc235351218"/>
      <w:bookmarkStart w:id="137" w:name="_2u6wntf"/>
      <w:bookmarkStart w:id="138" w:name="_Toc69041156"/>
      <w:bookmarkStart w:id="139" w:name="_Toc76558200"/>
      <w:bookmarkStart w:id="140" w:name="_Toc240214106"/>
      <w:bookmarkStart w:id="141" w:name="_Toc241432243"/>
      <w:bookmarkEnd w:id="80"/>
      <w:bookmarkEnd w:id="81"/>
      <w:bookmarkEnd w:id="132"/>
      <w:bookmarkEnd w:id="133"/>
      <w:bookmarkEnd w:id="134"/>
      <w:bookmarkEnd w:id="135"/>
      <w:bookmarkEnd w:id="136"/>
      <w:bookmarkEnd w:id="137"/>
      <w:r w:rsidRPr="00DE5E47">
        <w:rPr>
          <w:rFonts w:cs="Times New Roman"/>
          <w:szCs w:val="24"/>
        </w:rPr>
        <w:t xml:space="preserve">CHAPTER THREE: MATERIALS AND METHODS</w:t>
      </w:r>
      <w:bookmarkStart w:id="142" w:name="_Toc226668854"/>
      <w:bookmarkStart w:id="143" w:name="_Toc174281777"/>
      <w:bookmarkStart w:id="144" w:name="_Toc174281922"/>
      <w:bookmarkStart w:id="145" w:name="_Toc226671163"/>
      <w:bookmarkStart w:id="146" w:name="_Toc226671164"/>
      <w:bookmarkStart w:id="147" w:name="_Toc226670009"/>
      <w:bookmarkStart w:id="148" w:name="_Toc174281776"/>
      <w:bookmarkStart w:id="149" w:name="_Toc174281921"/>
      <w:bookmarkStart w:id="150" w:name="_Toc226670008"/>
      <w:bookmarkStart w:id="151" w:name="_Toc226668853"/>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52037"/>
    </w:p>
    <w:p w14:paraId="28F49F2E" w14:textId="77777777" w:rsidR="00221112" w:rsidRPr="00DE5E47" w:rsidRDefault="00C14051">
      <w:pPr>
        <w:pStyle w:val="Heading2"/>
        <w:jc w:val="both"/>
        <w:outlineLvl w:val="1"/>
        <w:rPr>
          <w:rFonts w:cs="Times New Roman"/>
          <w:szCs w:val="24"/>
        </w:rPr>
      </w:pPr>
      <w:bookmarkStart w:id="52038" w:name="_Toc_38"/>
      <w:bookmarkStart w:id="152" w:name="_Toc241432244"/>
      <w:r>
        <w:t>3.1 Introduction</w:t>
      </w:r>
      <w:bookmarkEnd w:id="152"/>
      <w:bookmarkEnd w:id="52038"/>
    </w:p>
    <w:p w14:paraId="4B8B5EEF" w14:textId="77777777" w:rsidR="00221112" w:rsidRPr="00DE5E47" w:rsidRDefault="00C14051">
      <w:pPr>
        <w:spacing w:line="480" w:lineRule="auto"/>
        <w:jc w:val="both"/>
        <w:rPr>
          <w:rFonts w:cs="Times New Roman"/>
          <w:sz w:val="24"/>
          <w:szCs w:val="24"/>
        </w:rPr>
      </w:pPr>
      <w:r>
        <w:t>This chapter describes the study design, site, target population, sampling, data collection and analysis. The methods were selected to describe the actors, functions, constraints and opportunities in the Kwale County mud crab market and to compare selected categorical variables across BMUs where the sample allowed.</w:t>
      </w:r>
    </w:p>
    <w:p w14:paraId="3CC5CBA5" w14:textId="77777777" w:rsidR="00221112" w:rsidRPr="00DE5E47" w:rsidRDefault="00C14051">
      <w:pPr>
        <w:pStyle w:val="Heading2"/>
        <w:jc w:val="both"/>
        <w:outlineLvl w:val="1"/>
        <w:rPr>
          <w:rFonts w:cs="Times New Roman"/>
          <w:szCs w:val="24"/>
        </w:rPr>
      </w:pPr>
      <w:bookmarkStart w:id="52039" w:name="_Toc_39"/>
      <w:bookmarkStart w:id="153" w:name="_Toc241432245"/>
      <w:r>
        <w:lastRenderedPageBreak/>
        <w:t>3.2 Study site</w:t>
      </w:r>
      <w:bookmarkEnd w:id="153"/>
      <w:bookmarkEnd w:id="52039"/>
    </w:p>
    <w:p w14:paraId="0B224419" w14:textId="77777777" w:rsidR="00221112" w:rsidRPr="00DE5E47" w:rsidRDefault="00C14051">
      <w:pPr>
        <w:spacing w:line="480" w:lineRule="auto"/>
        <w:jc w:val="both"/>
        <w:rPr>
          <w:rFonts w:cs="Times New Roman"/>
          <w:b/>
          <w:sz w:val="24"/>
          <w:szCs w:val="24"/>
        </w:rPr>
      </w:pPr>
      <w:r>
        <w:t>The study was conducted on the South Coast of Kenya, mainly in Kwale County, between latitudes 3.05 degrees and 4.75 degrees South and longitudes 38.52 degrees and 39.51 degrees East (Figure 4). The county covers about 8,270.2 square kilometres and includes a coastal strip extending from Likoni to Vanga. Mangrove forests, tidal creeks and shallow coastal waters provide breeding, feeding and shelter habitat for Scylla serrata and other species (Mirera, 2017a; Fondo et al., 2020). The South Coast was selected because it is an established harvesting and trading area. Small-scale fishers reach mangroves on foot or by canoe and use hand collection, baited traps and other simple gear. Year-round access to the habitat makes mud crab fishing an important source of cash income for some coastal households.</w:t>
      </w:r>
    </w:p>
    <w:p w14:paraId="3C9B2DAD" w14:textId="77777777" w:rsidR="00221112" w:rsidRPr="00DE5E47" w:rsidRDefault="00C14051">
      <w:pPr>
        <w:spacing w:line="480" w:lineRule="auto"/>
        <w:jc w:val="both"/>
        <w:rPr>
          <w:rFonts w:cs="Times New Roman"/>
          <w:sz w:val="24"/>
          <w:szCs w:val="24"/>
        </w:rPr>
      </w:pPr>
      <w:r w:rsidRPr="00DE5E47">
        <w:rPr>
          <w:rFonts w:cs="Times New Roman"/>
          <w:sz w:val="24"/>
          <w:szCs w:val="24"/>
        </w:rPr>
        <w:t>The County has 20 Beach Management Units (BMUs) and 54 landing sites, which are responsible for regulating fishing activities, managing landing sites, and promoting sustainable use of fisheries resources. These BMUs provide important entry points for understanding how mud crab harvesting and marketing take place at the local level (Njiru et al., 2021). Landing sites within the BMUs serve as major points where fishers sell their crabs to brokers and traders, making them suitable locations for collecting data on grading, pricing, transportation, packaging, and modes of payment.</w:t>
      </w:r>
    </w:p>
    <w:p w14:paraId="28342156" w14:textId="77777777" w:rsidR="00221112" w:rsidRPr="00DE5E47" w:rsidRDefault="00C14051">
      <w:pPr>
        <w:spacing w:line="480" w:lineRule="auto"/>
        <w:jc w:val="both"/>
        <w:rPr>
          <w:rFonts w:cs="Times New Roman"/>
          <w:sz w:val="24"/>
          <w:szCs w:val="24"/>
        </w:rPr>
      </w:pPr>
      <w:r w:rsidRPr="00DE5E47">
        <w:rPr>
          <w:rFonts w:cs="Times New Roman"/>
          <w:sz w:val="24"/>
          <w:szCs w:val="24"/>
        </w:rPr>
        <w:t>The South Coast is also strongly influenced by tourism and urban markets, which generate high demand for premium seafood products such as live mud crabs. Hotels, restaurants, and urban centers within and outside the county provide ready markets, encouraging commercialization of the mud crab fishery and the involvement of multiple actors along the value chain (FAO, 2025). As a result, mud crab fishing in the area has gradually shifted from subsistence use to a market-oriented economic activity.</w:t>
      </w:r>
    </w:p>
    <w:p>
      <w:pPr>
        <w:spacing w:line="240" w:lineRule="auto" w:after="60"/>
      </w:pPr>
      <w:bookmarkStart w:id="41004" w:name="_Fig4"/>
      <w:r>
        <w:rPr>
          <w:rFonts w:ascii="Times New Roman" w:hAnsi="Times New Roman" w:cs="Times New Roman"/>
          <w:b/>
          <w:sz w:val="24"/>
          <w:szCs w:val="24"/>
          <w:color w:val="000000"/>
        </w:rPr>
        <w:t xml:space="preserve">Figure 4</w:t>
      </w:r>
      <w:bookmarkEnd w:id="41004"/>
    </w:p>
    <w:p>
      <w:pPr>
        <w:spacing w:line="240" w:lineRule="auto" w:after="60"/>
      </w:pPr>
      <w:r>
        <w:rPr>
          <w:rFonts w:ascii="Times New Roman" w:hAnsi="Times New Roman" w:cs="Times New Roman"/>
          <w:i/>
          <w:sz w:val="24"/>
          <w:szCs w:val="24"/>
          <w:color w:val="000000"/>
        </w:rPr>
        <w:t xml:space="preserve">Study site (Author, 2026)</w:t>
      </w:r>
    </w:p>
    <w:p w14:paraId="72EFB1C3" w14:textId="77777777" w:rsidR="00221112" w:rsidRPr="00DE5E47" w:rsidRDefault="00C14051" w:rsidP="00DD0A67">
      <w:pPr>
        <w:pStyle w:val="NormalWeb"/>
        <w:keepNext/>
        <w:jc w:val="center"/>
      </w:pPr>
      <w:r w:rsidRPr="00DE5E47">
        <w:rPr>
          <w:noProof/>
        </w:rPr>
        <w:lastRenderedPageBreak/>
        <mc:AlternateContent>
          <mc:Choice Requires="wps">
            <w:drawing>
              <wp:inline distT="0" distB="0" distL="0" distR="0" wp14:anchorId="576E0B0F" wp14:editId="33AB26D3">
                <wp:extent cx="304800" cy="304800"/>
                <wp:effectExtent l="0" t="0" r="0" b="0"/>
                <wp:docPr id="21767787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cei="http://schemas.microsoft.com/office/word/2026/wordml/cei">
            <w:pict>
              <v:rect id="Rectangle 1" o:spid="_x0000_s1026" o:spt="1"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fMlnTSAAAAAwEAAA8AAAAAAAAAAQAgAAAAIgAAAGRycy9kb3du&#10;cmV2LnhtbFBLAQIUABQAAAAIAIdO4kDlGsO9BQIAABoEAAAOAAAAAAAAAAEAIAAAACEBAABkcnMv&#10;ZTJvRG9jLnhtbFBLBQYAAAAABgAGAFkBAACYBQAAAAA=&#10;">
                <v:fill on="f" focussize="0,0"/>
                <v:stroke on="f"/>
                <v:imagedata o:title=""/>
                <o:lock v:ext="edit" aspectratio="t"/>
                <w10:wrap type="none"/>
                <w10:anchorlock/>
              </v:rect>
            </w:pict>
          </mc:Fallback>
        </mc:AlternateContent>
      </w:r>
      <w:r w:rsidRPr="00DE5E47">
        <w:rPr>
          <w:rFonts w:eastAsia="Times New Roman"/>
          <w:noProof/>
          <w:kern w:val="0"/>
          <w14:ligatures w14:val="none"/>
        </w:rPr>
        <w:drawing>
          <wp:inline distT="0" distB="0" distL="0" distR="0" wp14:anchorId="47FD4777" wp14:editId="24222141">
            <wp:extent cx="4029502" cy="2849880"/>
            <wp:effectExtent l="0" t="0" r="9525" b="7620"/>
            <wp:docPr id="108556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61419"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031840" cy="2851534"/>
                    </a:xfrm>
                    <a:prstGeom prst="rect">
                      <a:avLst/>
                    </a:prstGeom>
                    <a:noFill/>
                    <a:ln>
                      <a:noFill/>
                    </a:ln>
                  </pic:spPr>
                </pic:pic>
              </a:graphicData>
            </a:graphic>
          </wp:inline>
        </w:drawing>
      </w:r>
    </w:p>
    <w:p w14:paraId="7E923E92" w14:textId="77777777" w:rsidR="0095467C" w:rsidRDefault="00C247CF">
      <w:pPr>
        <w:pStyle w:val="Heading2"/>
        <w:outlineLvl w:val="1"/>
      </w:pPr>
      <w:bookmarkStart w:id="52040" w:name="_Toc_40"/>
      <w:bookmarkStart w:id="154" w:name="_Toc241432246"/>
      <w:r>
        <w:t>3.3 Research design</w:t>
      </w:r>
      <w:bookmarkEnd w:id="154"/>
      <w:bookmarkEnd w:id="52040"/>
    </w:p>
    <w:p w14:paraId="4B775F73" w14:textId="77777777" w:rsidR="0095467C" w:rsidRDefault="00C247CF">
      <w:r>
        <w:t>The study used a cross-sectional descriptive mixed-methods design. Each respondent was surveyed once, while field observations and key-informant interviews supplied context on handling practices, institutions and market relationships. The design supports actor profiles, comparisons among actor categories and exploratory BMU associations. It does not establish causal pathways, mediation, moderation or seasonal change.</w:t>
      </w:r>
    </w:p>
    <w:p w14:paraId="3D9594B8" w14:textId="77777777" w:rsidR="00221112" w:rsidRPr="00DE5E47" w:rsidRDefault="00221112">
      <w:pPr>
        <w:spacing w:line="480" w:lineRule="auto"/>
        <w:jc w:val="both"/>
        <w:rPr>
          <w:rFonts w:cs="Times New Roman"/>
          <w:b/>
          <w:bCs/>
          <w:sz w:val="24"/>
          <w:szCs w:val="24"/>
        </w:rPr>
      </w:pPr>
    </w:p>
    <w:p w14:paraId="2E773DCC" w14:textId="77777777" w:rsidR="00221112" w:rsidRPr="00DE5E47" w:rsidRDefault="00C14051">
      <w:pPr>
        <w:pStyle w:val="Heading2"/>
        <w:jc w:val="both"/>
        <w:outlineLvl w:val="1"/>
        <w:rPr>
          <w:rFonts w:cs="Times New Roman"/>
          <w:szCs w:val="24"/>
        </w:rPr>
      </w:pPr>
      <w:bookmarkStart w:id="52041" w:name="_Toc_41"/>
      <w:bookmarkStart w:id="155" w:name="_Toc241432247"/>
      <w:r>
        <w:t>3.4 Target population</w:t>
      </w:r>
      <w:bookmarkEnd w:id="155"/>
      <w:bookmarkEnd w:id="52041"/>
    </w:p>
    <w:p w14:paraId="2F8A849E" w14:textId="77777777" w:rsidR="00221112" w:rsidRPr="00DE5E47" w:rsidRDefault="00C14051">
      <w:pPr>
        <w:spacing w:line="480" w:lineRule="auto"/>
        <w:rPr>
          <w:rFonts w:cs="Times New Roman"/>
          <w:sz w:val="24"/>
          <w:szCs w:val="24"/>
        </w:rPr>
      </w:pPr>
      <w:r>
        <w:t xml:space="preserve">A target population comprises every individual able to give responses pertinent to the objectives of a study (Lamm &amp; Lamm, 2019). The target population here comprised mud crab fishers, middlemen, hoteliers and exporters operating in Kwale County. These groups were selected because they harvest, handle, aggregate, process or trade mud crabs and therefore correspond directly to the three study objectives. Consumers, restaurants that did not procure directly, input suppliers and other service providers were outside the survey scope. Their exclusion means that the study cannot describe consumer preferences or the full set of supporting services. Ministry of Fisheries records informed the fisher sampling frame. Complete lists were not available for middlemen, hoteliers and exporters, so the accessible population for these groups depended on referrals and availability during the study period.</w:t>
      </w:r>
    </w:p>
    <w:p w14:paraId="700E5C24" w14:textId="77777777" w:rsidR="00221112" w:rsidRPr="00DE5E47" w:rsidRDefault="00C14051">
      <w:pPr>
        <w:pStyle w:val="Heading2"/>
        <w:jc w:val="both"/>
        <w:outlineLvl w:val="1"/>
        <w:rPr>
          <w:rFonts w:cs="Times New Roman"/>
          <w:szCs w:val="24"/>
        </w:rPr>
      </w:pPr>
      <w:bookmarkStart w:id="52042" w:name="_Toc_42"/>
      <w:bookmarkStart w:id="156" w:name="_Toc241432248"/>
      <w:r>
        <w:lastRenderedPageBreak/>
        <w:t>3.5 Sample size and sampling procedures</w:t>
      </w:r>
      <w:bookmarkEnd w:id="156"/>
      <w:bookmarkEnd w:id="52042"/>
    </w:p>
    <w:p w14:paraId="71F1BA80" w14:textId="77777777" w:rsidR="00221112" w:rsidRPr="00DE5E47" w:rsidRDefault="00C14051">
      <w:pPr>
        <w:spacing w:line="480" w:lineRule="auto"/>
        <w:rPr>
          <w:rFonts w:cs="Times New Roman"/>
          <w:sz w:val="24"/>
          <w:szCs w:val="24"/>
        </w:rPr>
      </w:pPr>
      <w:r>
        <w:t>The fisher sample was estimated from the available population information. Bowers (2017) reported that mud crab fishers represented about 3% of the 12,915 fishers along the Kenyan coast. Applying Kwale County’s estimated 26.9% share of the national mud crab fisher population gave an estimated population of 104 fishers (Mirera, 2017a; Kimani et al., 2018).</w:t>
      </w:r>
    </w:p>
    <w:p w14:paraId="618CB037"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fishers in the Kenyan coast = 12,915</w:t>
      </w:r>
    </w:p>
    <w:p w14:paraId="6D512796"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Proportion of mud crab fishers in the Kenyan coast = 3%</w:t>
      </w:r>
    </w:p>
    <w:p w14:paraId="5D689E20"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the Kenyan coast = 3/100 x 12,915 = 387</w:t>
      </w:r>
    </w:p>
    <w:p w14:paraId="11871C8D" w14:textId="77777777" w:rsidR="00221112" w:rsidRPr="00DE5E47" w:rsidRDefault="00C14051">
      <w:pPr>
        <w:numPr>
          <w:ilvl w:val="0"/>
          <w:numId w:val="6"/>
        </w:numPr>
        <w:spacing w:line="480" w:lineRule="auto"/>
        <w:rPr>
          <w:rFonts w:cs="Times New Roman"/>
          <w:sz w:val="24"/>
          <w:szCs w:val="24"/>
        </w:rPr>
      </w:pPr>
      <w:r w:rsidRPr="00DE5E47">
        <w:rPr>
          <w:rFonts w:cs="Times New Roman"/>
          <w:sz w:val="24"/>
          <w:szCs w:val="24"/>
        </w:rPr>
        <w:t>Total population of mud crab fishers in Kwale County = 26.9/100 x 387 = 104</w:t>
      </w:r>
    </w:p>
    <w:p w14:paraId="075F086B" w14:textId="77777777" w:rsidR="00221112" w:rsidRPr="00DE5E47" w:rsidRDefault="00C14051">
      <w:pPr>
        <w:spacing w:line="480" w:lineRule="auto"/>
        <w:rPr>
          <w:rFonts w:cs="Times New Roman"/>
          <w:sz w:val="24"/>
          <w:szCs w:val="24"/>
        </w:rPr>
      </w:pPr>
      <w:r w:rsidRPr="00DE5E47">
        <w:rPr>
          <w:rFonts w:cs="Times New Roman"/>
          <w:sz w:val="24"/>
          <w:szCs w:val="24"/>
        </w:rPr>
        <w:t xml:space="preserve">Using Yamane’s formula for sample size determination (Yamane, 1967), the sample size was computed as follows: </w:t>
      </w:r>
      <w:sdt>
        <w:sdtPr>
          <w:rPr>
            <w:rFonts w:cs="Times New Roman"/>
            <w:sz w:val="24"/>
            <w:szCs w:val="24"/>
          </w:rPr>
          <w:id w:val="-1586753023"/>
        </w:sdtPr>
        <w:sdtEndPr/>
        <w:sdtContent>
          <w:r w:rsidRPr="00DE5E47">
            <w:rPr>
              <w:rFonts w:cs="Times New Roman"/>
              <w:sz w:val="24"/>
              <w:szCs w:val="24"/>
            </w:rPr>
            <w:fldChar w:fldCharType="begin"/>
          </w:r>
          <w:r w:rsidRPr="00DE5E47">
            <w:rPr>
              <w:rFonts w:cs="Times New Roman"/>
              <w:sz w:val="24"/>
              <w:szCs w:val="24"/>
              <w:lang w:val="en-GB"/>
            </w:rPr>
            <w:instrText xml:space="preserve"> CITATION Yam67 \l 2057  \m Gil10</w:instrText>
          </w:r>
          <w:r w:rsidRPr="00DE5E47">
            <w:rPr>
              <w:rFonts w:cs="Times New Roman"/>
              <w:sz w:val="24"/>
              <w:szCs w:val="24"/>
            </w:rPr>
            <w:fldChar w:fldCharType="separate"/>
          </w:r>
          <w:r w:rsidRPr="00DE5E47">
            <w:rPr>
              <w:rFonts w:cs="Times New Roman"/>
              <w:sz w:val="24"/>
              <w:szCs w:val="24"/>
              <w:lang w:val="en-GB"/>
            </w:rPr>
            <w:t/>
          </w:r>
          <w:r w:rsidRPr="00DE5E47">
            <w:rPr>
              <w:rFonts w:cs="Times New Roman"/>
              <w:sz w:val="24"/>
              <w:szCs w:val="24"/>
            </w:rPr>
            <w:fldChar w:fldCharType="end"/>
          </w:r>
        </w:sdtContent>
      </w:sdt>
      <w:r w:rsidRPr="00DE5E47">
        <w:rPr>
          <w:rFonts w:cs="Times New Roman"/>
          <w:sz w:val="24"/>
          <w:szCs w:val="24"/>
        </w:rPr>
      </w:r>
    </w:p>
    <w:p w14:paraId="63D2B760" w14:textId="77777777" w:rsidR="00221112" w:rsidRPr="00DE5E47" w:rsidRDefault="00C14051">
      <w:pPr>
        <w:spacing w:line="480" w:lineRule="auto"/>
        <w:rPr>
          <w:rFonts w:cs="Times New Roman"/>
          <w:sz w:val="24"/>
          <w:szCs w:val="24"/>
        </w:rPr>
      </w:pPr>
      <w:r>
        <w:t>where:</w:t>
      </w:r>
    </w:p>
    <w:p w14:paraId="25D1DB28" w14:textId="77777777" w:rsidR="00221112" w:rsidRPr="00DE5E47" w:rsidRDefault="00C14051">
      <w:pPr>
        <w:spacing w:after="200" w:line="480" w:lineRule="auto"/>
        <w:rPr>
          <w:rFonts w:eastAsia="Times New Roman" w:cs="Times New Roman"/>
          <w:kern w:val="0"/>
          <w:sz w:val="24"/>
          <w:szCs w:val="24"/>
          <w14:ligatures w14:val="none"/>
        </w:rPr>
      </w:pPr>
      <w:r>
        <w:t>n = required sample size</w:t>
      </w:r>
    </w:p>
    <w:p w14:paraId="7ED15BFA" w14:textId="77777777" w:rsidR="00221112" w:rsidRPr="00DE5E47" w:rsidRDefault="00C14051">
      <w:pPr>
        <w:spacing w:after="200" w:line="480" w:lineRule="auto"/>
        <w:rPr>
          <w:rFonts w:eastAsia="Times New Roman" w:cs="Times New Roman"/>
          <w:kern w:val="0"/>
          <w:sz w:val="24"/>
          <w:szCs w:val="24"/>
          <w14:ligatures w14:val="none"/>
        </w:rPr>
      </w:pPr>
      <w:r>
        <w:t>N = estimated population of mud crab fishers (104)</w:t>
      </w:r>
    </w:p>
    <w:p w14:paraId="40C28CD7" w14:textId="77777777" w:rsidR="00221112" w:rsidRPr="00DE5E47" w:rsidRDefault="00C14051">
      <w:pPr>
        <w:spacing w:after="200" w:line="480" w:lineRule="auto"/>
        <w:rPr>
          <w:rFonts w:eastAsia="Times New Roman" w:cs="Times New Roman"/>
          <w:kern w:val="0"/>
          <w:sz w:val="24"/>
          <w:szCs w:val="24"/>
          <w14:ligatures w14:val="none"/>
        </w:rPr>
      </w:pPr>
      <w:r>
        <w:t>e = margin of error (0.05)</w:t>
      </w:r>
    </w:p>
    <w:p w14:paraId="02A1FA3D" w14:textId="77777777" w:rsidR="00221112" w:rsidRPr="00DE5E47" w:rsidRDefault="00C14051">
      <w:pPr>
        <w:spacing w:after="200" w:line="480" w:lineRule="auto"/>
        <w:rPr>
          <w:rFonts w:eastAsia="Times New Roman" w:cs="Times New Roman"/>
          <w:kern w:val="0"/>
          <w:sz w:val="24"/>
          <w:szCs w:val="24"/>
          <w:vertAlign w:val="superscript"/>
          <w14:ligatures w14:val="none"/>
        </w:rPr>
      </w:pPr>
      <w:r>
        <w:t>n = 104 / [1 + 104(0.05)^2]</w:t>
      </w:r>
    </w:p>
    <w:p w14:paraId="1B099961" w14:textId="77777777" w:rsidR="00221112" w:rsidRPr="00DE5E47" w:rsidRDefault="00C14051">
      <w:pPr>
        <w:spacing w:after="200" w:line="480" w:lineRule="auto"/>
        <w:rPr>
          <w:rFonts w:eastAsia="Times New Roman" w:cs="Times New Roman"/>
          <w:kern w:val="0"/>
          <w:sz w:val="24"/>
          <w:szCs w:val="24"/>
          <w14:ligatures w14:val="none"/>
        </w:rPr>
      </w:pPr>
      <w:r>
        <w:t>n = 82.54, rounded up to a target of 83 fishers</w:t>
      </w:r>
    </w:p>
    <w:p w14:paraId="5A4DDFF4" w14:textId="77777777" w:rsidR="00221112" w:rsidRPr="00DE5E47" w:rsidRDefault="00C14051">
      <w:pPr>
        <w:spacing w:line="480" w:lineRule="auto"/>
        <w:rPr>
          <w:rFonts w:eastAsia="Aptos" w:cs="Times New Roman"/>
          <w:sz w:val="24"/>
          <w:szCs w:val="24"/>
        </w:rPr>
      </w:pPr>
      <w:r>
        <w:t xml:space="preserve">The completed survey covered 96 actors: 65 mud crab fishers, 22 middlemen, five hoteliers and four exporters. Fishers were recruited from the selected BMUs using the available frame and field access. Because complete lists of downstream actors were not available, fishers and other respondents identified </w:t>
      </w:r>
      <w:r>
        <w:lastRenderedPageBreak/>
        <w:t>traders and buyers who could be approached, and these referrals were followed through snowball sampling.</w:t>
      </w:r>
    </w:p>
    <w:p w14:paraId="78956995" w14:textId="77777777" w:rsidR="0095467C" w:rsidRDefault="00C247CF">
      <w:pPr>
        <w:pStyle w:val="Heading2"/>
        <w:outlineLvl w:val="1"/>
      </w:pPr>
      <w:bookmarkStart w:id="52043" w:name="_Toc_43"/>
      <w:bookmarkStart w:id="157" w:name="_Toc241432249"/>
      <w:r>
        <w:t>3.6 Non-Response and Sampling Limitations</w:t>
      </w:r>
      <w:bookmarkEnd w:id="157"/>
      <w:bookmarkEnd w:id="52043"/>
    </w:p>
    <w:p w14:paraId="17006015" w14:textId="77777777" w:rsidR="0095467C" w:rsidRDefault="00C247CF">
      <w:r>
        <w:t>The study reached 65 of the target 83 fishers, an achieved rate of 78.3%. The shortfall arose mainly because some fishers moved among landing sites and were absent during scheduled visits. The achieved fisher sample is adequate for a descriptive account of the respondents reached, but the missing 18 fishers may differ from those interviewed. Site-level percentages, especially for BMUs with few respondents, should therefore be interpreted cautiously.</w:t>
      </w:r>
    </w:p>
    <w:p w14:paraId="0472CF4A" w14:textId="77777777" w:rsidR="0095467C" w:rsidRDefault="00C247CF">
      <w:r>
        <w:t>A conventional response rate could not be calculated for middlemen, hoteliers or exporters because no complete sampling frame existed. Snowball sampling was practical for locating these dispersed actors, but it may over-represent people with stronger trading connections and under-represent isolated or informal operators. The small hotelier and exporter samples and the absence of middlemen at some BMUs limit statistical generalisation beyond the surveyed actors.</w:t>
      </w:r>
    </w:p>
    <w:p w14:paraId="4386EC33" w14:textId="77777777" w:rsidR="00221112" w:rsidRPr="00DE5E47" w:rsidRDefault="00C14051">
      <w:pPr>
        <w:pStyle w:val="Heading2"/>
        <w:jc w:val="both"/>
        <w:outlineLvl w:val="1"/>
        <w:rPr>
          <w:rFonts w:cs="Times New Roman"/>
          <w:szCs w:val="24"/>
        </w:rPr>
      </w:pPr>
      <w:bookmarkStart w:id="52044" w:name="_Toc_44"/>
      <w:bookmarkStart w:id="158" w:name="_Toc241432250"/>
      <w:r>
        <w:t>3.7 Pilot study</w:t>
      </w:r>
      <w:bookmarkEnd w:id="158"/>
      <w:bookmarkEnd w:id="52044"/>
    </w:p>
    <w:p w14:paraId="2A2041B6" w14:textId="77777777" w:rsidR="00221112" w:rsidRPr="00DE5E47" w:rsidRDefault="00C14051">
      <w:pPr>
        <w:spacing w:line="480" w:lineRule="auto"/>
        <w:rPr>
          <w:rFonts w:eastAsia="Times New Roman" w:cs="Times New Roman"/>
          <w:kern w:val="0"/>
          <w:sz w:val="24"/>
          <w:szCs w:val="24"/>
          <w14:ligatures w14:val="none"/>
        </w:rPr>
      </w:pPr>
      <w:r>
        <w:t>A pilot test involving 18 respondents was used to check whether the questionnaire items were clear, relevant to the objectives and workable in the field (Lowe, 2019). Feedback from the pilot informed the wording and sequencing of the data-collection tool.</w:t>
      </w:r>
    </w:p>
    <w:p w14:paraId="3285AD26" w14:textId="77777777" w:rsidR="00221112" w:rsidRPr="00DE5E47" w:rsidRDefault="00C14051">
      <w:pPr>
        <w:pStyle w:val="Heading2"/>
        <w:jc w:val="both"/>
        <w:outlineLvl w:val="1"/>
        <w:rPr>
          <w:rFonts w:cs="Times New Roman"/>
          <w:szCs w:val="24"/>
        </w:rPr>
      </w:pPr>
      <w:bookmarkStart w:id="52045" w:name="_Toc_45"/>
      <w:bookmarkStart w:id="159" w:name="_Toc241432251"/>
      <w:r>
        <w:t>3.8 Data collection</w:t>
      </w:r>
      <w:bookmarkEnd w:id="159"/>
      <w:bookmarkEnd w:id="52045"/>
    </w:p>
    <w:p w14:paraId="4D504FF7" w14:textId="77777777" w:rsidR="00221112" w:rsidRPr="00DE5E47" w:rsidRDefault="00C14051">
      <w:pPr>
        <w:spacing w:line="480" w:lineRule="auto"/>
        <w:jc w:val="both"/>
        <w:rPr>
          <w:rFonts w:cs="Times New Roman"/>
          <w:sz w:val="24"/>
          <w:szCs w:val="24"/>
        </w:rPr>
      </w:pPr>
      <w:r>
        <w:t>Data were collected from May 2022 to December 2023 using structured questionnaires, field observations and key-informant interviews.</w:t>
      </w:r>
    </w:p>
    <w:p w14:paraId="1D18834F" w14:textId="77777777" w:rsidR="00221112" w:rsidRPr="00DE5E47" w:rsidRDefault="00C14051">
      <w:pPr>
        <w:spacing w:line="480" w:lineRule="auto"/>
        <w:jc w:val="both"/>
        <w:rPr>
          <w:rFonts w:cs="Times New Roman"/>
          <w:sz w:val="24"/>
          <w:szCs w:val="24"/>
        </w:rPr>
      </w:pPr>
      <w:r>
        <w:t>For Objective One, the questionnaire recorded actor category, age, sex, marital status, education, household size, experience, monthly income, business ownership, scale of operation, collective membership, credit, licensing and institutional affiliation. These variables were used to describe the people and businesses operating at different market nodes.</w:t>
      </w:r>
    </w:p>
    <w:p w14:paraId="5072399A" w14:textId="77777777" w:rsidR="00221112" w:rsidRPr="00DE5E47" w:rsidRDefault="00C14051">
      <w:pPr>
        <w:spacing w:line="480" w:lineRule="auto"/>
        <w:jc w:val="both"/>
        <w:rPr>
          <w:rFonts w:cs="Times New Roman"/>
          <w:sz w:val="24"/>
          <w:szCs w:val="24"/>
        </w:rPr>
      </w:pPr>
      <w:r>
        <w:t xml:space="preserve">For Objective Two, respondents described their harvesting or sourcing methods, catch or traded volumes, grading, quality control, processing, preservation, packaging, transport, market destinations, price setting, </w:t>
      </w:r>
      <w:r>
        <w:lastRenderedPageBreak/>
        <w:t>payment, technology use, market research and sources of technical knowledge. Field observations were used to check reported handling, grading, transport and marketing practices where these could be seen.</w:t>
      </w:r>
    </w:p>
    <w:p w14:paraId="4918A2DC" w14:textId="77777777" w:rsidR="00221112" w:rsidRPr="00DE5E47" w:rsidRDefault="00C14051">
      <w:pPr>
        <w:spacing w:line="480" w:lineRule="auto"/>
        <w:jc w:val="both"/>
        <w:rPr>
          <w:rFonts w:cs="Times New Roman"/>
          <w:sz w:val="24"/>
          <w:szCs w:val="24"/>
        </w:rPr>
      </w:pPr>
      <w:r>
        <w:t>For Objective Three, respondents identified operational and market constraints, infrastructure gaps, price risk, access to finance, technology, institutional support, regulation and capacity needs. They also reported opportunities for market access, value addition, infrastructure, training, credit and institutional support. Key informants, including BMU leaders and government officers, provided context on sector-wide conditions. Their accounts and field notes were used to interpret the survey findings rather than as a separate causal test.</w:t>
      </w:r>
    </w:p>
    <w:p w14:paraId="512CAA90" w14:textId="77777777" w:rsidR="00221112" w:rsidRPr="00DE5E47" w:rsidRDefault="00C14051">
      <w:pPr>
        <w:spacing w:line="480" w:lineRule="auto"/>
        <w:jc w:val="both"/>
        <w:rPr>
          <w:rFonts w:cs="Times New Roman"/>
          <w:sz w:val="24"/>
          <w:szCs w:val="24"/>
        </w:rPr>
      </w:pPr>
      <w:r>
        <w:t>Secondary evidence came from published studies, government reports and other documents on mud crab fisheries, actor roles and market conditions. This material provided the background and comparison literature used in Chapters One, Two and Five.</w:t>
      </w:r>
    </w:p>
    <w:p w14:paraId="39982B95" w14:textId="77777777" w:rsidR="0095467C" w:rsidRDefault="00C247CF">
      <w:pPr>
        <w:pStyle w:val="Heading2"/>
        <w:outlineLvl w:val="1"/>
      </w:pPr>
      <w:bookmarkStart w:id="52046" w:name="_Toc_46"/>
      <w:bookmarkStart w:id="160" w:name="_Toc241432252"/>
      <w:r>
        <w:t>3.9 Alignment of objectives and analysis</w:t>
      </w:r>
      <w:bookmarkEnd w:id="160"/>
      <w:bookmarkEnd w:id="52046"/>
    </w:p>
    <w:p w14:paraId="1DCCC1BB" w14:textId="77777777" w:rsidR="0095467C" w:rsidRDefault="00C247CF">
      <w:r>
        <w:t xml:space="preserve">Objective One was analysed with frequencies, valid percentages and actor-specific BMU cross-tabulations, with chi-square tests for selected categorical variables among fishers and middlemen. Objective Two used the same descriptive summaries for functions and market practices, together with means, medians, quartiles and ranges for reported income and prices. Objective Three used frequencies, percentages and selected actor-specific BMU associations for constraints, regulation and opportunities. Hoteliers and </w:t>
      </w:r>
      <w:r>
        <w:t>exporters were described by actor category because their samples were too small and uneven for BMU significance tests. This alignment keeps each conclusion within the scope of the data collected.</w:t>
      </w:r>
    </w:p>
    <w:p>
      <w:pPr>
        <w:spacing w:line="360" w:lineRule="auto" w:after="0"/>
      </w:pPr>
      <w:bookmarkStart w:id="41005" w:name="_Tbl1"/>
      <w:r>
        <w:rPr>
          <w:rFonts w:ascii="Times New Roman" w:hAnsi="Times New Roman" w:cs="Times New Roman"/>
          <w:b/>
          <w:sz w:val="24"/>
          <w:szCs w:val="24"/>
          <w:color w:val="000000"/>
        </w:rPr>
        <w:t xml:space="preserve">Table 1</w:t>
      </w:r>
      <w:bookmarkEnd w:id="41005"/>
    </w:p>
    <w:p>
      <w:pPr>
        <w:spacing w:line="360" w:lineRule="auto" w:after="120"/>
      </w:pPr>
      <w:r>
        <w:rPr>
          <w:rFonts w:ascii="Times New Roman" w:hAnsi="Times New Roman" w:cs="Times New Roman"/>
          <w:i/>
          <w:sz w:val="24"/>
          <w:szCs w:val="24"/>
          <w:color w:val="000000"/>
        </w:rPr>
        <w:t xml:space="preserve">Alignment of Study Objectives, Variables Measured and Analysis Applied</w:t>
      </w:r>
    </w:p>
    <w:tbl>
      <w:tblPr>
        <w:tblStyle w:val="TableNormal"/>
        <w:tblW w:w="9026" w:type="dxa"/>
        <w:tblBorders>
          <w:top w:val="none" w:sz="0" w:color="FFFFFF"/>
          <w:left w:val="none" w:sz="0" w:color="FFFFFF"/>
          <w:bottom w:val="none" w:sz="0" w:color="FFFFFF"/>
          <w:right w:val="none" w:sz="0" w:color="FFFFFF"/>
          <w:insideH w:val="none" w:sz="0" w:color="FFFFFF"/>
          <w:insideV w:val="none" w:sz="0" w:color="FFFFFF"/>
        </w:tblBorders>
      </w:tblPr>
      <w:tblGrid>
        <w:gridCol w:w="1900"/>
        <w:gridCol w:w="2500"/>
        <w:gridCol w:w="3000"/>
        <w:gridCol w:w="1626"/>
      </w:tblGrid>
      <w:tr>
        <w:trPr>
          <w:tblHeader/>
        </w:trPr>
        <w:tc>
          <w:tcPr>
            <w:tcW w:w="19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Objective</w:t>
            </w:r>
          </w:p>
        </w:tc>
        <w:tc>
          <w:tcPr>
            <w:tcW w:w="25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Variables measured</w:t>
            </w:r>
          </w:p>
        </w:tc>
        <w:tc>
          <w:tcPr>
            <w:tcW w:w="3000"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Analysis applied</w:t>
            </w:r>
          </w:p>
        </w:tc>
        <w:tc>
          <w:tcPr>
            <w:tcW w:w="1626" w:type="dxa"/>
            <w:tcBorders>
              <w:top w:val="single" w:sz="6" w:color="000000"/>
              <w:bottom w:val="single" w:sz="4" w:color="000000"/>
            </w:tcBorders>
            <w:tcMar>
              <w:top w:w="60" w:type="dxa"/>
              <w:left w:w="90" w:type="dxa"/>
              <w:bottom w:w="60" w:type="dxa"/>
              <w:right w:w="90" w:type="dxa"/>
            </w:tcMar>
          </w:tcPr>
          <w:p>
            <w:pPr>
              <w:spacing w:line="240" w:lineRule="auto" w:after="20"/>
            </w:pPr>
            <w:r>
              <w:rPr>
                <w:rFonts w:ascii="Times New Roman" w:hAnsi="Times New Roman" w:cs="Times New Roman"/>
                <w:b/>
                <w:sz w:val="20"/>
                <w:szCs w:val="20"/>
                <w:color w:val="000000"/>
              </w:rPr>
              <w:t xml:space="preserve">Reported in</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1. Profile the actors and their characteristics</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Actor category, study site, age, gender, education, marital status, experience, business role, scale of operation, income, licensing, credit, training, collective membership</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descriptive statistics for income and age; actor-specific Monte Carlo chi-square against study site for fishers and middlemen</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3–14, Figures 5–7</w:t>
            </w:r>
          </w:p>
        </w:tc>
      </w:tr>
      <w:tr>
        <w:tc>
          <w:tcPr>
            <w:tcW w:w="19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2. Examine the functions performed at each market node</w:t>
            </w:r>
          </w:p>
        </w:tc>
        <w:tc>
          <w:tcPr>
            <w:tcW w:w="25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Sourcing, buyers, market channel, gear, catch, preparation, packaging, preservation, transport, grading practice and criteria, quality control, size and grade labels, mortality, spoilage, payment, price setting, trading relationships, reported prices by grade</w:t>
            </w:r>
          </w:p>
        </w:tc>
        <w:tc>
          <w:tcPr>
            <w:tcW w:w="3000"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Frequencies and valid percentages by actor category; descriptive statistics for prices; Kruskal–Wallis for price by actor category and by study site within actor; Herfindahl-Hirschman concentration of first-sale outlets and buyer options per harvester; gross marketing margin at each node, total marketing margin and the producer’s share gross and net of measured physical loss; price dispersion and price transmission; actor-specific Monte Carlo chi-square against study site</w:t>
            </w:r>
          </w:p>
        </w:tc>
        <w:tc>
          <w:tcPr>
            <w:tcW w:w="1626" w:type="dxa"/>
            <w:tcBorders>
              <w:top w:val="none" w:sz="0" w:color="FFFFFF"/>
              <w:bottom w:val="none" w:sz="0" w:color="FFFFFF"/>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15–44, Figures 8–18</w:t>
            </w:r>
          </w:p>
        </w:tc>
      </w:tr>
      <w:tr>
        <w:tc>
          <w:tcPr>
            <w:tcW w:w="19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3. Assess the constraints and opportunities facing each actor category</w:t>
            </w:r>
          </w:p>
        </w:tc>
        <w:tc>
          <w:tcPr>
            <w:tcW w:w="25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Main operational constraint, infrastructure constraint, market-access barriers, risk management, innovation, adaptation, regulation, management-plan awareness, perceptions of market structure and policy, priority opportunities, youth involvement, diversification</w:t>
            </w:r>
          </w:p>
        </w:tc>
        <w:tc>
          <w:tcPr>
            <w:tcW w:w="3000"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 xml:space="preserve">Frequencies and valid percentages by actor category; actor-specific Monte Carlo chi-square against study site for fishers and middlemen</w:t>
            </w:r>
          </w:p>
        </w:tc>
        <w:tc>
          <w:tcPr>
            <w:tcW w:w="1626" w:type="dxa"/>
            <w:tcBorders>
              <w:top w:val="none" w:sz="0" w:color="FFFFFF"/>
              <w:bottom w:val="single" w:sz="6" w:color="000000"/>
            </w:tcBorders>
            <w:tcMar>
              <w:top w:w="60" w:type="dxa"/>
              <w:left w:w="90" w:type="dxa"/>
              <w:bottom w:w="60" w:type="dxa"/>
              <w:right w:w="90" w:type="dxa"/>
            </w:tcMar>
          </w:tcPr>
          <w:p>
            <w:pPr>
              <w:spacing w:line="240" w:lineRule="auto" w:after="20"/>
            </w:pPr>
            <w:r>
              <w:rPr>
                <w:rFonts w:ascii="Times New Roman" w:hAnsi="Times New Roman" w:cs="Times New Roman"/>
                <w:sz w:val="20"/>
                <w:szCs w:val="20"/>
                <w:color w:val="000000"/>
              </w:rPr>
              <w:t>Tables 45–52, Figures 19–25</w:t>
            </w:r>
          </w:p>
        </w:tc>
      </w:tr>
    </w:tbl>
    <w:p w14:paraId="5330EB2A" w14:textId="77777777" w:rsidR="00221112" w:rsidRPr="00DE5E47" w:rsidRDefault="00C14051">
      <w:pPr>
        <w:pStyle w:val="Heading2"/>
        <w:jc w:val="both"/>
        <w:outlineLvl w:val="1"/>
        <w:rPr>
          <w:rFonts w:cs="Times New Roman"/>
          <w:szCs w:val="24"/>
        </w:rPr>
      </w:pPr>
      <w:bookmarkStart w:id="52047" w:name="_Toc_47"/>
      <w:bookmarkStart w:id="161" w:name="_Toc241432253"/>
      <w:r>
        <w:t>3.10 Data analysis</w:t>
      </w:r>
      <w:bookmarkEnd w:id="161"/>
      <w:bookmarkEnd w:id="52047"/>
    </w:p>
    <w:p w14:paraId="16BA87FF" w14:textId="77777777" w:rsidR="00221112" w:rsidRPr="00DE5E47" w:rsidRDefault="00C14051">
      <w:pPr>
        <w:pStyle w:val="Heading3"/>
        <w:jc w:val="both"/>
        <w:outlineLvl w:val="2"/>
        <w:rPr>
          <w:rFonts w:cs="Times New Roman"/>
        </w:rPr>
      </w:pPr>
      <w:bookmarkStart w:id="52048" w:name="_Toc_48"/>
      <w:bookmarkStart w:id="162" w:name="_Toc241432254"/>
      <w:r>
        <w:t>3.10.1 Data entry and processing</w:t>
      </w:r>
      <w:bookmarkEnd w:id="162"/>
      <w:bookmarkEnd w:id="52048"/>
    </w:p>
    <w:p w14:paraId="0CFFFE08" w14:textId="77777777" w:rsidR="00221112" w:rsidRPr="00DE5E47" w:rsidRDefault="00C14051">
      <w:pPr>
        <w:spacing w:line="480" w:lineRule="auto"/>
        <w:jc w:val="both"/>
        <w:rPr>
          <w:rFonts w:cs="Times New Roman"/>
          <w:sz w:val="24"/>
          <w:szCs w:val="24"/>
        </w:rPr>
      </w:pPr>
      <w:r>
        <w:t>Questionnaires were administered on smartphones using KoBoToolbox and KoBo Collect. Submitted records were reviewed, coded and downloaded in CSV and XLSX formats.</w:t>
      </w:r>
    </w:p>
    <w:p w14:paraId="53C13BD1" w14:textId="77777777" w:rsidR="00221112" w:rsidRPr="00DE5E47" w:rsidRDefault="00C14051">
      <w:pPr>
        <w:spacing w:line="480" w:lineRule="auto"/>
        <w:jc w:val="both"/>
        <w:rPr>
          <w:rFonts w:cs="Times New Roman"/>
          <w:sz w:val="24"/>
          <w:szCs w:val="24"/>
        </w:rPr>
      </w:pPr>
      <w:r>
        <w:t>The questionnaire followed the study objectives. Its first section covered demographic and business characteristics, the second recorded actor functions and market practices, and the third covered constraints and opportunities.</w:t>
      </w:r>
    </w:p>
    <w:p w14:paraId="3720A2A2" w14:textId="77777777" w:rsidR="00221112" w:rsidRPr="00DE5E47" w:rsidRDefault="00C14051">
      <w:pPr>
        <w:spacing w:line="480" w:lineRule="auto"/>
        <w:jc w:val="both"/>
        <w:rPr>
          <w:rFonts w:cs="Times New Roman"/>
          <w:sz w:val="24"/>
          <w:szCs w:val="24"/>
        </w:rPr>
      </w:pPr>
      <w:r>
        <w:lastRenderedPageBreak/>
        <w:t>Validation rules in the KoBo form reduced missing and out-of-range responses. Cleaning therefore focused on labels, coding consistency, duplicate checks and comparison with the original records where a value appeared unusual.</w:t>
      </w:r>
    </w:p>
    <w:p w14:paraId="7A0BF54B" w14:textId="77777777" w:rsidR="00221112" w:rsidRPr="00DE5E47" w:rsidRDefault="00C14051">
      <w:pPr>
        <w:spacing w:line="480" w:lineRule="auto"/>
        <w:jc w:val="both"/>
        <w:rPr>
          <w:rFonts w:cs="Times New Roman"/>
          <w:sz w:val="24"/>
          <w:szCs w:val="24"/>
        </w:rPr>
      </w:pPr>
      <w:r w:rsidRPr="00DE5E47">
        <w:rPr>
          <w:rFonts w:eastAsia="Times New Roman" w:cs="Times New Roman"/>
          <w:sz w:val="24"/>
          <w:szCs w:val="24"/>
        </w:rPr>
        <w:t>After cleaning, the dataset was imported into IBM SPSS Statistics. Variables were labelled by study objective and checked against the questionnaire. Fishers and middlemen were cross-tabulated separately by BMU, while hoteliers and exporters were pooled by actor because their sample sizes were small and their site coverage was uneven.</w:t>
      </w:r>
    </w:p>
    <w:p w14:paraId="37CE3349" w14:textId="77777777" w:rsidR="00221112" w:rsidRPr="00DE5E47" w:rsidRDefault="00C14051">
      <w:pPr>
        <w:spacing w:line="480" w:lineRule="auto"/>
        <w:jc w:val="both"/>
        <w:rPr>
          <w:rFonts w:cs="Times New Roman"/>
          <w:sz w:val="24"/>
          <w:szCs w:val="24"/>
        </w:rPr>
      </w:pPr>
      <w:r w:rsidRPr="00DE5E47">
        <w:rPr>
          <w:rFonts w:cs="Times New Roman"/>
          <w:sz w:val="24"/>
          <w:szCs w:val="24"/>
        </w:rPr>
        <w:t xml:space="preserve">Descriptive analysis was conducted in IBM SPSS Statistics. Categorical variables were summarised using frequencies and valid percentages within actor category. Continuous variables, including reported monthly income and mud crab prices, were summarised using the mean, standard deviation, median, first and third quartiles, minimum and maximum where valid observations were available. Every table in Chapter Four carries all four actor categories, so that fishers, middlemen, hoteliers and exporters can be compared on the same row. Fishers and middlemen were additionally cross-tabulated by study site; hoteliers and exporters were not, because their samples were small and their site coverage uneven. All charts presented in Chapter Four were generated from the same dataset in IBM SPSS Statistics.</w:t>
      </w:r>
    </w:p>
    <w:p w14:paraId="7C9246DD" w14:textId="77777777" w:rsidR="00221112" w:rsidRPr="00DE5E47" w:rsidRDefault="00C14051">
      <w:pPr>
        <w:pStyle w:val="Heading3"/>
        <w:jc w:val="both"/>
        <w:outlineLvl w:val="2"/>
        <w:rPr>
          <w:rFonts w:cs="Times New Roman"/>
        </w:rPr>
      </w:pPr>
      <w:bookmarkStart w:id="52049" w:name="_Toc_49"/>
      <w:bookmarkStart w:id="163" w:name="_Toc241432255"/>
      <w:r>
        <w:t>3.10.2 Chi-square tests of association</w:t>
      </w:r>
      <w:bookmarkEnd w:id="163"/>
      <w:bookmarkEnd w:id="52049"/>
    </w:p>
    <w:p w14:paraId="12B59A34" w14:textId="77777777" w:rsidR="00221112" w:rsidRPr="00DE5E47" w:rsidRDefault="00C14051">
      <w:pPr>
        <w:spacing w:before="100" w:beforeAutospacing="1" w:after="100" w:afterAutospacing="1" w:line="480" w:lineRule="auto"/>
        <w:jc w:val="both"/>
        <w:rPr>
          <w:rFonts w:eastAsia="Times New Roman" w:cs="Times New Roman"/>
          <w:color w:val="000000" w:themeColor="text1"/>
          <w:kern w:val="0"/>
          <w:sz w:val="24"/>
          <w:szCs w:val="24"/>
          <w:lang w:val="en-GB"/>
          <w14:ligatures w14:val="none"/>
        </w:rPr>
      </w:pPr>
      <w:r w:rsidRPr="00DE5E47">
        <w:rPr>
          <w:rFonts w:cs="Times New Roman"/>
          <w:sz w:val="24"/>
          <w:szCs w:val="24"/>
        </w:rPr>
        <w:t>Chi-square tests were used to assess associations between BMU and selected categorical variables separately for fishers and middlemen. The two actor categories were not pooled in the BMU tests because their functions and distributions differed across sites. Hoteliers and exporters were excluded from BMU significance testing because their numbers were small and site coverage was uneven.</w:t>
      </w:r>
    </w:p>
    <w:p w14:paraId="5BE97190" w14:textId="77777777" w:rsidR="00221112" w:rsidRPr="00DE5E47" w:rsidRDefault="00C14051">
      <w:pPr>
        <w:spacing w:before="100" w:beforeAutospacing="1" w:after="100" w:afterAutospacing="1" w:line="480" w:lineRule="auto"/>
        <w:jc w:val="both"/>
        <w:rPr>
          <w:rFonts w:eastAsia="Times New Roman" w:cs="Times New Roman"/>
          <w:kern w:val="0"/>
          <w:sz w:val="24"/>
          <w:szCs w:val="24"/>
          <w:lang w:val="en-GB"/>
          <w14:ligatures w14:val="none"/>
        </w:rPr>
      </w:pPr>
      <w:r w:rsidRPr="00DE5E47">
        <w:rPr>
          <w:rFonts w:eastAsia="Times New Roman" w:cs="Times New Roman"/>
          <w:sz w:val="24"/>
          <w:szCs w:val="24"/>
        </w:rPr>
        <w:lastRenderedPageBreak/>
        <w:t>The tests covered objective-linked demographic, business, functional, market and constraint variables. Because many contingency tables contained small expected counts, two-sided Monte Carlo p-values based on 10,000 samples were reported with 99% confidence intervals. Statistical significance was assessed at alpha = .05. Hoteliers and exporters were described without BMU significance tests.</w:t>
      </w:r>
    </w:p>
    <w:p>
      <w:pPr>
        <w:pStyle w:val="Heading3"/>
        <w:spacing w:line="360" w:lineRule="auto" w:after="120"/>
        <w:outlineLvl w:val="2"/>
      </w:pPr>
      <w:bookmarkStart w:id="52050" w:name="_Toc_50"/>
      <w:r>
        <w:rPr>
          <w:rFonts w:ascii="Times New Roman" w:hAnsi="Times New Roman" w:cs="Times New Roman"/>
          <w:b/>
          <w:sz w:val="24"/>
          <w:szCs w:val="24"/>
          <w:color w:val="000000"/>
        </w:rPr>
        <w:t xml:space="preserve">3.10.3 Kruskal–Wallis tests of reported prices</w:t>
      </w:r>
      <w:bookmarkEnd w:id="52050"/>
    </w:p>
    <w:p>
      <w:pPr>
        <w:spacing w:line="360" w:lineRule="auto" w:after="120"/>
      </w:pPr>
      <w:r>
        <w:rPr>
          <w:rFonts w:ascii="Times New Roman" w:hAnsi="Times New Roman" w:cs="Times New Roman"/>
          <w:sz w:val="24"/>
          <w:szCs w:val="24"/>
          <w:color w:val="000000"/>
        </w:rPr>
        <w:t xml:space="preserve">Reported mud crab prices were compared with the Kruskal–Wallis H test, a rank-based alternative to one-way analysis of variance. It was chosen because the price distributions were not normal, the actor groups were very unequal in size, and the smallest groups contained four and five observations, conditions under which a parametric test would not be dependable.</w:t>
      </w:r>
    </w:p>
    <w:p>
      <w:pPr>
        <w:spacing w:line="360" w:lineRule="auto" w:after="120"/>
      </w:pPr>
      <w:r>
        <w:rPr>
          <w:rFonts w:ascii="Times New Roman" w:hAnsi="Times New Roman" w:cs="Times New Roman"/>
          <w:sz w:val="24"/>
          <w:szCs w:val="24"/>
          <w:color w:val="000000"/>
        </w:rPr>
        <w:t xml:space="preserve">Three sets of comparisons were run, one per size grade. Price was compared across the four actor categories; fisher price was compared across the four study sites; and middleman price was compared across the three sites where traders were sampled. Hoteliers and exporters were not compared across sites for the reason given above. Statistical significance was assessed at alpha = .05. Because the survey did not record transaction-level costs, volumes or mortality, price differences between nodes are reported as gross marketing margins and shares of the end-of-chain price, never as profit.</w:t>
      </w:r>
    </w:p>
    <w:p w14:paraId="25B695C1" w14:textId="77777777" w:rsidR="00221112" w:rsidRPr="00DE5E47" w:rsidRDefault="00C14051">
      <w:pPr>
        <w:pStyle w:val="Heading2"/>
        <w:jc w:val="both"/>
        <w:outlineLvl w:val="1"/>
        <w:rPr>
          <w:rFonts w:cs="Times New Roman"/>
          <w:szCs w:val="24"/>
        </w:rPr>
      </w:pPr>
      <w:bookmarkStart w:id="52051" w:name="_Toc_51"/>
      <w:bookmarkStart w:id="164" w:name="_Toc241432256"/>
      <w:r>
        <w:t>3.11 Ethical considerations</w:t>
      </w:r>
      <w:bookmarkEnd w:id="164"/>
      <w:bookmarkEnd w:id="52051"/>
    </w:p>
    <w:p w14:paraId="689BCAED" w14:textId="77777777" w:rsidR="00221112" w:rsidRPr="00DE5E47" w:rsidRDefault="00C14051">
      <w:pPr>
        <w:spacing w:line="480" w:lineRule="auto"/>
        <w:jc w:val="both"/>
        <w:rPr>
          <w:rFonts w:cs="Times New Roman"/>
          <w:sz w:val="24"/>
          <w:szCs w:val="24"/>
        </w:rPr>
      </w:pPr>
      <w:r w:rsidRPr="00DE5E47">
        <w:rPr>
          <w:rFonts w:cs="Times New Roman"/>
          <w:sz w:val="24"/>
          <w:szCs w:val="24"/>
        </w:rPr>
        <w:t>The study adhered to ethical standards for statistical research. Respondents were interviewed based on their attainment of the legal age of 18 years; consent was sought from parents or guardians for those under 18. Anonymity and confidentiality were maintained, and participation was voluntary with the option to withdraw at any time. An ethical review certificate was obtained before data collection commenced.</w:t>
      </w:r>
      <w:bookmarkStart w:id="165" w:name="_Toc76558213"/>
    </w:p>
    <w:p w14:paraId="3BC4E0AE" w14:textId="77777777" w:rsidR="00221112" w:rsidRPr="00DE5E47" w:rsidRDefault="00221112">
      <w:pPr>
        <w:spacing w:line="480" w:lineRule="auto"/>
        <w:jc w:val="both"/>
        <w:rPr>
          <w:rFonts w:cs="Times New Roman"/>
          <w:sz w:val="24"/>
          <w:szCs w:val="24"/>
        </w:rPr>
      </w:pPr>
    </w:p>
    <w:p w14:paraId="0AEC5359" w14:textId="77777777" w:rsidR="00221112" w:rsidRPr="00DE5E47" w:rsidRDefault="00221112">
      <w:pPr>
        <w:spacing w:line="480" w:lineRule="auto"/>
        <w:jc w:val="both"/>
        <w:rPr>
          <w:rFonts w:cs="Times New Roman"/>
          <w:b/>
          <w:bCs/>
          <w:sz w:val="24"/>
          <w:szCs w:val="24"/>
        </w:rPr>
      </w:pPr>
      <w:bookmarkStart w:id="166" w:name="_Toc174281890"/>
      <w:bookmarkStart w:id="167" w:name="_Toc174281930"/>
      <w:bookmarkStart w:id="168" w:name="_Toc174282035"/>
      <w:bookmarkStart w:id="169" w:name="_Toc174281785"/>
      <w:bookmarkEnd w:id="166"/>
      <w:bookmarkEnd w:id="167"/>
      <w:bookmarkEnd w:id="168"/>
      <w:bookmarkEnd w:id="169"/>
    </w:p>
    <w:p w14:paraId="27463288" w14:textId="77777777" w:rsidR="00BC662E" w:rsidRPr="00DE5E47" w:rsidRDefault="00BC662E">
      <w:pPr>
        <w:rPr>
          <w:rFonts w:cs="Times New Roman"/>
          <w:sz w:val="24"/>
          <w:szCs w:val="24"/>
        </w:rPr>
        <w:sectPr w:rsidR="00BC662E" w:rsidRPr="00DE5E47">
          <w:footerReference w:type="default" r:id="rId17"/>
          <w:pgSz w:w="12240" w:h="15840"/>
          <w:pgMar w:top="1440" w:right="1440" w:bottom="1440" w:left="1440" w:header="504" w:footer="504" w:gutter="0"/>
          <w:cols w:space="720"/>
          <w:docGrid w:linePitch="360"/>
        </w:sectPr>
      </w:pPr>
    </w:p>
    <w:p>
      <w:pPr>
        <w:pStyle w:val="Heading1"/>
        <w:pageBreakBefore/>
        <w:spacing w:after="240" w:before="240" w:line="360"/>
        <w:jc w:val="center"/>
        <w:outlineLvl w:val="0"/>
      </w:pPr>
      <w:bookmarkStart w:id="52052" w:name="_Toc_52"/>
      <w:r>
        <w:rPr>
          <w:rFonts w:ascii="Times New Roman" w:cs="Times New Roman" w:eastAsia="Times New Roman" w:hAnsi="Times New Roman"/>
          <w:b/>
          <w:bCs/>
          <w:color w:val="000000"/>
          <w:sz w:val="28"/>
          <w:szCs w:val="28"/>
        </w:rPr>
        <w:t xml:space="preserve">CHAPTER FOUR: RESULTS</w:t>
      </w:r>
      <w:bookmarkEnd w:id="52052"/>
    </w:p>
    <w:p>
      <w:pPr>
        <w:pStyle w:val="Heading2"/>
        <w:spacing w:after="140" w:before="280" w:line="360"/>
        <w:outlineLvl w:val="1"/>
      </w:pPr>
      <w:bookmarkStart w:id="52053" w:name="_Toc_53"/>
      <w:r>
        <w:rPr>
          <w:rFonts w:ascii="Times New Roman" w:cs="Times New Roman" w:eastAsia="Times New Roman" w:hAnsi="Times New Roman"/>
          <w:b/>
          <w:bCs/>
          <w:color w:val="000000"/>
          <w:sz w:val="26"/>
          <w:szCs w:val="26"/>
        </w:rPr>
        <w:t xml:space="preserve">4.1 Introduction</w:t>
      </w:r>
      <w:bookmarkEnd w:id="52053"/>
    </w:p>
    <w:p>
      <w:pPr>
        <w:spacing w:after="120" w:before="0" w:line="360"/>
        <w:jc w:val="both"/>
      </w:pPr>
      <w:r>
        <w:rPr>
          <w:rFonts w:ascii="Times New Roman" w:cs="Times New Roman" w:eastAsia="Times New Roman" w:hAnsi="Times New Roman"/>
          <w:color w:val="000000"/>
          <w:sz w:val="24"/>
          <w:szCs w:val="24"/>
        </w:rPr>
        <w:t xml:space="preserve">This chapter presents what 96 mud crab actors on the South Coast of Kenya reported about their work. It follows the three objectives in turn. Every table carries all four actor categories — fisher, middleman, hotelier and exporter — so that the four positions in the chain can be read against one another, and each table is broken down by Beach Management Unit so that site differences remain visible.</w:t>
      </w:r>
    </w:p>
    <w:p>
      <w:pPr>
        <w:spacing w:after="120" w:before="0" w:line="360"/>
        <w:jc w:val="both"/>
      </w:pPr>
      <w:r>
        <w:rPr>
          <w:rFonts w:ascii="Times New Roman" w:cs="Times New Roman" w:eastAsia="Times New Roman" w:hAnsi="Times New Roman"/>
          <w:color w:val="000000"/>
          <w:sz w:val="24"/>
          <w:szCs w:val="24"/>
        </w:rPr>
        <w:t xml:space="preserve">Four conventions govern how the tables should be read. Percentages are valid percentages within the actor category at that site, so the denominator is the number of respondents of that actor category who answered that item at that place, never the full 96. A hyphen means the actor category had no respondents at that site at all; a zero means they had respondents there but none gave that response. The BMU p-value appears on the first row of each actor block and is reported for fishers and middlemen only. Hoteliers and exporters were not tested against site because four of the five hoteliers and all four exporters operated outside the four BMU frames, which leaves one or two respondents per cell.</w:t>
      </w:r>
    </w:p>
    <w:p>
      <w:pPr>
        <w:spacing w:after="120" w:before="0" w:line="360"/>
        <w:jc w:val="both"/>
      </w:pPr>
      <w:r>
        <w:rPr>
          <w:rFonts w:ascii="Times New Roman" w:cs="Times New Roman" w:eastAsia="Times New Roman" w:hAnsi="Times New Roman"/>
          <w:color w:val="000000"/>
          <w:sz w:val="24"/>
          <w:szCs w:val="24"/>
        </w:rPr>
        <w:t xml:space="preserve">Categorical variables were tested against BMU using Monte Carlo chi-square with 10,000 resamples, which suits the sparse tables this sample produces. Fishers and middlemen were tested separately, because a harvester and a trader perform different functions and pooling them would confuse site with role. Reported prices were compared with the Kruskal–Wallis test, which makes no assumption of normality and tolerates the very unequal group sizes here. Each group of tables closes with an interpretation of what the pattern means for the objective, and each objective closes with a comparison against previous studies.</w:t>
      </w:r>
    </w:p>
    <w:p>
      <w:pPr>
        <w:pStyle w:val="Heading2"/>
        <w:spacing w:after="140" w:before="280" w:line="360"/>
        <w:outlineLvl w:val="1"/>
      </w:pPr>
      <w:bookmarkStart w:id="52054" w:name="_Toc_54"/>
      <w:r>
        <w:rPr>
          <w:rFonts w:ascii="Times New Roman" w:cs="Times New Roman" w:eastAsia="Times New Roman" w:hAnsi="Times New Roman"/>
          <w:b/>
          <w:bCs/>
          <w:color w:val="000000"/>
          <w:sz w:val="26"/>
          <w:szCs w:val="26"/>
        </w:rPr>
        <w:t xml:space="preserve">4.2 Distribution of Respondents</w:t>
      </w:r>
      <w:bookmarkEnd w:id="52054"/>
    </w:p>
    <w:p>
      <w:pPr>
        <w:spacing w:after="120" w:before="0" w:line="360"/>
        <w:jc w:val="both"/>
      </w:pPr>
      <w:r>
        <w:rPr>
          <w:rFonts w:ascii="Times New Roman" w:cs="Times New Roman" w:eastAsia="Times New Roman" w:hAnsi="Times New Roman"/>
          <w:color w:val="000000"/>
          <w:sz w:val="24"/>
          <w:szCs w:val="24"/>
        </w:rPr>
        <w:t xml:space="preserve">All 96 respondent identifiers were unique and matched across the three objective worksheets. Landing sites were standardised into Shimoni, Majoreni, Vanga, Msambweni or an Other sites group. One medium-crab price recorded at Gasi was corrected from KSh 800 to KSh 650 per kilogram against the field records, and every figure in this chapter carries that correction.</w:t>
      </w:r>
    </w:p>
    <w:p>
      <w:pPr>
        <w:spacing w:after="0" w:before="240" w:line="240"/>
      </w:pPr>
      <w:bookmarkStart w:id="41006" w:name="_Tbl2"/>
      <w:r>
        <w:rPr>
          <w:rFonts w:ascii="Times New Roman" w:cs="Times New Roman" w:eastAsia="Times New Roman" w:hAnsi="Times New Roman"/>
          <w:b/>
          <w:bCs/>
          <w:color w:val="000000"/>
          <w:sz w:val="24"/>
          <w:szCs w:val="24"/>
        </w:rPr>
        <w:t xml:space="preserve">Table 2</w:t>
      </w:r>
      <w:bookmarkEnd w:id="41006"/>
    </w:p>
    <w:p>
      <w:pPr>
        <w:spacing w:after="120" w:before="0" w:line="240"/>
      </w:pPr>
      <w:r>
        <w:rPr>
          <w:rFonts w:ascii="Times New Roman" w:cs="Times New Roman" w:eastAsia="Times New Roman" w:hAnsi="Times New Roman"/>
          <w:b w:val="false"/>
          <w:bCs w:val="false"/>
          <w:i/>
          <w:iCs/>
          <w:color w:val="000000"/>
          <w:sz w:val="24"/>
          <w:szCs w:val="24"/>
        </w:rPr>
        <w:t xml:space="preserve">Distribution of Respondents by Actor Category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250"/>
        <w:gridCol w:w="1150"/>
        <w:gridCol w:w="1400"/>
        <w:gridCol w:w="1300"/>
        <w:gridCol w:w="976"/>
      </w:tblGrid>
      <w:tr>
        <w:trPr>
          <w:tblHeader/>
        </w:trPr>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Shimoni</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Majoreni</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Vanga</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Msambweni</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Other sites</w:t>
            </w:r>
          </w:p>
        </w:tc>
        <w:tc>
          <w:tcPr>
            <w:tcW w:type="dxa" w:w="9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(38.5%)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r>
      <w:t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9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r>
      <w:tr>
        <w:tc>
          <w:tcPr>
            <w:tcW w:type="dxa" w:w="17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37 (38.5%)</w:t>
            </w:r>
          </w:p>
        </w:tc>
        <w:tc>
          <w:tcPr>
            <w:tcW w:type="dxa" w:w="12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(21.9%)</w:t>
            </w:r>
          </w:p>
        </w:tc>
        <w:tc>
          <w:tcPr>
            <w:tcW w:type="dxa" w:w="11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25 (26.0%)</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(3.1%)</w:t>
            </w:r>
          </w:p>
        </w:tc>
        <w:tc>
          <w:tcPr>
            <w:tcW w:type="dxa" w:w="1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(10.4%)</w:t>
            </w:r>
          </w:p>
        </w:tc>
        <w:tc>
          <w:tcPr>
            <w:tcW w:type="dxa" w:w="97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120" w:before="0" w:line="360"/>
        <w:jc w:val="both"/>
      </w:pPr>
      <w:r>
        <w:rPr>
          <w:rFonts w:ascii="Times New Roman" w:cs="Times New Roman" w:eastAsia="Times New Roman" w:hAnsi="Times New Roman"/>
          <w:color w:val="000000"/>
          <w:sz w:val="24"/>
          <w:szCs w:val="24"/>
        </w:rPr>
        <w:t xml:space="preserve">Table 2 shows that fishers accounted for 65 of the 96 respondents, middlemen for 22, hoteliers for five and exporters for four. The mix differed sharply by site. Shimoni and Majoreni were the only places where fishers and middlemen were both well represented; Vanga returned 21 fishers against four middlemen; Msambweni returned three fishers and nothing else. Hoteliers and exporters sat almost entirely in the Other sites group, which is where the hotels and packhouses buying South Coast crabs actually operate.</w:t>
      </w:r>
    </w:p>
    <w:p>
      <w:pPr>
        <w:spacing w:after="120" w:before="0" w:line="360"/>
        <w:jc w:val="both"/>
      </w:pPr>
      <w:r>
        <w:rPr>
          <w:rFonts w:ascii="Times New Roman" w:cs="Times New Roman" w:eastAsia="Times New Roman" w:hAnsi="Times New Roman"/>
          <w:color w:val="000000"/>
          <w:sz w:val="24"/>
          <w:szCs w:val="24"/>
        </w:rPr>
        <w:t xml:space="preserve">This distribution sets the limits of what the site comparisons can do. A four-site trader comparison was impossible because no middleman was sampled at Msambweni, so middleman tests use the three sites where traders were interviewed. Msambweni is left out of the middleman tables rather than shown as a column of zeros: that is a gap in the realised sample, not evidence that no middlemen work there. Msambweni rests on three respondents and should be read with that in mind.</w:t>
      </w:r>
    </w:p>
    <w:p>
      <w:pPr>
        <w:pStyle w:val="Heading2"/>
        <w:spacing w:after="140" w:before="280" w:line="360"/>
        <w:outlineLvl w:val="1"/>
      </w:pPr>
      <w:bookmarkStart w:id="52055" w:name="_Toc_55"/>
      <w:r>
        <w:rPr>
          <w:rFonts w:ascii="Times New Roman" w:cs="Times New Roman" w:eastAsia="Times New Roman" w:hAnsi="Times New Roman"/>
          <w:b/>
          <w:bCs/>
          <w:color w:val="000000"/>
          <w:sz w:val="26"/>
          <w:szCs w:val="26"/>
        </w:rPr>
        <w:t xml:space="preserve">4.3 Objective One: Profile of Mud Crab Actors and Their Characteristics</w:t>
      </w:r>
      <w:bookmarkEnd w:id="52055"/>
    </w:p>
    <w:p>
      <w:pPr>
        <w:spacing w:after="120" w:before="0" w:line="360"/>
        <w:jc w:val="both"/>
      </w:pPr>
      <w:r>
        <w:rPr>
          <w:rFonts w:ascii="Times New Roman" w:cs="Times New Roman" w:eastAsia="Times New Roman" w:hAnsi="Times New Roman"/>
          <w:color w:val="000000"/>
          <w:sz w:val="24"/>
          <w:szCs w:val="24"/>
        </w:rPr>
        <w:t xml:space="preserve">Objective One sought to profile the socio-economic and business characteristics of mud crab fishery actors. Nineteen characteristics were examined, grouped below into demographic and personal characteristics, business and operational characteristics, and knowledge, training and group membership.</w:t>
      </w:r>
    </w:p>
    <w:p>
      <w:pPr>
        <w:pStyle w:val="Heading3"/>
        <w:spacing w:after="120" w:before="240" w:line="360"/>
        <w:outlineLvl w:val="2"/>
      </w:pPr>
      <w:bookmarkStart w:id="52056" w:name="_Toc_56"/>
      <w:r>
        <w:rPr>
          <w:rFonts w:ascii="Times New Roman" w:cs="Times New Roman" w:eastAsia="Times New Roman" w:hAnsi="Times New Roman"/>
          <w:b/>
          <w:bCs/>
          <w:color w:val="000000"/>
          <w:sz w:val="24"/>
          <w:szCs w:val="24"/>
        </w:rPr>
        <w:t xml:space="preserve">4.3.1 Demographic and Personal Characteristics</w:t>
      </w:r>
      <w:bookmarkEnd w:id="52056"/>
    </w:p>
    <w:p>
      <w:pPr>
        <w:spacing w:after="0" w:before="240" w:line="240"/>
      </w:pPr>
      <w:bookmarkStart w:id="41007" w:name="_Tbl3"/>
      <w:r>
        <w:rPr>
          <w:rFonts w:ascii="Times New Roman" w:cs="Times New Roman" w:eastAsia="Times New Roman" w:hAnsi="Times New Roman"/>
          <w:b/>
          <w:bCs/>
          <w:color w:val="000000"/>
          <w:sz w:val="24"/>
          <w:szCs w:val="24"/>
        </w:rPr>
        <w:t xml:space="preserve">Table 3</w:t>
      </w:r>
      <w:bookmarkEnd w:id="41007"/>
    </w:p>
    <w:p>
      <w:pPr>
        <w:spacing w:after="120" w:before="0" w:line="240"/>
      </w:pPr>
      <w:r>
        <w:rPr>
          <w:rFonts w:ascii="Times New Roman" w:cs="Times New Roman" w:eastAsia="Times New Roman" w:hAnsi="Times New Roman"/>
          <w:b w:val="false"/>
          <w:bCs w:val="false"/>
          <w:i/>
          <w:iCs/>
          <w:color w:val="000000"/>
          <w:sz w:val="24"/>
          <w:szCs w:val="24"/>
        </w:rPr>
        <w:t xml:space="preserve">Age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Age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 (53.8%)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(57.1%)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Under 18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18-35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36-49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50-60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60</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 by actor the largest age band was 18–35 among fishers (35, 53.8%) and hoteliers (4, 80.0%), and 36–49 among middlemen (11, 50.0%) and exporters, all four of whom fell in that band. By BMU, the 18–35 band was largest among fishers at every site except Majoreni, where it tied with the 50–60 band at 5 (35.7%) each. Shimoni contained all four fishers younger than 18 (4, 16.0%); Majoreni held the largest number of fishers over 60 (3, 21.4%), although Msambweni had the highest over-60 share proportionally (1, 33.3% of its three fishers). Fisher age group was associated with BMU (p = .004). Among middlemen the 36–49 band was largest at every site where traders were sampled — 6 (54.5%) at Shimoni, 3 (42.9%) at Majoreni and 2 (50.0%) at Vanga — and middleman age was not associated with BMU (p = .932).</w:t>
      </w:r>
    </w:p>
    <w:p>
      <w:pPr>
        <w:spacing w:after="0" w:before="240" w:line="240"/>
      </w:pPr>
      <w:bookmarkStart w:id="41008" w:name="_Tbl4"/>
      <w:r>
        <w:rPr>
          <w:rFonts w:ascii="Times New Roman" w:cs="Times New Roman" w:eastAsia="Times New Roman" w:hAnsi="Times New Roman"/>
          <w:b/>
          <w:bCs/>
          <w:color w:val="000000"/>
          <w:sz w:val="24"/>
          <w:szCs w:val="24"/>
        </w:rPr>
        <w:t xml:space="preserve">Table 4</w:t>
      </w:r>
      <w:bookmarkEnd w:id="41008"/>
    </w:p>
    <w:p>
      <w:pPr>
        <w:spacing w:after="120" w:before="0" w:line="240"/>
      </w:pPr>
      <w:r>
        <w:rPr>
          <w:rFonts w:ascii="Times New Roman" w:cs="Times New Roman" w:eastAsia="Times New Roman" w:hAnsi="Times New Roman"/>
          <w:b w:val="false"/>
          <w:bCs w:val="false"/>
          <w:i/>
          <w:iCs/>
          <w:color w:val="000000"/>
          <w:sz w:val="24"/>
          <w:szCs w:val="24"/>
        </w:rPr>
        <w:t xml:space="preserve">Gender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Gender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Female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 shows that the value chain was almost entirely male: all 65 fishers, all 22 middlemen, four of the five hoteliers (80.0%) and all four exporters were men. The single woman in the sample was the one hotelier recorded at Shimoni. Gender showed too little variation among fishers and middlemen to support a test of association with BMU.</w:t>
      </w:r>
    </w:p>
    <w:p>
      <w:pPr>
        <w:spacing w:after="120" w:before="0" w:line="360"/>
        <w:jc w:val="both"/>
      </w:pPr>
      <w:r>
        <w:rPr>
          <w:rFonts w:ascii="Times New Roman" w:cs="Times New Roman" w:eastAsia="Times New Roman" w:hAnsi="Times New Roman"/>
          <w:color w:val="000000"/>
          <w:sz w:val="24"/>
          <w:szCs w:val="24"/>
        </w:rPr>
        <w:t xml:space="preserve">Figure 5 shows that primary education was the most common level among fishers (44, 67.7%) and middlemen (16, 72.7%), while hoteliers held certificates (2, 40.0%) or diplomas (3, 60.0%) and exporters held diplomas (3, 75.0%) or an undergraduate qualification (1, 25.0%). Not one fisher or middleman reported schooling beyond secondary level, and 17 fishers (26.2%) reported no formal education at all. By BMU, the primary share among fishers ranged from 13 (52.0%) at Shimoni to 3 (100.0%) at Msambweni, and among middlemen from 4 (57.1%) at Majoreni to 9 (81.8%) at Shimoni. Education was not associated with BMU for fishers (p = .334) or middlemen (p = .928).</w:t>
      </w:r>
    </w:p>
    <w:p>
      <w:pPr>
        <w:spacing w:after="0" w:before="240" w:line="240"/>
      </w:pPr>
      <w:bookmarkStart w:id="41009" w:name="_Fig5"/>
      <w:r>
        <w:rPr>
          <w:rFonts w:ascii="Times New Roman" w:cs="Times New Roman" w:eastAsia="Times New Roman" w:hAnsi="Times New Roman"/>
          <w:b/>
          <w:bCs/>
          <w:color w:val="000000"/>
          <w:sz w:val="24"/>
          <w:szCs w:val="24"/>
        </w:rPr>
        <w:t xml:space="preserve">Figure 5</w:t>
      </w:r>
      <w:bookmarkEnd w:id="41009"/>
    </w:p>
    <w:p>
      <w:pPr>
        <w:spacing w:after="120" w:before="0" w:line="240"/>
      </w:pPr>
      <w:r>
        <w:rPr>
          <w:rFonts w:ascii="Times New Roman" w:cs="Times New Roman" w:eastAsia="Times New Roman" w:hAnsi="Times New Roman"/>
          <w:i/>
          <w:iCs/>
          <w:color w:val="000000"/>
          <w:sz w:val="24"/>
          <w:szCs w:val="24"/>
        </w:rPr>
        <w:t xml:space="preserve">Highest Education Attained Within Each Actor Category</w:t>
      </w:r>
    </w:p>
    <w:p>
      <w:pPr>
        <w:spacing w:after="2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2628900"/>
                    </a:xfrm>
                    <a:prstGeom prst="rect">
                      <a:avLst/>
                    </a:prstGeom>
                  </pic:spPr>
                </pic:pic>
              </a:graphicData>
            </a:graphic>
          </wp:inline>
        </w:drawing>
      </w:r>
    </w:p>
    <w:p>
      <w:pPr>
        <w:spacing w:after="0" w:before="240" w:line="240"/>
      </w:pPr>
      <w:bookmarkStart w:id="41010" w:name="_Tbl5"/>
      <w:r>
        <w:rPr>
          <w:rFonts w:ascii="Times New Roman" w:cs="Times New Roman" w:eastAsia="Times New Roman" w:hAnsi="Times New Roman"/>
          <w:b/>
          <w:bCs/>
          <w:color w:val="000000"/>
          <w:sz w:val="24"/>
          <w:szCs w:val="24"/>
        </w:rPr>
        <w:t xml:space="preserve">Table 5</w:t>
      </w:r>
      <w:bookmarkEnd w:id="41010"/>
    </w:p>
    <w:p>
      <w:pPr>
        <w:spacing w:after="120" w:before="0" w:line="240"/>
      </w:pPr>
      <w:r>
        <w:rPr>
          <w:rFonts w:ascii="Times New Roman" w:cs="Times New Roman" w:eastAsia="Times New Roman" w:hAnsi="Times New Roman"/>
          <w:b w:val="false"/>
          <w:bCs w:val="false"/>
          <w:i/>
          <w:iCs/>
          <w:color w:val="000000"/>
          <w:sz w:val="24"/>
          <w:szCs w:val="24"/>
        </w:rPr>
        <w:t xml:space="preserve">Ethnic Group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Ethnic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 (55.4%)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Digo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Duruma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Vumba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Swahili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Kikuyu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Chinese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 reports ethnic group. The Digo were the largest group among fishers (36, 55.4%) and middlemen (15, 68.2%), followed by the Duruma and the Vumba; hoteliers split between Digo (2, 40.0%), Vumba (2, 40.0%) and Duruma (1, 20.0%). Exporters drew on ethnic groups entirely absent upstream: Chinese (2, 50.0%), Kikuyu (1, 25.0%) and Swahili (1, 25.0%). Ethnicity was not associated with BMU for fishers (p = .368) or middlemen (p = .508). No fisher or middleman reported education beyond secondary level, and no hotelier or exporter reported less than a certificate.</w:t>
      </w:r>
    </w:p>
    <w:p>
      <w:pPr>
        <w:spacing w:after="0" w:before="240" w:line="240"/>
      </w:pPr>
      <w:bookmarkStart w:id="41011" w:name="_Tbl6"/>
      <w:r>
        <w:rPr>
          <w:rFonts w:ascii="Times New Roman" w:cs="Times New Roman" w:eastAsia="Times New Roman" w:hAnsi="Times New Roman"/>
          <w:b/>
          <w:bCs/>
          <w:color w:val="000000"/>
          <w:sz w:val="24"/>
          <w:szCs w:val="24"/>
        </w:rPr>
        <w:t xml:space="preserve">Table 6</w:t>
      </w:r>
      <w:bookmarkEnd w:id="41011"/>
    </w:p>
    <w:p>
      <w:pPr>
        <w:spacing w:after="120" w:before="0" w:line="240"/>
      </w:pPr>
      <w:r>
        <w:rPr>
          <w:rFonts w:ascii="Times New Roman" w:cs="Times New Roman" w:eastAsia="Times New Roman" w:hAnsi="Times New Roman"/>
          <w:b w:val="false"/>
          <w:bCs w:val="false"/>
          <w:i/>
          <w:iCs/>
          <w:color w:val="000000"/>
          <w:sz w:val="24"/>
          <w:szCs w:val="24"/>
        </w:rPr>
        <w:t xml:space="preserve">Marital Status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Marital status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Single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Married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Separated / divorced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Widowed</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6, most fishers (41, 63.1%) and almost all middlemen (20, 90.9%) were married, as were all four exporters; the hoteliers showed the least lopsided split, two single (40.0%) against three married (60.0%). Among fishers the married share ranged from 12 (48.0%) at Shimoni to 18 (85.7%) at Vanga, and marital status was associated with BMU at the margin (p = .049). Middleman marital status was not associated with BMU (p = .665).</w:t>
      </w:r>
    </w:p>
    <w:p>
      <w:pPr>
        <w:spacing w:after="0" w:before="240" w:line="240"/>
      </w:pPr>
      <w:bookmarkStart w:id="41012" w:name="_Tbl7"/>
      <w:r>
        <w:rPr>
          <w:rFonts w:ascii="Times New Roman" w:cs="Times New Roman" w:eastAsia="Times New Roman" w:hAnsi="Times New Roman"/>
          <w:b/>
          <w:bCs/>
          <w:color w:val="000000"/>
          <w:sz w:val="24"/>
          <w:szCs w:val="24"/>
        </w:rPr>
        <w:t xml:space="preserve">Table 7</w:t>
      </w:r>
      <w:bookmarkEnd w:id="41012"/>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Years of experience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(48.0%)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(30.8%)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(50.0%)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Less than 5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5-10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11-20 years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Over 20 years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7 reports years of experience. Fisher experience spread fairly evenly across the 5–10 year (22, 33.8%), 11–20 year (22, 33.8%) and over-20-year (20, 30.8%) bands. Middlemen were considerably more experienced, 16 of 22 (72.7%) reporting more than twenty years, rising to 6 (85.7%) at Majoreni. Hoteliers were comparatively new to the trade, four of five (80.0%) reporting under five years, and exporters split evenly between under five years and 5–10 years (2, 50.0% each). Experience was not associated with BMU for fishers (p = .204) or middlemen (p = .747).</w:t>
      </w:r>
    </w:p>
    <w:p>
      <w:pPr>
        <w:spacing w:after="120" w:before="0" w:line="360"/>
        <w:jc w:val="both"/>
      </w:pPr>
      <w:r>
        <w:rPr>
          <w:rFonts w:ascii="Times New Roman" w:cs="Times New Roman" w:eastAsia="Times New Roman" w:hAnsi="Times New Roman"/>
          <w:color w:val="000000"/>
          <w:sz w:val="24"/>
          <w:szCs w:val="24"/>
        </w:rPr>
        <w:t xml:space="preserve">Read together, Tables 3 to 7 and Figure 5 describe fishers and middlemen as demographically similar in some respects and distinct in others. Both groups were almost entirely male, primarily educated and drawn mainly from the Digo, Duruma and Vumba; gender showed too little variation in either group to support a test, while education and ethnicity were tested and found not to be associated with BMU. Where the two groups diverged was age and experience: fishers concentrated in the 18–35 band, with fisher age the only demographic characteristic significantly associated with BMU, while middlemen were older, concentrated in the 36–49 band, and markedly more experienced. Hoteliers and exporters stood apart from both upstream groups on education and ethnicity, holding higher qualifications throughout and, among exporters, drawing on ethnic groups entirely absent from the upstream sample. For Objective One this means the profile of a mud crab actor is determined far more by position in the chain than by the landing site at which they work.</w:t>
      </w:r>
    </w:p>
    <w:p>
      <w:pPr>
        <w:pStyle w:val="Heading3"/>
        <w:spacing w:after="120" w:before="240" w:line="360"/>
        <w:outlineLvl w:val="2"/>
      </w:pPr>
      <w:bookmarkStart w:id="52057" w:name="_Toc_57"/>
      <w:r>
        <w:rPr>
          <w:rFonts w:ascii="Times New Roman" w:cs="Times New Roman" w:eastAsia="Times New Roman" w:hAnsi="Times New Roman"/>
          <w:b/>
          <w:bCs/>
          <w:color w:val="000000"/>
          <w:sz w:val="24"/>
          <w:szCs w:val="24"/>
        </w:rPr>
        <w:t xml:space="preserve">4.3.2 Business and Operational Characteristics</w:t>
      </w:r>
      <w:bookmarkEnd w:id="52057"/>
    </w:p>
    <w:p>
      <w:pPr>
        <w:spacing w:after="0" w:before="240" w:line="240"/>
      </w:pPr>
      <w:bookmarkStart w:id="41013" w:name="_Tbl8"/>
      <w:r>
        <w:rPr>
          <w:rFonts w:ascii="Times New Roman" w:cs="Times New Roman" w:eastAsia="Times New Roman" w:hAnsi="Times New Roman"/>
          <w:b/>
          <w:bCs/>
          <w:color w:val="000000"/>
          <w:sz w:val="24"/>
          <w:szCs w:val="24"/>
        </w:rPr>
        <w:t xml:space="preserve">Table 8</w:t>
      </w:r>
      <w:bookmarkEnd w:id="41013"/>
    </w:p>
    <w:p>
      <w:pPr>
        <w:spacing w:after="120" w:before="0" w:line="240"/>
      </w:pPr>
      <w:r>
        <w:rPr>
          <w:rFonts w:ascii="Times New Roman" w:cs="Times New Roman" w:eastAsia="Times New Roman" w:hAnsi="Times New Roman"/>
          <w:b w:val="false"/>
          <w:bCs w:val="false"/>
          <w:i/>
          <w:iCs/>
          <w:color w:val="000000"/>
          <w:sz w:val="24"/>
          <w:szCs w:val="24"/>
        </w:rPr>
        <w:t xml:space="preserve">Primary Role and Business Ownership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role in the mud crab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Crabber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Processor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Owns or manages a mud crab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8 confirms that primary role coincided exactly with actor category: fishers were uniformly recorded as crabbers, middlemen as marketers, hoteliers as processors and exporters as exporters, each at 100.0%. Business ownership was equally uniform, with every respondent in all four categories reporting that they owned or managed the operation they described. Neither item varied enough within fishers or middlemen to support a test of association with BMU.</w:t>
      </w:r>
    </w:p>
    <w:p>
      <w:pPr>
        <w:spacing w:after="0" w:before="240" w:line="240"/>
      </w:pPr>
      <w:bookmarkStart w:id="41014" w:name="_Tbl9"/>
      <w:r>
        <w:rPr>
          <w:rFonts w:ascii="Times New Roman" w:cs="Times New Roman" w:eastAsia="Times New Roman" w:hAnsi="Times New Roman"/>
          <w:b/>
          <w:bCs/>
          <w:color w:val="000000"/>
          <w:sz w:val="24"/>
          <w:szCs w:val="24"/>
        </w:rPr>
        <w:t xml:space="preserve">Table 9</w:t>
      </w:r>
      <w:bookmarkEnd w:id="41014"/>
    </w:p>
    <w:p>
      <w:pPr>
        <w:spacing w:after="120" w:before="0" w:line="240"/>
      </w:pPr>
      <w:r>
        <w:rPr>
          <w:rFonts w:ascii="Times New Roman" w:cs="Times New Roman" w:eastAsia="Times New Roman" w:hAnsi="Times New Roman"/>
          <w:b w:val="false"/>
          <w:bCs w:val="false"/>
          <w:i/>
          <w:iCs/>
          <w:color w:val="000000"/>
          <w:sz w:val="24"/>
          <w:szCs w:val="24"/>
        </w:rPr>
        <w:t xml:space="preserve">Scale of Operation of Fishers, Middlemen, Hoteliers and Exporters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Scale of operation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 (98.5%)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Medium-scale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Large-scale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9, fisher operations were almost entirely small-scale (64, 98.5%), with a single medium-scale exception at Vanga. Middleman scale was mixed — 10 small-scale (45.5%), 10 medium-scale (45.5%) and 2 large-scale (9.1%) — and varied by site, the medium-scale share rising from 2 (18.2%) at Shimoni to 5 (71.4%) at Majoreni and 3 (75.0%) at Vanga. That association approached but did not reach conventional significance (p = .050) and should not be treated as established. All five hoteliers operated at medium scale and all four exporters at large scale. Fisher scale was not associated with BMU (p = .606).</w:t>
      </w:r>
    </w:p>
    <w:p>
      <w:pPr>
        <w:spacing w:after="120" w:before="0" w:line="360"/>
        <w:jc w:val="both"/>
      </w:pPr>
      <w:r>
        <w:rPr>
          <w:rFonts w:ascii="Times New Roman" w:cs="Times New Roman" w:eastAsia="Times New Roman" w:hAnsi="Times New Roman"/>
          <w:color w:val="000000"/>
          <w:sz w:val="24"/>
          <w:szCs w:val="24"/>
        </w:rPr>
        <w:t xml:space="preserve">Figure 6 presents the monthly income band derived from mud crab activity. Most fishers fell below KSh 13,900 per month (52, 80.0%), a share ranging from 13 (61.9%) at Vanga to 3 (100.0%) at Msambweni. Every middleman fell in the next band up, KSh 13,900–69,500, a full band above the modal fisher. Four of five hoteliers (80.0%) fell in that same band and one (20.0%) in the highest; all three exporters who gave a valid figure fell in the highest band, KSh 69,501–139,000. Fisher income band was not significantly associated with BMU, although it came close (p = .057).</w:t>
      </w:r>
    </w:p>
    <w:p>
      <w:pPr>
        <w:spacing w:after="0" w:before="240" w:line="240"/>
      </w:pPr>
      <w:bookmarkStart w:id="41015" w:name="_Tbl10"/>
      <w:r>
        <w:rPr>
          <w:rFonts w:ascii="Times New Roman" w:cs="Times New Roman" w:eastAsia="Times New Roman" w:hAnsi="Times New Roman"/>
          <w:b/>
          <w:bCs/>
          <w:color w:val="000000"/>
          <w:sz w:val="24"/>
          <w:szCs w:val="24"/>
        </w:rPr>
        <w:t xml:space="preserve">Table 10</w:t>
      </w:r>
      <w:bookmarkEnd w:id="41015"/>
    </w:p>
    <w:p>
      <w:pPr>
        <w:spacing w:after="120" w:before="0" w:line="240"/>
      </w:pPr>
      <w:r>
        <w:rPr>
          <w:rFonts w:ascii="Times New Roman" w:cs="Times New Roman" w:eastAsia="Times New Roman" w:hAnsi="Times New Roman"/>
          <w:b w:val="false"/>
          <w:bCs w:val="false"/>
          <w:i/>
          <w:iCs/>
          <w:color w:val="000000"/>
          <w:sz w:val="24"/>
          <w:szCs w:val="24"/>
        </w:rPr>
        <w:t xml:space="preserve">Reported Monthly Income and Age of Respondents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00"/>
        <w:gridCol w:w="1000"/>
        <w:gridCol w:w="1250"/>
        <w:gridCol w:w="1150"/>
        <w:gridCol w:w="1150"/>
        <w:gridCol w:w="1500"/>
        <w:gridCol w:w="876"/>
      </w:tblGrid>
      <w:tr>
        <w:trPr>
          <w:tblHeader/>
        </w:trPr>
        <w:tc>
          <w:tcPr>
            <w:tcW w:type="dxa" w:w="2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Reported monthly mud crab income (KSh)</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8,969.2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6,745.3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5,000.0–10,000.0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27,954.5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11,407.9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20,000.0–30,000.0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15,000.0–50,000.0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34,568.8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20,000.0–50,000.0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90,000.0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17,320.5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85,000.0–100,000.0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70,000.0–100,000.0</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17,715.8</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19,886.7</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5,000.0–20,000.0</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4,000.0–100,000.0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Age in completed years</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25–45</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37–51</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24–65</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28–32</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26–48</w:t>
            </w:r>
          </w:p>
        </w:tc>
      </w:tr>
      <w:tr>
        <w:tc>
          <w:tcPr>
            <w:tcW w:type="dxa" w:w="2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41–48</w:t>
            </w:r>
          </w:p>
        </w:tc>
        <w:tc>
          <w:tcPr>
            <w:tcW w:type="dxa" w:w="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38–48</w:t>
            </w:r>
          </w:p>
        </w:tc>
      </w:tr>
      <w:tr>
        <w:tc>
          <w:tcPr>
            <w:tcW w:type="dxa" w:w="2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actors</w:t>
            </w:r>
          </w:p>
        </w:tc>
        <w:tc>
          <w:tcPr>
            <w:tcW w:type="dxa" w:w="10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w:t>
            </w:r>
          </w:p>
        </w:tc>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27–48</w:t>
            </w:r>
          </w:p>
        </w:tc>
        <w:tc>
          <w:tcPr>
            <w:tcW w:type="dxa" w:w="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14–77</w:t>
            </w:r>
          </w:p>
        </w:tc>
      </w:tr>
    </w:tbl>
    <w:p>
      <w:pPr>
        <w:spacing w:after="120" w:before="0" w:line="360"/>
        <w:jc w:val="both"/>
      </w:pPr>
      <w:r>
        <w:rPr>
          <w:rFonts w:ascii="Times New Roman" w:cs="Times New Roman" w:eastAsia="Times New Roman" w:hAnsi="Times New Roman"/>
          <w:color w:val="000000"/>
          <w:sz w:val="24"/>
          <w:szCs w:val="24"/>
        </w:rPr>
        <w:t xml:space="preserve">Table 10 gives the underlying continuous figures. Fishers averaged KSh 8,969.2 a month with a median of KSh 6,000.0; middlemen averaged KSh 27,954.5; hoteliers KSh 43,000.0; and the three exporters who answered averaged KSh 90,000.0 with a median of KSh 100,000.0. An exporter therefore reported roughly ten times the monthly mud crab income of a fisher. Mean age rose from 36 years among fishers to 44 among both middlemen and exporters, while hoteliers averaged 33.</w:t>
      </w:r>
    </w:p>
    <w:p>
      <w:pPr>
        <w:spacing w:after="0" w:before="240" w:line="240"/>
      </w:pPr>
      <w:bookmarkStart w:id="41016" w:name="_Fig6"/>
      <w:r>
        <w:rPr>
          <w:rFonts w:ascii="Times New Roman" w:cs="Times New Roman" w:eastAsia="Times New Roman" w:hAnsi="Times New Roman"/>
          <w:b/>
          <w:bCs/>
          <w:color w:val="000000"/>
          <w:sz w:val="24"/>
          <w:szCs w:val="24"/>
        </w:rPr>
        <w:t xml:space="preserve">Figure 6</w:t>
      </w:r>
      <w:bookmarkEnd w:id="41016"/>
    </w:p>
    <w:p>
      <w:pPr>
        <w:spacing w:after="120" w:before="0" w:line="240"/>
      </w:pPr>
      <w:r>
        <w:rPr>
          <w:rFonts w:ascii="Times New Roman" w:cs="Times New Roman" w:eastAsia="Times New Roman" w:hAnsi="Times New Roman"/>
          <w:i/>
          <w:iCs/>
          <w:color w:val="000000"/>
          <w:sz w:val="24"/>
          <w:szCs w:val="24"/>
        </w:rPr>
        <w:t xml:space="preserve">Monthly Mud Crab Income Band Within Each Actor Category</w:t>
      </w:r>
    </w:p>
    <w:p>
      <w:pPr>
        <w:spacing w:after="24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2619375"/>
                    </a:xfrm>
                    <a:prstGeom prst="rect">
                      <a:avLst/>
                    </a:prstGeom>
                  </pic:spPr>
                </pic:pic>
              </a:graphicData>
            </a:graphic>
          </wp:inline>
        </w:drawing>
      </w:r>
    </w:p>
    <w:p>
      <w:pPr>
        <w:spacing w:after="0" w:before="240" w:line="240"/>
      </w:pPr>
      <w:bookmarkStart w:id="41017" w:name="_Tbl11"/>
      <w:r>
        <w:rPr>
          <w:rFonts w:ascii="Times New Roman" w:cs="Times New Roman" w:eastAsia="Times New Roman" w:hAnsi="Times New Roman"/>
          <w:b/>
          <w:bCs/>
          <w:color w:val="000000"/>
          <w:sz w:val="24"/>
          <w:szCs w:val="24"/>
        </w:rPr>
        <w:t xml:space="preserve">Table 11</w:t>
      </w:r>
      <w:bookmarkEnd w:id="41017"/>
    </w:p>
    <w:p>
      <w:pPr>
        <w:spacing w:after="120" w:before="0" w:line="240"/>
      </w:pPr>
      <w:r>
        <w:rPr>
          <w:rFonts w:ascii="Times New Roman" w:cs="Times New Roman" w:eastAsia="Times New Roman" w:hAnsi="Times New Roman"/>
          <w:b w:val="false"/>
          <w:bCs w:val="false"/>
          <w:i/>
          <w:iCs/>
          <w:color w:val="000000"/>
          <w:sz w:val="24"/>
          <w:szCs w:val="24"/>
        </w:rPr>
        <w:t xml:space="preserve">Other Income Activities, Operating Licence and Loan Use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other income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(28.0%)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Holds an operating licence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(12.5%)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(15.4%)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(87.5%)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(84.6%)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(18.2%)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(81.8%)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loans to facilitate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11 covers three indicators of business formality, and Figure 7 sets licensing, credit, training and collective membership side by side across the four actor categories. Most fishers relied on mud crab fishing as their sole income source, only 13 (20.0%) reporting another activity, while every middleman, hotelier and exporter reported additional income. Operating licences were held by 8 of 64 fishers (12.5%) and 6 of 22 middlemen (27.3%) against every hotelier and exporter. No fisher used a business loan at all, whereas 16 middlemen (72.7%) did, rising to all four (100.0%) at Vanga, and two of the four exporters (50.0%). None of the three items was significantly associated with BMU among fishers or middlemen. One exporter gave no valid income figure and is excluded from the exporter column.</w:t>
      </w:r>
    </w:p>
    <w:p>
      <w:pPr>
        <w:spacing w:after="0" w:before="240" w:line="240"/>
      </w:pPr>
      <w:bookmarkStart w:id="41018" w:name="_Fig7"/>
      <w:r>
        <w:rPr>
          <w:rFonts w:ascii="Times New Roman" w:cs="Times New Roman" w:eastAsia="Times New Roman" w:hAnsi="Times New Roman"/>
          <w:b/>
          <w:bCs/>
          <w:color w:val="000000"/>
          <w:sz w:val="24"/>
          <w:szCs w:val="24"/>
        </w:rPr>
        <w:t xml:space="preserve">Figure 7</w:t>
      </w:r>
      <w:bookmarkEnd w:id="41018"/>
    </w:p>
    <w:p>
      <w:pPr>
        <w:spacing w:after="120" w:before="0" w:line="240"/>
      </w:pPr>
      <w:r>
        <w:rPr>
          <w:rFonts w:ascii="Times New Roman" w:cs="Times New Roman" w:eastAsia="Times New Roman" w:hAnsi="Times New Roman"/>
          <w:i/>
          <w:iCs/>
          <w:color w:val="000000"/>
          <w:sz w:val="24"/>
          <w:szCs w:val="24"/>
        </w:rPr>
        <w:t xml:space="preserve">Licensing, Credit, Training and Collective Membership by Actor Category</w:t>
      </w:r>
    </w:p>
    <w:p>
      <w:pPr>
        <w:spacing w:after="24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2228850"/>
                    </a:xfrm>
                    <a:prstGeom prst="rect">
                      <a:avLst/>
                    </a:prstGeom>
                  </pic:spPr>
                </pic:pic>
              </a:graphicData>
            </a:graphic>
          </wp:inline>
        </w:drawing>
      </w:r>
    </w:p>
    <w:p>
      <w:pPr>
        <w:spacing w:after="0" w:before="240" w:line="240"/>
      </w:pPr>
      <w:bookmarkStart w:id="41019" w:name="_Tbl12"/>
      <w:r>
        <w:rPr>
          <w:rFonts w:ascii="Times New Roman" w:cs="Times New Roman" w:eastAsia="Times New Roman" w:hAnsi="Times New Roman"/>
          <w:b/>
          <w:bCs/>
          <w:color w:val="000000"/>
          <w:sz w:val="24"/>
          <w:szCs w:val="24"/>
        </w:rPr>
        <w:t xml:space="preserve">Table 12</w:t>
      </w:r>
      <w:bookmarkEnd w:id="41019"/>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source of business credit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Formal institutions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Middlemen and relatives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12 shows where credit came from. Fishers who accessed credit relied overwhelmingly on middlemen (61, 93.8%), with a further 4 (6.2%) naming middlemen together with relatives; the middleman share reached 25 (100.0%) at Shimoni. Middlemen themselves relied more on exporters (12, 54.5%) than on other middlemen (10, 45.5%), the exporter share rising to all four (100.0%) at Vanga. All four exporters relied on formal institutions. No hotelier reported a credit source. Credit source was not significantly associated with BMU for fishers (p = .124) or middlemen (p = .099). The label no data marks an item the actor category did not complete, which is different from a zero.</w:t>
      </w:r>
    </w:p>
    <w:p>
      <w:pPr>
        <w:spacing w:after="120" w:before="0" w:line="360"/>
        <w:jc w:val="both"/>
      </w:pPr>
      <w:r>
        <w:rPr>
          <w:rFonts w:ascii="Times New Roman" w:cs="Times New Roman" w:eastAsia="Times New Roman" w:hAnsi="Times New Roman"/>
          <w:color w:val="000000"/>
          <w:sz w:val="24"/>
          <w:szCs w:val="24"/>
        </w:rPr>
        <w:t xml:space="preserve">Considered together, Tables 8 to 12 and Figure 6 describe a business structure that scales and formalises further down the chain. Scale rose from fishers, almost uniformly small-scale, through middlemen, whose scale varied by site and approached significance, to hoteliers at medium scale and exporters at large scale. Income followed the same gradient, and formal licensing was rare upstream but universal downstream. Credit traced the same line in reverse: fishers who borrowed relied on middlemen, middlemen who borrowed relied on exporters, and exporters relied on banks — a single chain of credit dependency running from the landing beach to the export market. For Objective One this is the clearest evidence that the actor categories are not merely different occupations but successive positions of unequal formality and unequal access to finance.</w:t>
      </w:r>
    </w:p>
    <w:p>
      <w:pPr>
        <w:pStyle w:val="Heading3"/>
        <w:spacing w:after="120" w:before="240" w:line="360"/>
        <w:outlineLvl w:val="2"/>
      </w:pPr>
      <w:bookmarkStart w:id="52058" w:name="_Toc_58"/>
      <w:r>
        <w:rPr>
          <w:rFonts w:ascii="Times New Roman" w:cs="Times New Roman" w:eastAsia="Times New Roman" w:hAnsi="Times New Roman"/>
          <w:b/>
          <w:bCs/>
          <w:color w:val="000000"/>
          <w:sz w:val="24"/>
          <w:szCs w:val="24"/>
        </w:rPr>
        <w:t xml:space="preserve">4.3.3 Knowledge, Training and Group Membership</w:t>
      </w:r>
      <w:bookmarkEnd w:id="52058"/>
    </w:p>
    <w:p>
      <w:pPr>
        <w:spacing w:after="0" w:before="240" w:line="240"/>
      </w:pPr>
      <w:bookmarkStart w:id="41020" w:name="_Tbl13"/>
      <w:r>
        <w:rPr>
          <w:rFonts w:ascii="Times New Roman" w:cs="Times New Roman" w:eastAsia="Times New Roman" w:hAnsi="Times New Roman"/>
          <w:b/>
          <w:bCs/>
          <w:color w:val="000000"/>
          <w:sz w:val="24"/>
          <w:szCs w:val="24"/>
        </w:rPr>
        <w:t xml:space="preserve">Table 13</w:t>
      </w:r>
      <w:bookmarkEnd w:id="41020"/>
    </w:p>
    <w:p>
      <w:pPr>
        <w:spacing w:after="120" w:before="0" w:line="240"/>
      </w:pPr>
      <w:r>
        <w:rPr>
          <w:rFonts w:ascii="Times New Roman" w:cs="Times New Roman" w:eastAsia="Times New Roman" w:hAnsi="Times New Roman"/>
          <w:b w:val="false"/>
          <w:bCs w:val="false"/>
          <w:i/>
          <w:iCs/>
          <w:color w:val="000000"/>
          <w:sz w:val="24"/>
          <w:szCs w:val="24"/>
        </w:rPr>
        <w:t xml:space="preserve">Knowledge Acquisition and Formal Training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 knowledge and skills were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(64.1%)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(52.4%)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(35.9%)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(47.6%)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Family tradition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Other source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Received formal mud crab training</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 (92.3%)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13 covers how fishers learned the trade and whether they had been trained. Both items were put to fishers only. Family tradition was the leading route into the fishery (41 of 64, 64.1%), ranging from 19 (79.2%) at Shimoni to 1 (33.3%) at Msambweni, and was not associated with BMU (p = .194). Formal training was rare: only 5 of 65 fishers (7.7%) had received any, and training did vary by site (p = .035), with 3 of 14 trained fishers at Majoreni (21.4%) against 1 of 25 at Shimoni (4.0%) and none at Vanga.</w:t>
      </w:r>
    </w:p>
    <w:p>
      <w:pPr>
        <w:spacing w:after="0" w:before="240" w:line="240"/>
      </w:pPr>
      <w:bookmarkStart w:id="41021" w:name="_Tbl14"/>
      <w:r>
        <w:rPr>
          <w:rFonts w:ascii="Times New Roman" w:cs="Times New Roman" w:eastAsia="Times New Roman" w:hAnsi="Times New Roman"/>
          <w:b/>
          <w:bCs/>
          <w:color w:val="000000"/>
          <w:sz w:val="24"/>
          <w:szCs w:val="24"/>
        </w:rPr>
        <w:t xml:space="preserve">Table 14</w:t>
      </w:r>
      <w:bookmarkEnd w:id="41021"/>
    </w:p>
    <w:p>
      <w:pPr>
        <w:spacing w:after="120" w:before="0" w:line="240"/>
      </w:pPr>
      <w:r>
        <w:rPr>
          <w:rFonts w:ascii="Times New Roman" w:cs="Times New Roman" w:eastAsia="Times New Roman" w:hAnsi="Times New Roman"/>
          <w:b w:val="false"/>
          <w:bCs w:val="false"/>
          <w:i/>
          <w:iCs/>
          <w:color w:val="000000"/>
          <w:sz w:val="24"/>
          <w:szCs w:val="24"/>
        </w:rPr>
        <w:t xml:space="preserve">Cooperative Membership, Self-Help Group Participation and Primary Market Supplied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Member of a cooperative or association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Participates in a self-help group</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supplied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14, no fisher, middleman, hotelier or exporter reported membership of a cooperative or association, or participation in a self-help group. The figure was 0% in every actor category at every site. Primary market divided cleanly by actor: fishers, middlemen and hoteliers supplied local markets exclusively, while all four exporters supplied export markets exclusively.</w:t>
      </w:r>
    </w:p>
    <w:p>
      <w:pPr>
        <w:spacing w:after="120" w:before="0" w:line="360"/>
        <w:jc w:val="both"/>
      </w:pPr>
      <w:r>
        <w:rPr>
          <w:rFonts w:ascii="Times New Roman" w:cs="Times New Roman" w:eastAsia="Times New Roman" w:hAnsi="Times New Roman"/>
          <w:color w:val="000000"/>
          <w:sz w:val="24"/>
          <w:szCs w:val="24"/>
        </w:rPr>
        <w:t xml:space="preserve">Tables 13 and 14 together point to a fishery with very little institutional support or formal organisation. Most fishers learned the trade at home rather than through instruction, and fewer than one in twelve had received any training. Not one respondent in any actor category, upstream or downstream, belonged to a cooperative, an association or a self-help group. The single point of formal structure in the chain was the market channel itself, which divided the domestic and international segments of the trade cleanly and categorically. For Objective One, the absence of any collective body at any node is the most consequential single finding: it means every actor in this chain negotiates alone.</w:t>
      </w:r>
    </w:p>
    <w:p>
      <w:pPr>
        <w:pStyle w:val="Heading3"/>
        <w:spacing w:after="120" w:before="240" w:line="360"/>
        <w:outlineLvl w:val="2"/>
      </w:pPr>
      <w:bookmarkStart w:id="52059" w:name="_Toc_59"/>
      <w:r>
        <w:rPr>
          <w:rFonts w:ascii="Times New Roman" w:cs="Times New Roman" w:eastAsia="Times New Roman" w:hAnsi="Times New Roman"/>
          <w:b/>
          <w:bCs/>
          <w:color w:val="000000"/>
          <w:sz w:val="24"/>
          <w:szCs w:val="24"/>
        </w:rPr>
        <w:t xml:space="preserve">4.3.4 Summary of Objective One</w:t>
      </w:r>
      <w:bookmarkEnd w:id="52059"/>
    </w:p>
    <w:p>
      <w:pPr>
        <w:spacing w:after="120" w:before="0" w:line="360"/>
        <w:jc w:val="both"/>
      </w:pPr>
      <w:r>
        <w:rPr>
          <w:rFonts w:ascii="Times New Roman" w:cs="Times New Roman" w:eastAsia="Times New Roman" w:hAnsi="Times New Roman"/>
          <w:color w:val="000000"/>
          <w:sz w:val="24"/>
          <w:szCs w:val="24"/>
        </w:rPr>
        <w:t xml:space="preserve">Objective One asked who the mud crab actors are and what characterises them. The answer is four groups that differ systematically and in the same direction on almost every measure. Fishers were younger, schooled to primary level or below, small-scale, minimally licensed, untrained, un-diversified and financed by the same middlemen who bought from them. Middlemen were older, far more experienced, better capitalised and connected to exporters. Hoteliers and exporters were formally qualified, fully licensed and operating at a scale upstream actors did not reach. Of the nineteen characteristics examined, only fisher age group, fisher marital status and fisher training showed a significant association with BMU, and middleman scale of operation approached one. The profile of a mud crab actor is therefore set overwhelmingly by position in the chain, not by the landing site at which they work.</w:t>
      </w:r>
    </w:p>
    <w:p>
      <w:pPr>
        <w:pStyle w:val="Heading3"/>
        <w:spacing w:after="120" w:before="240" w:line="360"/>
        <w:outlineLvl w:val="2"/>
      </w:pPr>
      <w:bookmarkStart w:id="52060" w:name="_Toc_60"/>
      <w:r>
        <w:rPr>
          <w:rFonts w:ascii="Times New Roman" w:cs="Times New Roman" w:eastAsia="Times New Roman" w:hAnsi="Times New Roman"/>
          <w:b/>
          <w:bCs/>
          <w:color w:val="000000"/>
          <w:sz w:val="24"/>
          <w:szCs w:val="24"/>
        </w:rPr>
        <w:t xml:space="preserve">4.3.5 Discussion of Findings in Relation to Previous Studies</w:t>
      </w:r>
      <w:bookmarkEnd w:id="52060"/>
    </w:p>
    <w:p>
      <w:pPr>
        <w:spacing w:after="120" w:before="0" w:line="360"/>
        <w:jc w:val="both"/>
      </w:pPr>
      <w:r>
        <w:rPr>
          <w:rFonts w:ascii="Times New Roman" w:cs="Times New Roman" w:eastAsia="Times New Roman" w:hAnsi="Times New Roman"/>
          <w:color w:val="000000"/>
          <w:sz w:val="24"/>
          <w:szCs w:val="24"/>
        </w:rPr>
        <w:t xml:space="preserve">The demographic profile indicates participation concentrated among young-to-middle-aged adults and overwhelmingly male. This broadly agrees with accounts of the Kenyan mud crab fishery as a small-scale coastal livelihood embedded in mangrove-dependent communities (Mirera, 2017a; Fondo &amp; Ogutu, 2021). The significant association between fisher age and BMU, set against non-significant differences for the other demographic characteristics, extends that literature by showing that age composition can vary locally even where the wider social profile is comparatively uniform. The near absence of women should be read as a feature of this sampling frame rather than proof that women are absent from crab-related livelihoods, particularly because the hotelier and exporter samples were very small.</w:t>
      </w:r>
    </w:p>
    <w:p>
      <w:pPr>
        <w:spacing w:after="120" w:before="0" w:line="360"/>
        <w:jc w:val="both"/>
      </w:pPr>
      <w:r>
        <w:rPr>
          <w:rFonts w:ascii="Times New Roman" w:cs="Times New Roman" w:eastAsia="Times New Roman" w:hAnsi="Times New Roman"/>
          <w:color w:val="000000"/>
          <w:sz w:val="24"/>
          <w:szCs w:val="24"/>
        </w:rPr>
        <w:t xml:space="preserve">Education, ethnicity and marital status describe a socially differentiated but predominantly small-scale fishery. Fishers and middlemen were largely primary-educated whereas hoteliers and exporters held higher qualifications. This downstream rise in attainment is consistent with the distinction drawn in the literature between community-level harvesting and more formal market-facing activity, although the cited studies do not establish education as the cause of occupational position (Mirera, 2014a, 2017a). Neither ethnicity nor marital status showed a significant BMU association among middlemen, so these results should be read descriptively and not as evidence that either characteristic determines entry into the chain.</w:t>
      </w:r>
    </w:p>
    <w:p>
      <w:pPr>
        <w:spacing w:after="120" w:before="0" w:line="360"/>
        <w:jc w:val="both"/>
      </w:pPr>
      <w:r>
        <w:rPr>
          <w:rFonts w:ascii="Times New Roman" w:cs="Times New Roman" w:eastAsia="Times New Roman" w:hAnsi="Times New Roman"/>
          <w:color w:val="000000"/>
          <w:sz w:val="24"/>
          <w:szCs w:val="24"/>
        </w:rPr>
        <w:t xml:space="preserve">Differences in experience, role and ownership point to distinct positions along the chain. Fishers were primarily harvesters, middlemen occupied trading and aggregation roles with markedly longer experience, and hoteliers and exporters represented downstream buying and marketing functions. This role differentiation agrees with the value-chain structure described in reviews of the Kenyan fishery, which separate harvesting from aggregation and market access (Mirera, 2017a; Fondo &amp; Ogutu, 2021). The present data extend those accounts by showing that ownership was universal at every node, so the gradient in earnings and scale cannot be explained by differences in who owns the enterprise.</w:t>
      </w:r>
    </w:p>
    <w:p>
      <w:pPr>
        <w:spacing w:after="120" w:before="0" w:line="360"/>
        <w:jc w:val="both"/>
      </w:pPr>
      <w:r>
        <w:rPr>
          <w:rFonts w:ascii="Times New Roman" w:cs="Times New Roman" w:eastAsia="Times New Roman" w:hAnsi="Times New Roman"/>
          <w:color w:val="000000"/>
          <w:sz w:val="24"/>
          <w:szCs w:val="24"/>
        </w:rPr>
        <w:t xml:space="preserve">Scale and income increased toward the downstream end of the chain, and middleman scale also varied by site, although the association only approached significance and should not be treated as significant. This gradient is compatible with concerns in Kenyan fisheries research about unequal access to markets, services and value addition (Fondo &amp; Ogutu, 2021). It extends earlier work by presenting qualifications, scale, income, licensing and formalisation together as a linked downstream pattern. It does not demonstrate causality, and the hotelier and exporter estimates are especially uncertain because those samples were very small and drawn mainly from outside the four BMUs.</w:t>
      </w:r>
    </w:p>
    <w:p>
      <w:pPr>
        <w:spacing w:after="120" w:before="0" w:line="360"/>
        <w:jc w:val="both"/>
      </w:pPr>
      <w:r>
        <w:rPr>
          <w:rFonts w:ascii="Times New Roman" w:cs="Times New Roman" w:eastAsia="Times New Roman" w:hAnsi="Times New Roman"/>
          <w:color w:val="000000"/>
          <w:sz w:val="24"/>
          <w:szCs w:val="24"/>
        </w:rPr>
        <w:t xml:space="preserve">Credit relationships reveal vertical dependence within the chain. Fishers who accessed credit relied overwhelmingly on middlemen, middlemen more often on exporters, and exporters on formal institutions. Crona et al. (2016) describe such arrangements as enabling and constraining at once: the advance solves an immediate cash problem while narrowing where the seller can sell. Béné et al. (2007) treat informal credit in small-scale fisheries as both safety net and mechanism of persistent low returns. The present inventory cannot establish the terms of these arrangements or whether they were beneficial or exploitative, but it does show that the person extending credit to a fisher is the same person buying from him.</w:t>
      </w:r>
    </w:p>
    <w:p>
      <w:pPr>
        <w:spacing w:after="120" w:before="0" w:line="360"/>
        <w:jc w:val="both"/>
      </w:pPr>
      <w:r>
        <w:rPr>
          <w:rFonts w:ascii="Times New Roman" w:cs="Times New Roman" w:eastAsia="Times New Roman" w:hAnsi="Times New Roman"/>
          <w:color w:val="000000"/>
          <w:sz w:val="24"/>
          <w:szCs w:val="24"/>
        </w:rPr>
        <w:t xml:space="preserve">Knowledge transmission remained predominantly informal, with family tradition the leading route into fishing and formal training rare. This agrees with Mirera’s (2014a) account of the importance of organised community settings for learning and livelihood development, and with his review of a fishery grounded in local practice (Mirera, 2017a). The rarity of formal training diverges from the capacity-building orientation emphasised in organised aquaculture initiatives, but that is a difference between settings rather than evidence that such initiatives were ineffective.</w:t>
      </w:r>
    </w:p>
    <w:p>
      <w:pPr>
        <w:spacing w:after="120" w:before="0" w:line="360"/>
        <w:jc w:val="both"/>
      </w:pPr>
      <w:r>
        <w:rPr>
          <w:rFonts w:ascii="Times New Roman" w:cs="Times New Roman" w:eastAsia="Times New Roman" w:hAnsi="Times New Roman"/>
          <w:color w:val="000000"/>
          <w:sz w:val="24"/>
          <w:szCs w:val="24"/>
        </w:rPr>
        <w:t xml:space="preserve">The complete absence of cooperative or self-help-group membership contrasts sharply with the organised community-group model examined by Mirera (2014a), where organisation was integral to small-scale mud crab aquaculture, and supports policy calls for stronger institutions and coordination in fisheries development (Fondo &amp; Ogutu, 2021). Gutiérrez et al. (2011) found that leadership and clear incentives, rather than the existence of a group, separate successful cases from the rest; that nothing at all exists here, at any node, suggests earlier attempts offered members nothing they could see. The divergence is readily explained by context: evidence from organised aquaculture groups should not be assumed to describe independent capture-fishery actors.</w:t>
      </w:r>
    </w:p>
    <w:p>
      <w:pPr>
        <w:spacing w:after="120" w:before="0" w:line="360"/>
        <w:jc w:val="both"/>
      </w:pPr>
      <w:r>
        <w:rPr>
          <w:rFonts w:ascii="Times New Roman" w:cs="Times New Roman" w:eastAsia="Times New Roman" w:hAnsi="Times New Roman"/>
          <w:color w:val="000000"/>
          <w:sz w:val="24"/>
          <w:szCs w:val="24"/>
        </w:rPr>
        <w:t xml:space="preserve">Taken as a whole, Objective One depicts an upstream-to-downstream gradient in qualifications, scale, income, licensing and formalisation, with fishers occupying the least formal and most livelihood-dependent position. This accords with literature identifying persistent constraints to inclusive value addition and institutional development in Kenya’s fisheries (Fondo &amp; Ogutu, 2021), while extending it with actor-level evidence tested against site. It should not be read as a population estimate for hoteliers or exporters, nor as proof that downstream position causes higher income or formalisation.</w:t>
      </w:r>
    </w:p>
    <w:p>
      <w:pPr>
        <w:pStyle w:val="Heading2"/>
        <w:spacing w:after="140" w:before="280" w:line="360"/>
        <w:outlineLvl w:val="1"/>
      </w:pPr>
      <w:bookmarkStart w:id="52061" w:name="_Toc_61"/>
      <w:r>
        <w:rPr>
          <w:rFonts w:ascii="Times New Roman" w:cs="Times New Roman" w:eastAsia="Times New Roman" w:hAnsi="Times New Roman"/>
          <w:b/>
          <w:bCs/>
          <w:color w:val="000000"/>
          <w:sz w:val="26"/>
          <w:szCs w:val="26"/>
        </w:rPr>
        <w:t xml:space="preserve">4.4 Objective Two: Functions Performed by Actors at Each Market Node</w:t>
      </w:r>
      <w:bookmarkEnd w:id="52061"/>
    </w:p>
    <w:p>
      <w:pPr>
        <w:spacing w:after="120" w:before="0" w:line="360"/>
        <w:jc w:val="both"/>
      </w:pPr>
      <w:r>
        <w:rPr>
          <w:rFonts w:ascii="Times New Roman" w:cs="Times New Roman" w:eastAsia="Times New Roman" w:hAnsi="Times New Roman"/>
          <w:color w:val="000000"/>
          <w:sz w:val="24"/>
          <w:szCs w:val="24"/>
        </w:rPr>
        <w:t xml:space="preserve">Objective Two examined what each actor category actually does with a mud crab: how it is obtained, prepared, graded, packed, moved, priced and paid for. The results are grouped into acquisition and disposal, buyers and market channels, handling and transport, grading and quality, losses, payment and price setting, trading relationships, and reported prices.</w:t>
      </w:r>
    </w:p>
    <w:p>
      <w:pPr>
        <w:pStyle w:val="Heading3"/>
        <w:spacing w:after="120" w:before="240" w:line="360"/>
        <w:outlineLvl w:val="2"/>
      </w:pPr>
      <w:bookmarkStart w:id="52062" w:name="_Toc_62"/>
      <w:r>
        <w:rPr>
          <w:rFonts w:ascii="Times New Roman" w:cs="Times New Roman" w:eastAsia="Times New Roman" w:hAnsi="Times New Roman"/>
          <w:b/>
          <w:bCs/>
          <w:color w:val="000000"/>
          <w:sz w:val="24"/>
          <w:szCs w:val="24"/>
        </w:rPr>
        <w:t xml:space="preserve">4.4.1 Acquisition of Crabs and Disposal of the Catch</w:t>
      </w:r>
      <w:bookmarkEnd w:id="52062"/>
    </w:p>
    <w:p>
      <w:pPr>
        <w:spacing w:after="0" w:before="240" w:line="240"/>
      </w:pPr>
      <w:bookmarkStart w:id="41022" w:name="_Tbl15"/>
      <w:r>
        <w:rPr>
          <w:rFonts w:ascii="Times New Roman" w:cs="Times New Roman" w:eastAsia="Times New Roman" w:hAnsi="Times New Roman"/>
          <w:b/>
          <w:bCs/>
          <w:color w:val="000000"/>
          <w:sz w:val="24"/>
          <w:szCs w:val="24"/>
        </w:rPr>
        <w:t xml:space="preserve">Table 15</w:t>
      </w:r>
      <w:bookmarkEnd w:id="41022"/>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and Source of Crabs for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mud crabs are acquired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Catching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Purchasing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15 divides the chain at its first joint. Every fisher obtained crabs by catching them and every middleman, hotelier and exporter obtained them by purchase, with no exception at any site. Figure 8 shows that the source of crabs followed the same division: all 65 fishers caught personally, 21 of 22 middlemen (95.5%) purchased from other middlemen, all five hoteliers purchased from middlemen, and all four exporters purchased from middlemen or agents. The single middleman who caught personally was at Shimoni.</w:t>
      </w:r>
    </w:p>
    <w:p>
      <w:pPr>
        <w:spacing w:after="0" w:before="240" w:line="240"/>
      </w:pPr>
      <w:bookmarkStart w:id="41023" w:name="_Fig8"/>
      <w:r>
        <w:rPr>
          <w:rFonts w:ascii="Times New Roman" w:cs="Times New Roman" w:eastAsia="Times New Roman" w:hAnsi="Times New Roman"/>
          <w:b/>
          <w:bCs/>
          <w:color w:val="000000"/>
          <w:sz w:val="24"/>
          <w:szCs w:val="24"/>
        </w:rPr>
        <w:t xml:space="preserve">Figure 8</w:t>
      </w:r>
      <w:bookmarkEnd w:id="41023"/>
    </w:p>
    <w:p>
      <w:pPr>
        <w:spacing w:after="120" w:before="0" w:line="240"/>
      </w:pPr>
      <w:r>
        <w:rPr>
          <w:rFonts w:ascii="Times New Roman" w:cs="Times New Roman" w:eastAsia="Times New Roman" w:hAnsi="Times New Roman"/>
          <w:i/>
          <w:iCs/>
          <w:color w:val="000000"/>
          <w:sz w:val="24"/>
          <w:szCs w:val="24"/>
        </w:rPr>
        <w:t xml:space="preserve">Source of Crabs for Sale Within Each Actor Category</w:t>
      </w:r>
    </w:p>
    <w:p>
      <w:pPr>
        <w:spacing w:after="24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20002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9 covers harvesting gear, an item answered by fishers and by the one middleman who also caught. Hand collection dominated (47 of 65, 72.3%), ranging from 8 (57.1%) at Majoreni to 2 (100.0%) in the Other sites group. Scoop nets accounted for 9 (13.8%) and hooked sticks for 8 (12.3%), with a single report of sweep nets. Gear was not associated with BMU (p = .144). Percentages are valid percentages within the actor category.</w:t>
      </w:r>
    </w:p>
    <w:p>
      <w:pPr>
        <w:spacing w:after="0" w:before="240" w:line="240"/>
      </w:pPr>
      <w:bookmarkStart w:id="41024" w:name="_Fig9"/>
      <w:r>
        <w:rPr>
          <w:rFonts w:ascii="Times New Roman" w:cs="Times New Roman" w:eastAsia="Times New Roman" w:hAnsi="Times New Roman"/>
          <w:b/>
          <w:bCs/>
          <w:color w:val="000000"/>
          <w:sz w:val="24"/>
          <w:szCs w:val="24"/>
        </w:rPr>
        <w:t xml:space="preserve">Figure 9</w:t>
      </w:r>
      <w:bookmarkEnd w:id="41024"/>
    </w:p>
    <w:p>
      <w:pPr>
        <w:spacing w:after="120" w:before="0" w:line="240"/>
      </w:pPr>
      <w:r>
        <w:rPr>
          <w:rFonts w:ascii="Times New Roman" w:cs="Times New Roman" w:eastAsia="Times New Roman" w:hAnsi="Times New Roman"/>
          <w:i/>
          <w:iCs/>
          <w:color w:val="000000"/>
          <w:sz w:val="24"/>
          <w:szCs w:val="24"/>
        </w:rPr>
        <w:t xml:space="preserve">Fishing or Collection Gear Used by Fishers Within Each BMU</w:t>
      </w:r>
    </w:p>
    <w:p>
      <w:pPr>
        <w:spacing w:after="24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15000" cy="26765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10 shows that the most commonly reported daily catch was 5–10 kg (44 of 65 fishers, 67.7%), a share ranging from 8 (57.1%) at Majoreni to 17 (81.0%) at Vanga. Catches above 10 kg were reported by 14 fishers (21.5%) and catches of 4–5 kg by 6 (9.2%), the latter concentrated at Msambweni (1, 33.3%). Daily catch was not associated with BMU (p = .453). The item was not put to middlemen, hoteliers or exporters, whose columns are therefore blank. Hand collection was the dominant method at all four sites.</w:t>
      </w:r>
    </w:p>
    <w:p>
      <w:pPr>
        <w:spacing w:after="0" w:before="240" w:line="240"/>
      </w:pPr>
      <w:bookmarkStart w:id="41025" w:name="_Fig10"/>
      <w:r>
        <w:rPr>
          <w:rFonts w:ascii="Times New Roman" w:cs="Times New Roman" w:eastAsia="Times New Roman" w:hAnsi="Times New Roman"/>
          <w:b/>
          <w:bCs/>
          <w:color w:val="000000"/>
          <w:sz w:val="24"/>
          <w:szCs w:val="24"/>
        </w:rPr>
        <w:t xml:space="preserve">Figure 10</w:t>
      </w:r>
      <w:bookmarkEnd w:id="41025"/>
    </w:p>
    <w:p>
      <w:pPr>
        <w:spacing w:after="120" w:before="0" w:line="240"/>
      </w:pPr>
      <w:r>
        <w:rPr>
          <w:rFonts w:ascii="Times New Roman" w:cs="Times New Roman" w:eastAsia="Times New Roman" w:hAnsi="Times New Roman"/>
          <w:i/>
          <w:iCs/>
          <w:color w:val="000000"/>
          <w:sz w:val="24"/>
          <w:szCs w:val="24"/>
        </w:rPr>
        <w:t xml:space="preserve">Daily Mud Crab Catch Reported by Fishers Within Each BMU</w:t>
      </w:r>
    </w:p>
    <w:p>
      <w:pPr>
        <w:spacing w:after="24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715000" cy="2733675"/>
                    </a:xfrm>
                    <a:prstGeom prst="rect">
                      <a:avLst/>
                    </a:prstGeom>
                  </pic:spPr>
                </pic:pic>
              </a:graphicData>
            </a:graphic>
          </wp:inline>
        </w:drawing>
      </w:r>
    </w:p>
    <w:p>
      <w:pPr>
        <w:spacing w:after="0" w:before="240" w:line="240"/>
      </w:pPr>
      <w:bookmarkStart w:id="41026" w:name="_Tbl16"/>
      <w:r>
        <w:rPr>
          <w:rFonts w:ascii="Times New Roman" w:cs="Times New Roman" w:eastAsia="Times New Roman" w:hAnsi="Times New Roman"/>
          <w:b/>
          <w:bCs/>
          <w:color w:val="000000"/>
          <w:sz w:val="24"/>
          <w:szCs w:val="24"/>
        </w:rPr>
        <w:t xml:space="preserve">Table 16</w:t>
      </w:r>
      <w:bookmarkEnd w:id="41026"/>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and Travel Time from Fishing Grounds to Market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Proportion of catch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(92.9%)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(28.6%)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Whole catch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Three-quarters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Travel time from fishing grounds to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(33.8%)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(38.1%)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 (66.2%)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(84.0%)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hour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6 hours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16 reports what fishers did with the catch and how far they had to carry it. Selling the whole catch was the norm (52, 80.0%), ranging from 2 (66.7%) at Msambweni to 13 (92.9%) at Majoreni; the remaining 13 fishers (20.0%) sold three-quarters. Travel time to market was six hours for 43 fishers (66.2%) and one hour for 22 (33.8%). Travel time varied significantly by site (p = .010): 21 of 25 Shimoni fishers (84.0%) and all three at Msambweni reported six hours, against only 5 of 14 at Majoreni (35.7%). Proportion sold was not associated with BMU (p = .452). The 5–10 kg band was the most common at every site.</w:t>
      </w:r>
    </w:p>
    <w:p>
      <w:pPr>
        <w:spacing w:after="120" w:before="0" w:line="360"/>
        <w:jc w:val="both"/>
      </w:pPr>
      <w:r>
        <w:rPr>
          <w:rFonts w:ascii="Times New Roman" w:cs="Times New Roman" w:eastAsia="Times New Roman" w:hAnsi="Times New Roman"/>
          <w:color w:val="000000"/>
          <w:sz w:val="24"/>
          <w:szCs w:val="24"/>
        </w:rPr>
        <w:t xml:space="preserve">Tables 15 and 16 and Figures 9 and 10 establish the harvesting node as a seller with no holding capacity and no alternative to immediate sale. A fisher who lands 5 to 10 kg of live crab, carries it on foot for up to six hours and disposes of the entire catch the same day has no practical means of waiting for a better offer. That the Majoreni fishers reached market fastest is worth carrying forward, because Majoreni also turns out to be the site where fishers received the best price.</w:t>
      </w:r>
    </w:p>
    <w:p>
      <w:pPr>
        <w:pStyle w:val="Heading3"/>
        <w:spacing w:after="120" w:before="240" w:line="360"/>
        <w:outlineLvl w:val="2"/>
      </w:pPr>
      <w:bookmarkStart w:id="52063" w:name="_Toc_63"/>
      <w:r>
        <w:rPr>
          <w:rFonts w:ascii="Times New Roman" w:cs="Times New Roman" w:eastAsia="Times New Roman" w:hAnsi="Times New Roman"/>
          <w:b/>
          <w:bCs/>
          <w:color w:val="000000"/>
          <w:sz w:val="24"/>
          <w:szCs w:val="24"/>
        </w:rPr>
        <w:t xml:space="preserve">4.4.2 Buyers and Market Channels</w:t>
      </w:r>
      <w:bookmarkEnd w:id="52063"/>
    </w:p>
    <w:p>
      <w:pPr>
        <w:spacing w:after="120" w:before="0" w:line="360"/>
        <w:jc w:val="both"/>
      </w:pPr>
      <w:r>
        <w:rPr>
          <w:rFonts w:ascii="Times New Roman" w:cs="Times New Roman" w:eastAsia="Times New Roman" w:hAnsi="Times New Roman"/>
          <w:color w:val="000000"/>
          <w:sz w:val="24"/>
          <w:szCs w:val="24"/>
        </w:rPr>
        <w:t xml:space="preserve">Figure 11 shows who each actor sold to. Every fisher, at every site, sold to a first-level middleman. Middlemen sold on to company agents (9, 40.9%), second-level middlemen (7, 31.8%) or exporters (5, 22.7%), with one selling to another first-level middleman; the company-agent share ranged from 3 (27.3%) at Shimoni to 3 (75.0%) at Vanga, and buyer category was not associated with BMU (p = .656). Hoteliers sold to consumers and exporters to importers, in both cases without exception.</w:t>
      </w:r>
    </w:p>
    <w:p>
      <w:pPr>
        <w:spacing w:after="0" w:before="240" w:line="240"/>
      </w:pPr>
      <w:bookmarkStart w:id="41027" w:name="_Fig11"/>
      <w:r>
        <w:rPr>
          <w:rFonts w:ascii="Times New Roman" w:cs="Times New Roman" w:eastAsia="Times New Roman" w:hAnsi="Times New Roman"/>
          <w:b/>
          <w:bCs/>
          <w:color w:val="000000"/>
          <w:sz w:val="24"/>
          <w:szCs w:val="24"/>
        </w:rPr>
        <w:t xml:space="preserve">Figure 11</w:t>
      </w:r>
      <w:bookmarkEnd w:id="41027"/>
    </w:p>
    <w:p>
      <w:pPr>
        <w:spacing w:after="120" w:before="0" w:line="240"/>
      </w:pPr>
      <w:r>
        <w:rPr>
          <w:rFonts w:ascii="Times New Roman" w:cs="Times New Roman" w:eastAsia="Times New Roman" w:hAnsi="Times New Roman"/>
          <w:i/>
          <w:iCs/>
          <w:color w:val="000000"/>
          <w:sz w:val="24"/>
          <w:szCs w:val="24"/>
        </w:rPr>
        <w:t xml:space="preserve">Main Buyer Category Within Each Actor Category</w:t>
      </w:r>
    </w:p>
    <w:p>
      <w:pPr>
        <w:spacing w:after="240"/>
        <w:jc w:val="center"/>
      </w:pPr>
      <w:r>
        <w:drawing>
          <wp:inline distT="0" distB="0" distL="0" distR="0">
            <wp:extent cx="5715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2428875"/>
                    </a:xfrm>
                    <a:prstGeom prst="rect">
                      <a:avLst/>
                    </a:prstGeom>
                  </pic:spPr>
                </pic:pic>
              </a:graphicData>
            </a:graphic>
          </wp:inline>
        </w:drawing>
      </w:r>
    </w:p>
    <w:p>
      <w:pPr>
        <w:spacing w:after="0" w:before="240" w:line="240"/>
      </w:pPr>
      <w:bookmarkStart w:id="41028" w:name="_Tbl17"/>
      <w:r>
        <w:rPr>
          <w:rFonts w:ascii="Times New Roman" w:cs="Times New Roman" w:eastAsia="Times New Roman" w:hAnsi="Times New Roman"/>
          <w:b/>
          <w:bCs/>
          <w:color w:val="000000"/>
          <w:sz w:val="24"/>
          <w:szCs w:val="24"/>
        </w:rPr>
        <w:t xml:space="preserve">Table 17</w:t>
      </w:r>
      <w:bookmarkEnd w:id="41028"/>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and Contact With Final Consumers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Primary market channel</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Export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Local markets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Restaurants and hotels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Contact with final consumers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Through intermediaries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Direct contact</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17 completes the picture. Fishers and middlemen supplied local markets exclusively, hoteliers supplied restaurants and hotels, and exporters supplied export markets. Contact with the final consumer divided just as cleanly: all 65 fishers and all 22 middlemen reached the consumer only through intermediaries, while all five hoteliers and all four exporters dealt with the end buyer directly. Neither item varied enough within fishers or middlemen to support a test against BMU. Fishers sold exclusively to first-level middlemen; each downstream category had its own distinct main buyer.</w:t>
      </w:r>
    </w:p>
    <w:p>
      <w:pPr>
        <w:spacing w:after="120" w:before="0" w:line="360"/>
        <w:jc w:val="both"/>
      </w:pPr>
      <w:r>
        <w:rPr>
          <w:rFonts w:ascii="Times New Roman" w:cs="Times New Roman" w:eastAsia="Times New Roman" w:hAnsi="Times New Roman"/>
          <w:color w:val="000000"/>
          <w:sz w:val="24"/>
          <w:szCs w:val="24"/>
        </w:rPr>
        <w:t xml:space="preserve">Table 17 and Figure 11 answer a central part of Objective Two. The actors who know what a crab finally sells for are the two groups furthest from the water, and the two groups who catch and aggregate it never meet the person who eats it. That informational distance is the structural fact underlying the price results reported later in this chapter.</w:t>
      </w:r>
    </w:p>
    <w:p>
      <w:pPr>
        <w:spacing w:after="0" w:before="240" w:line="240"/>
      </w:pPr>
      <w:bookmarkStart w:id="41029" w:name="_Tbl18"/>
      <w:r>
        <w:rPr>
          <w:rFonts w:ascii="Times New Roman" w:cs="Times New Roman" w:eastAsia="Times New Roman" w:hAnsi="Times New Roman"/>
          <w:b/>
          <w:bCs/>
          <w:color w:val="000000"/>
          <w:sz w:val="24"/>
          <w:szCs w:val="24"/>
        </w:rPr>
        <w:t xml:space="preserve">Table 18</w:t>
      </w:r>
      <w:bookmarkEnd w:id="41029"/>
    </w:p>
    <w:p>
      <w:pPr>
        <w:spacing w:after="120" w:before="0" w:line="240"/>
      </w:pPr>
      <w:r>
        <w:rPr>
          <w:rFonts w:ascii="Times New Roman" w:cs="Times New Roman" w:eastAsia="Times New Roman" w:hAnsi="Times New Roman"/>
          <w:b w:val="false"/>
          <w:bCs w:val="false"/>
          <w:i/>
          <w:iCs/>
          <w:color w:val="000000"/>
          <w:sz w:val="24"/>
          <w:szCs w:val="24"/>
        </w:rPr>
        <w:t xml:space="preserve">Number of Buyers, State of Crabs Sold and Regularity of the Main Buyer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Number of buyers reported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(68.0%)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One buyer</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Two buyers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State of mud crabs sold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Live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buyer is regular</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18 records how many buyers each actor dealt with and the condition in which crabs changed hands. Among fishers, 50 (76.9%) reported a single buyer and 15 (23.1%) reported two, with the single-buyer share ranging from 17 (68.0%) at Shimoni to all three (100.0%) at Msambweni; the number of buyers was not associated with BMU (p = .412). The item was not put to the other three categories. All 65 fishers sold crabs live, and every respondent in all four actor categories — 96 of 96 — said their main buyer was a regular one.</w:t>
      </w:r>
    </w:p>
    <w:p>
      <w:pPr>
        <w:spacing w:after="120" w:before="0" w:line="360"/>
        <w:jc w:val="both"/>
      </w:pPr>
      <w:r>
        <w:rPr>
          <w:rFonts w:ascii="Times New Roman" w:cs="Times New Roman" w:eastAsia="Times New Roman" w:hAnsi="Times New Roman"/>
          <w:color w:val="000000"/>
          <w:sz w:val="24"/>
          <w:szCs w:val="24"/>
        </w:rPr>
        <w:t xml:space="preserve">Those three rows together describe a market with almost no spot trading at the harvesting node. Three quarters of fishers dealt with one buyer, that buyer was a regular, and the crab was live and therefore perishable at the moment of sale. A seller in that position has little practical ability to decline the price offered, which is the condition the pricing results later in this chapter describe.</w:t>
      </w:r>
    </w:p>
    <w:p>
      <w:pPr>
        <w:spacing w:after="0" w:before="240" w:line="240"/>
      </w:pPr>
      <w:bookmarkStart w:id="41030" w:name="_Tbl19"/>
      <w:r>
        <w:rPr>
          <w:rFonts w:ascii="Times New Roman" w:cs="Times New Roman" w:eastAsia="Times New Roman" w:hAnsi="Times New Roman"/>
          <w:b/>
          <w:bCs/>
          <w:color w:val="000000"/>
          <w:sz w:val="24"/>
          <w:szCs w:val="24"/>
        </w:rPr>
        <w:t xml:space="preserve">Table 19</w:t>
      </w:r>
      <w:bookmarkEnd w:id="41030"/>
    </w:p>
    <w:p>
      <w:pPr>
        <w:spacing w:after="120" w:before="0" w:line="240"/>
      </w:pPr>
      <w:r>
        <w:rPr>
          <w:rFonts w:ascii="Times New Roman" w:cs="Times New Roman" w:eastAsia="Times New Roman" w:hAnsi="Times New Roman"/>
          <w:b w:val="false"/>
          <w:bCs w:val="false"/>
          <w:i/>
          <w:iCs/>
          <w:color w:val="000000"/>
          <w:sz w:val="24"/>
          <w:szCs w:val="24"/>
        </w:rPr>
        <w:t xml:space="preserve">Location of Sale and Knowledge of the Onward Sale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Location of sale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Landing beach</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Town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whom the next trader sells to</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19, the place of sale divided by node. Every fisher sold at the landing beach, without exception at any site. Middlemen sold in town (11, 50.0%) or at a market (10, 45.5%), with one still selling at the beach, and the pattern did not vary by BMU (p = .928). All five hoteliers and all four exporters sold in town. On knowledge of the onward sale, every fisher, every middleman and all four exporters who answered said they did not know whom the next trader sold to; no hotelier completed the item.</w:t>
      </w:r>
    </w:p>
    <w:p>
      <w:pPr>
        <w:spacing w:after="120" w:before="0" w:line="360"/>
        <w:jc w:val="both"/>
      </w:pPr>
      <w:r>
        <w:rPr>
          <w:rFonts w:ascii="Times New Roman" w:cs="Times New Roman" w:eastAsia="Times New Roman" w:hAnsi="Times New Roman"/>
          <w:color w:val="000000"/>
          <w:sz w:val="24"/>
          <w:szCs w:val="24"/>
        </w:rPr>
        <w:t xml:space="preserve">This is the informational counterpart to Table 17. Not one actor upstream of the final buyer could say where the crab went next. Combined with the absence of market research reported later in Table 35, it means no actor in this chain has sight of the price two steps ahead of their own transaction.</w:t>
      </w:r>
    </w:p>
    <w:p>
      <w:pPr>
        <w:spacing w:after="0" w:before="240" w:line="240"/>
      </w:pPr>
      <w:bookmarkStart w:id="41031" w:name="_Tbl20"/>
      <w:r>
        <w:rPr>
          <w:rFonts w:ascii="Times New Roman" w:cs="Times New Roman" w:eastAsia="Times New Roman" w:hAnsi="Times New Roman"/>
          <w:b/>
          <w:bCs/>
          <w:color w:val="000000"/>
          <w:sz w:val="24"/>
          <w:szCs w:val="24"/>
        </w:rPr>
        <w:t xml:space="preserve">Table 20</w:t>
      </w:r>
      <w:bookmarkEnd w:id="41031"/>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First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(25.4%)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(30.2%)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(92.3%)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(27.0%)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Bodo Pwani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Mwambao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Shimoni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Vanga</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20 reports where fishers said their first buyer was located, an item answered by 63 of the 65 fishers. Three places accounted for more than four-fifths of first sales: Majoreni or Aleni, named by 19 (30.2%), Mkuyuni by 17 (27.0%) and Kiwegu by 16 (25.4%). Shimoni was named by 5 (7.9%), and Gasi, Vanga, Mwambao and Bodo Pwani by four fishers between them. Each of those places is the buying point nearest a particular landing site: of the fishers answering at each site, 16 of 25 at Shimoni (64.0%) named Mkuyuni, 12 of 13 at Majoreni (92.3%) named Majoreni or Aleni, and 15 of 20 at Vanga (75.0%) named Kiwegu. The association with BMU was the strongest recorded anywhere in this study, χ²(21, N = 61) = 125.19, p &lt; .001, 99% CI [.000, .000].</w:t>
      </w:r>
    </w:p>
    <w:p>
      <w:pPr>
        <w:spacing w:after="120" w:before="0" w:line="360"/>
        <w:jc w:val="both"/>
      </w:pPr>
      <w:r>
        <w:rPr>
          <w:rFonts w:ascii="Times New Roman" w:cs="Times New Roman" w:eastAsia="Times New Roman" w:hAnsi="Times New Roman"/>
          <w:color w:val="000000"/>
          <w:sz w:val="24"/>
          <w:szCs w:val="24"/>
        </w:rPr>
        <w:t xml:space="preserve">That result needs reading with care. A near-perfect association between where a fisher lands and where his buyer sits is close to a tautology, and it is reported here for completeness rather than as a finding about market structure. What it does establish is that first sale is a local transaction: the buyer is at or beside the landing site, not in a distant market to which the fisher could take his catch instead.</w:t>
      </w:r>
    </w:p>
    <w:p>
      <w:pPr>
        <w:spacing w:after="0" w:before="240" w:line="240"/>
      </w:pPr>
      <w:bookmarkStart w:id="41032" w:name="_Tbl21"/>
      <w:r>
        <w:rPr>
          <w:rFonts w:ascii="Times New Roman" w:cs="Times New Roman" w:eastAsia="Times New Roman" w:hAnsi="Times New Roman"/>
          <w:b/>
          <w:bCs/>
          <w:color w:val="000000"/>
          <w:sz w:val="24"/>
          <w:szCs w:val="24"/>
        </w:rPr>
        <w:t xml:space="preserve">Table 21</w:t>
      </w:r>
      <w:bookmarkEnd w:id="41032"/>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Second buyer location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(26.7%)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(53.3%)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Mkuyuni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21 covers the second buyer, an item answered by only 15 fishers. Of those, 8 (53.3%) named Mkuyuni, 4 (26.7%) Majoreni or Aleni and 3 (20.0%) Kiwegu, and each group came almost entirely from one landing site: all eight naming Mkuyuni fished at Shimoni and all four naming Majoreni or Aleni fished at Majoreni. The remaining 50 fishers gave no second buyer at all, which is consistent with the single-buyer pattern in Table 18 and is reported here rather than left out, because an absent alternative buyer is itself the finding.</w:t>
      </w:r>
    </w:p>
    <w:p>
      <w:pPr>
        <w:pStyle w:val="Heading3"/>
        <w:spacing w:after="120" w:before="240" w:line="360"/>
        <w:outlineLvl w:val="2"/>
      </w:pPr>
      <w:bookmarkStart w:id="52064" w:name="_Toc_64"/>
      <w:r>
        <w:rPr>
          <w:rFonts w:ascii="Times New Roman" w:cs="Times New Roman" w:eastAsia="Times New Roman" w:hAnsi="Times New Roman"/>
          <w:b/>
          <w:bCs/>
          <w:color w:val="000000"/>
          <w:sz w:val="24"/>
          <w:szCs w:val="24"/>
        </w:rPr>
        <w:t xml:space="preserve">4.4.3 Preparation, Packaging and Transport</w:t>
      </w:r>
      <w:bookmarkEnd w:id="52064"/>
    </w:p>
    <w:p>
      <w:pPr>
        <w:spacing w:after="0" w:before="240" w:line="240"/>
      </w:pPr>
      <w:bookmarkStart w:id="41033" w:name="_Tbl22"/>
      <w:r>
        <w:rPr>
          <w:rFonts w:ascii="Times New Roman" w:cs="Times New Roman" w:eastAsia="Times New Roman" w:hAnsi="Times New Roman"/>
          <w:b/>
          <w:bCs/>
          <w:color w:val="000000"/>
          <w:sz w:val="24"/>
          <w:szCs w:val="24"/>
        </w:rPr>
        <w:t xml:space="preserve">Table 22</w:t>
      </w:r>
      <w:bookmarkEnd w:id="41033"/>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and Preservation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Preserves or processes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 / frozen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Figure 12 shows that preparation became more elaborate at each step. All 65 fishers prepared crabs by tying the claws; 21 of 22 middlemen (95.5%) cleaned, sorted and graded; all five hoteliers processed for the kitchen; and all four exporters cleaned, sorted and graded for consignment. Table 22 records preservation, which was reported only by the hoteliers, all five of whom froze the product; no fisher, middleman or exporter preserved or processed at all. Preparation was not associated with BMU among middlemen (p = 1.000).</w:t>
      </w:r>
    </w:p>
    <w:p>
      <w:pPr>
        <w:spacing w:after="0" w:before="240" w:line="240"/>
      </w:pPr>
      <w:bookmarkStart w:id="41034" w:name="_Fig12"/>
      <w:r>
        <w:rPr>
          <w:rFonts w:ascii="Times New Roman" w:cs="Times New Roman" w:eastAsia="Times New Roman" w:hAnsi="Times New Roman"/>
          <w:b/>
          <w:bCs/>
          <w:color w:val="000000"/>
          <w:sz w:val="24"/>
          <w:szCs w:val="24"/>
        </w:rPr>
        <w:t xml:space="preserve">Figure 12</w:t>
      </w:r>
      <w:bookmarkEnd w:id="41034"/>
    </w:p>
    <w:p>
      <w:pPr>
        <w:spacing w:after="120" w:before="0" w:line="240"/>
      </w:pPr>
      <w:r>
        <w:rPr>
          <w:rFonts w:ascii="Times New Roman" w:cs="Times New Roman" w:eastAsia="Times New Roman" w:hAnsi="Times New Roman"/>
          <w:i/>
          <w:iCs/>
          <w:color w:val="000000"/>
          <w:sz w:val="24"/>
          <w:szCs w:val="24"/>
        </w:rPr>
        <w:t xml:space="preserve">Preparation of Mud Crabs for Market by Actor Category</w:t>
      </w:r>
    </w:p>
    <w:p>
      <w:pPr>
        <w:spacing w:after="24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20955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13 shows a clear ladder of containment. Fishers used sacks (44, 67.7%) or plastic containers (21, 32.3%); middlemen used crates (11, 50.0%) or baskets (10, 45.5%), with one still using a sack; and all four exporters used Styrofoam. Hoteliers did not complete this item because they bought at their own premises, so their column is left blank rather than recorded as zero. Packaging was not associated with BMU for fishers (p = .837) or middlemen (p = .924). Preparation moves from tying claws at the harvesting node to cleaning, sorting and grading downstream.</w:t>
      </w:r>
    </w:p>
    <w:p>
      <w:pPr>
        <w:spacing w:after="0" w:before="240" w:line="240"/>
      </w:pPr>
      <w:bookmarkStart w:id="41035" w:name="_Fig13"/>
      <w:r>
        <w:rPr>
          <w:rFonts w:ascii="Times New Roman" w:cs="Times New Roman" w:eastAsia="Times New Roman" w:hAnsi="Times New Roman"/>
          <w:b/>
          <w:bCs/>
          <w:color w:val="000000"/>
          <w:sz w:val="24"/>
          <w:szCs w:val="24"/>
        </w:rPr>
        <w:t xml:space="preserve">Figure 13</w:t>
      </w:r>
      <w:bookmarkEnd w:id="41035"/>
    </w:p>
    <w:p>
      <w:pPr>
        <w:spacing w:after="120" w:before="0" w:line="240"/>
      </w:pPr>
      <w:r>
        <w:rPr>
          <w:rFonts w:ascii="Times New Roman" w:cs="Times New Roman" w:eastAsia="Times New Roman" w:hAnsi="Times New Roman"/>
          <w:i/>
          <w:iCs/>
          <w:color w:val="000000"/>
          <w:sz w:val="24"/>
          <w:szCs w:val="24"/>
        </w:rPr>
        <w:t xml:space="preserve">Packaging Used for Transporting Mud Crabs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Figure 14 follows the same ladder. Fishers travelled on foot (57, 87.7%) or by motorcycle (8, 12.3%); middlemen used vehicles (17, 77.3%) or motorised boats (4, 18.2%), with one on foot; and all four exporters used air freight. Transport was not associated with BMU for fishers (p = .388) or middlemen (p = .402). Hoteliers did not complete this item because they purchased at their own premises.</w:t>
      </w:r>
    </w:p>
    <w:p>
      <w:pPr>
        <w:spacing w:after="0" w:before="240" w:line="240"/>
      </w:pPr>
      <w:bookmarkStart w:id="41036" w:name="_Fig14"/>
      <w:r>
        <w:rPr>
          <w:rFonts w:ascii="Times New Roman" w:cs="Times New Roman" w:eastAsia="Times New Roman" w:hAnsi="Times New Roman"/>
          <w:b/>
          <w:bCs/>
          <w:color w:val="000000"/>
          <w:sz w:val="24"/>
          <w:szCs w:val="24"/>
        </w:rPr>
        <w:t xml:space="preserve">Figure 14</w:t>
      </w:r>
      <w:bookmarkEnd w:id="41036"/>
    </w:p>
    <w:p>
      <w:pPr>
        <w:spacing w:after="120" w:before="0" w:line="240"/>
      </w:pPr>
      <w:r>
        <w:rPr>
          <w:rFonts w:ascii="Times New Roman" w:cs="Times New Roman" w:eastAsia="Times New Roman" w:hAnsi="Times New Roman"/>
          <w:i/>
          <w:iCs/>
          <w:color w:val="000000"/>
          <w:sz w:val="24"/>
          <w:szCs w:val="24"/>
        </w:rPr>
        <w:t xml:space="preserve">Mode of Transporting Mud Crabs to Market by Actor Category</w:t>
      </w:r>
    </w:p>
    <w:p>
      <w:pPr>
        <w:spacing w:after="24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245745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Tables 18 to 20 show that protection of the product rises with distance from the water, and that the cost of that protection is borne by whoever holds the crab at the time. A sack carried on foot and a Styrofoam box flown out are two ends of the same handling problem, and the actor least able to absorb a loss is the one using the least protective method. Hoteliers did not complete this item.</w:t>
      </w:r>
    </w:p>
    <w:p>
      <w:pPr>
        <w:pStyle w:val="Heading3"/>
        <w:spacing w:after="120" w:before="240" w:line="360"/>
        <w:outlineLvl w:val="2"/>
      </w:pPr>
      <w:bookmarkStart w:id="52065" w:name="_Toc_65"/>
      <w:r>
        <w:rPr>
          <w:rFonts w:ascii="Times New Roman" w:cs="Times New Roman" w:eastAsia="Times New Roman" w:hAnsi="Times New Roman"/>
          <w:b/>
          <w:bCs/>
          <w:color w:val="000000"/>
          <w:sz w:val="24"/>
          <w:szCs w:val="24"/>
        </w:rPr>
        <w:t xml:space="preserve">4.4.4 Grading and Quality Control</w:t>
      </w:r>
      <w:bookmarkEnd w:id="52065"/>
    </w:p>
    <w:p>
      <w:pPr>
        <w:spacing w:after="0" w:before="240" w:line="240"/>
      </w:pPr>
      <w:bookmarkStart w:id="41037" w:name="_Tbl23"/>
      <w:r>
        <w:rPr>
          <w:rFonts w:ascii="Times New Roman" w:cs="Times New Roman" w:eastAsia="Times New Roman" w:hAnsi="Times New Roman"/>
          <w:b/>
          <w:bCs/>
          <w:color w:val="000000"/>
          <w:sz w:val="24"/>
          <w:szCs w:val="24"/>
        </w:rPr>
        <w:t xml:space="preserve">Table 23</w:t>
      </w:r>
      <w:bookmarkEnd w:id="41037"/>
    </w:p>
    <w:p>
      <w:pPr>
        <w:spacing w:after="120" w:before="0" w:line="240"/>
      </w:pPr>
      <w:r>
        <w:rPr>
          <w:rFonts w:ascii="Times New Roman" w:cs="Times New Roman" w:eastAsia="Times New Roman" w:hAnsi="Times New Roman"/>
          <w:b w:val="false"/>
          <w:bCs w:val="false"/>
          <w:i/>
          <w:iCs/>
          <w:color w:val="000000"/>
          <w:sz w:val="24"/>
          <w:szCs w:val="24"/>
        </w:rPr>
        <w:t xml:space="preserve">Grading Practice and Criteria Used to Determine Grade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Engages in grading mud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23 records the single most consequential functional difference in the chapter. Every one of the 96 respondents, at every site, said they graded mud crabs. They did not grade by the same rule, and Figure 15 shows how far apart the criteria were. All 65 fishers graded on weight alone, while 21 of 22 middlemen (95.5%) and every hotelier and exporter combined size, weight, shell condition and claw size. The one middleman using weight alone was at Shimoni. Grading criteria did not vary by site among middlemen (p = 1.000), and did not vary at all among fishers.</w:t>
      </w:r>
    </w:p>
    <w:p>
      <w:pPr>
        <w:spacing w:after="0" w:before="240" w:line="240"/>
      </w:pPr>
      <w:bookmarkStart w:id="41038" w:name="_Fig15"/>
      <w:r>
        <w:rPr>
          <w:rFonts w:ascii="Times New Roman" w:cs="Times New Roman" w:eastAsia="Times New Roman" w:hAnsi="Times New Roman"/>
          <w:b/>
          <w:bCs/>
          <w:color w:val="000000"/>
          <w:sz w:val="24"/>
          <w:szCs w:val="24"/>
        </w:rPr>
        <w:t xml:space="preserve">Figure 15</w:t>
      </w:r>
      <w:bookmarkEnd w:id="41038"/>
    </w:p>
    <w:p>
      <w:pPr>
        <w:spacing w:after="120" w:before="0" w:line="240"/>
      </w:pPr>
      <w:r>
        <w:rPr>
          <w:rFonts w:ascii="Times New Roman" w:cs="Times New Roman" w:eastAsia="Times New Roman" w:hAnsi="Times New Roman"/>
          <w:i/>
          <w:iCs/>
          <w:color w:val="000000"/>
          <w:sz w:val="24"/>
          <w:szCs w:val="24"/>
        </w:rPr>
        <w:t xml:space="preserve">Criteria Used to Determine Crab Grade by Actor Category</w:t>
      </w:r>
    </w:p>
    <w:p>
      <w:pPr>
        <w:spacing w:after="240"/>
        <w:jc w:val="center"/>
      </w:pPr>
      <w:r>
        <w:drawing>
          <wp:inline distT="0" distB="0" distL="0" distR="0">
            <wp:extent cx="5715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1781175"/>
                    </a:xfrm>
                    <a:prstGeom prst="rect">
                      <a:avLst/>
                    </a:prstGeom>
                  </pic:spPr>
                </pic:pic>
              </a:graphicData>
            </a:graphic>
          </wp:inline>
        </w:drawing>
      </w:r>
    </w:p>
    <w:p>
      <w:pPr>
        <w:spacing w:after="0" w:before="240" w:line="240"/>
      </w:pPr>
      <w:bookmarkStart w:id="41039" w:name="_Tbl24"/>
      <w:r>
        <w:rPr>
          <w:rFonts w:ascii="Times New Roman" w:cs="Times New Roman" w:eastAsia="Times New Roman" w:hAnsi="Times New Roman"/>
          <w:b/>
          <w:bCs/>
          <w:color w:val="000000"/>
          <w:sz w:val="24"/>
          <w:szCs w:val="24"/>
        </w:rPr>
        <w:t xml:space="preserve">Table 24</w:t>
      </w:r>
      <w:bookmarkEnd w:id="41039"/>
    </w:p>
    <w:p>
      <w:pPr>
        <w:spacing w:after="120" w:before="0" w:line="240"/>
      </w:pPr>
      <w:r>
        <w:rPr>
          <w:rFonts w:ascii="Times New Roman" w:cs="Times New Roman" w:eastAsia="Times New Roman" w:hAnsi="Times New Roman"/>
          <w:b w:val="false"/>
          <w:bCs w:val="false"/>
          <w:i/>
          <w:iCs/>
          <w:color w:val="000000"/>
          <w:sz w:val="24"/>
          <w:szCs w:val="24"/>
        </w:rPr>
        <w:t xml:space="preserve">Quality Measures Before Market and Use of Formal Quality Control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Quality measure before the market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Inspections, certification and 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standards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Tying the claws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Uses formal quality-control measures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24 shows the same asymmetry in quality assurance. Fishers tied the claws (65, 100.0%); middlemen (21, 95.5%) and hoteliers cited packaging standards; exporters cited inspections, certification and packaging standards. Formal quality-control measures were reported by all nine downstream actors and by none of the 87 fishers and middlemen. Fishers graded on weight alone; every other category used a four-criterion rule.</w:t>
      </w:r>
    </w:p>
    <w:p>
      <w:pPr>
        <w:spacing w:after="0" w:before="240" w:line="240"/>
      </w:pPr>
      <w:bookmarkStart w:id="41040" w:name="_Tbl25"/>
      <w:r>
        <w:rPr>
          <w:rFonts w:ascii="Times New Roman" w:cs="Times New Roman" w:eastAsia="Times New Roman" w:hAnsi="Times New Roman"/>
          <w:b/>
          <w:bCs/>
          <w:color w:val="000000"/>
          <w:sz w:val="24"/>
          <w:szCs w:val="24"/>
        </w:rPr>
        <w:t xml:space="preserve">Table 25</w:t>
      </w:r>
      <w:bookmarkEnd w:id="41040"/>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Large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large-crab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(95.2%)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All sizes / mixed</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large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 (76.9%)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(23.1%)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(44.0%)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A</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25, 53 fishers (81.5%) used the Large label for their biggest crabs while 12 (18.5%) recorded all sizes or mixed, and 50 (76.9%) assigned Grade A while 15 (23.1%) assigned a mixed grade. Every middleman, hotelier and exporter who answered used the plain labels. The fisher pattern varied significantly by site (p = .001): at Shimoni only 14 of 25 (56.0%) used the Large label, against all 14 at Majoreni and 20 of 21 (95.2%) at Vanga.</w:t>
      </w:r>
    </w:p>
    <w:p>
      <w:pPr>
        <w:spacing w:after="0" w:before="240" w:line="240"/>
      </w:pPr>
      <w:bookmarkStart w:id="41041" w:name="_Tbl26"/>
      <w:r>
        <w:rPr>
          <w:rFonts w:ascii="Times New Roman" w:cs="Times New Roman" w:eastAsia="Times New Roman" w:hAnsi="Times New Roman"/>
          <w:b/>
          <w:bCs/>
          <w:color w:val="000000"/>
          <w:sz w:val="24"/>
          <w:szCs w:val="24"/>
        </w:rPr>
        <w:t xml:space="preserve">Table 26</w:t>
      </w:r>
      <w:bookmarkEnd w:id="41041"/>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Medium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medium-crab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 (96.9%)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medium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 (78.5%)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(81.0%)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(21.5%)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B</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26 shows a narrower spread for medium crabs. Sixty-three fishers (96.9%) used the Medium label and 51 (78.5%) assigned Grade B, against 14 (21.5%) who assigned a mixed grade. Every middleman and exporter used the plain labels. The medium-size label was not associated with BMU (p = .406). Hoteliers did not complete the medium-crab grading items.</w:t>
      </w:r>
    </w:p>
    <w:p>
      <w:pPr>
        <w:spacing w:after="0" w:before="240" w:line="240"/>
      </w:pPr>
      <w:bookmarkStart w:id="41042" w:name="_Tbl27"/>
      <w:r>
        <w:rPr>
          <w:rFonts w:ascii="Times New Roman" w:cs="Times New Roman" w:eastAsia="Times New Roman" w:hAnsi="Times New Roman"/>
          <w:b/>
          <w:bCs/>
          <w:color w:val="000000"/>
          <w:sz w:val="24"/>
          <w:szCs w:val="24"/>
        </w:rPr>
        <w:t xml:space="preserve">Table 27</w:t>
      </w:r>
      <w:bookmarkEnd w:id="41042"/>
    </w:p>
    <w:p>
      <w:pPr>
        <w:spacing w:after="120" w:before="0" w:line="240"/>
      </w:pPr>
      <w:r>
        <w:rPr>
          <w:rFonts w:ascii="Times New Roman" w:cs="Times New Roman" w:eastAsia="Times New Roman" w:hAnsi="Times New Roman"/>
          <w:b w:val="false"/>
          <w:bCs w:val="false"/>
          <w:i/>
          <w:iCs/>
          <w:color w:val="000000"/>
          <w:sz w:val="24"/>
          <w:szCs w:val="24"/>
        </w:rPr>
        <w:t xml:space="preserve">Size Label and Grade Assignment for Small Crabs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small-crab size category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(86.2%)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(64.0%)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(36.0%)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size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Grade assigned to small crabs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(85.7%)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(14.3%)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Grade C</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Mixed grade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27 covers the small grade, reported by fishers only. Fifty-six fishers (86.2%) used the Small label and 59 (90.8%) assigned Grade C, while 9 (13.8%) recorded mixed size and 6 (9.2%) a mixed grade. Small-size labelling varied significantly by site (p = .002), with 16 of 25 Shimoni fishers (64.0%) using the plain label against all fishers at Majoreni, Vanga and Msambweni.</w:t>
      </w:r>
    </w:p>
    <w:p>
      <w:pPr>
        <w:spacing w:after="120" w:before="0" w:line="360"/>
        <w:jc w:val="both"/>
      </w:pPr>
      <w:r>
        <w:rPr>
          <w:rFonts w:ascii="Times New Roman" w:cs="Times New Roman" w:eastAsia="Times New Roman" w:hAnsi="Times New Roman"/>
          <w:color w:val="000000"/>
          <w:sz w:val="24"/>
          <w:szCs w:val="24"/>
        </w:rPr>
        <w:t xml:space="preserve">Tables 21 to 23 and Figures 13 and 14 identify the mechanism by which value is captured downstream. A fisher can weigh a crab as accurately as anyone; what he cannot do is price the shell condition and claw size his buyer is paying for, or verify independently that the grade offered is the grade the animal deserves. The site variation in labelling compounds the problem. The survey recorded the word used, not a measured carapace width, so this is a matter of vocabulary rather than biology — but a Shimoni fisher and his buyer may not mean the same thing by the word large, and that is precisely the condition under which a grading dispute resolves in favour of the better-informed party.</w:t>
      </w:r>
    </w:p>
    <w:p>
      <w:pPr>
        <w:pStyle w:val="Heading3"/>
        <w:spacing w:after="120" w:before="240" w:line="360"/>
        <w:outlineLvl w:val="2"/>
      </w:pPr>
      <w:bookmarkStart w:id="52066" w:name="_Toc_66"/>
      <w:r>
        <w:rPr>
          <w:rFonts w:ascii="Times New Roman" w:cs="Times New Roman" w:eastAsia="Times New Roman" w:hAnsi="Times New Roman"/>
          <w:b/>
          <w:bCs/>
          <w:color w:val="000000"/>
          <w:sz w:val="24"/>
          <w:szCs w:val="24"/>
        </w:rPr>
        <w:t xml:space="preserve">4.4.5 Reported Losses</w:t>
      </w:r>
      <w:bookmarkEnd w:id="52066"/>
    </w:p>
    <w:p>
      <w:pPr>
        <w:spacing w:after="120" w:before="0" w:line="360"/>
        <w:jc w:val="both"/>
      </w:pPr>
      <w:r>
        <w:rPr>
          <w:rFonts w:ascii="Times New Roman" w:cs="Times New Roman" w:eastAsia="Times New Roman" w:hAnsi="Times New Roman"/>
          <w:color w:val="000000"/>
          <w:sz w:val="24"/>
          <w:szCs w:val="24"/>
        </w:rPr>
        <w:t xml:space="preserve">Figure 16 shows that losses rise with the volume each actor holds. All 65 fishers reported daily mortality of 0.5 to 1 kg; 21 of 22 middlemen (95.5%) reported 4 to 5 kg; all four exporters reported more than 10 kg; and all five hoteliers reported no mortality because they froze the product on arrival. Mortality was not associated with BMU among middlemen (p = 1.000).</w:t>
      </w:r>
    </w:p>
    <w:p>
      <w:pPr>
        <w:spacing w:after="0" w:before="240" w:line="240"/>
      </w:pPr>
      <w:bookmarkStart w:id="41043" w:name="_Fig16"/>
      <w:r>
        <w:rPr>
          <w:rFonts w:ascii="Times New Roman" w:cs="Times New Roman" w:eastAsia="Times New Roman" w:hAnsi="Times New Roman"/>
          <w:b/>
          <w:bCs/>
          <w:color w:val="000000"/>
          <w:sz w:val="24"/>
          <w:szCs w:val="24"/>
        </w:rPr>
        <w:t xml:space="preserve">Figure 16</w:t>
      </w:r>
      <w:bookmarkEnd w:id="41043"/>
    </w:p>
    <w:p>
      <w:pPr>
        <w:spacing w:after="120" w:before="0" w:line="240"/>
      </w:pPr>
      <w:r>
        <w:rPr>
          <w:rFonts w:ascii="Times New Roman" w:cs="Times New Roman" w:eastAsia="Times New Roman" w:hAnsi="Times New Roman"/>
          <w:i/>
          <w:iCs/>
          <w:color w:val="000000"/>
          <w:sz w:val="24"/>
          <w:szCs w:val="24"/>
        </w:rPr>
        <w:t xml:space="preserve">Reported Daily Mortality by Actor Category</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2600325"/>
                    </a:xfrm>
                    <a:prstGeom prst="rect">
                      <a:avLst/>
                    </a:prstGeom>
                  </pic:spPr>
                </pic:pic>
              </a:graphicData>
            </a:graphic>
          </wp:inline>
        </w:drawing>
      </w:r>
    </w:p>
    <w:p>
      <w:pPr>
        <w:spacing w:after="0" w:before="240" w:line="240"/>
      </w:pPr>
      <w:bookmarkStart w:id="41044" w:name="_Tbl28"/>
      <w:r>
        <w:rPr>
          <w:rFonts w:ascii="Times New Roman" w:cs="Times New Roman" w:eastAsia="Times New Roman" w:hAnsi="Times New Roman"/>
          <w:b/>
          <w:bCs/>
          <w:color w:val="000000"/>
          <w:sz w:val="24"/>
          <w:szCs w:val="24"/>
        </w:rPr>
        <w:t xml:space="preserve">Table 28</w:t>
      </w:r>
      <w:bookmarkEnd w:id="41044"/>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Reported loss through spoilage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(40.9%)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(59.1%)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1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3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5 kg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Above 10 kg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28 covers spoilage, an item not put to fishers. Middlemen reported 5 kg (13, 59.1%) or 3 kg (9, 40.9%), the 5 kg share rising from 4 (36.4%) at Shimoni to all four (100.0%) at Vanga; the site difference approached but did not reach significance (p = .066). All five hoteliers reported 1 kg and all four exporters more than 10 kg. Hoteliers reported no mortality because crabs were frozen on arrival.</w:t>
      </w:r>
    </w:p>
    <w:p>
      <w:pPr>
        <w:spacing w:after="120" w:before="0" w:line="360"/>
        <w:jc w:val="both"/>
      </w:pPr>
      <w:r>
        <w:rPr>
          <w:rFonts w:ascii="Times New Roman" w:cs="Times New Roman" w:eastAsia="Times New Roman" w:hAnsi="Times New Roman"/>
          <w:color w:val="000000"/>
          <w:sz w:val="24"/>
          <w:szCs w:val="24"/>
        </w:rPr>
        <w:t xml:space="preserve">Read together, Tables 24 and 25 show a chain in which every actor loses stock and none records it against a shared standard. The actor holding live crabs carries the loss, and because no one measures it consistently the cost of mortality cannot be priced into a grade or recovered through one.</w:t>
      </w:r>
    </w:p>
    <w:p>
      <w:pPr>
        <w:pStyle w:val="Heading3"/>
        <w:spacing w:after="120" w:before="240" w:line="360"/>
        <w:outlineLvl w:val="2"/>
      </w:pPr>
      <w:bookmarkStart w:id="52067" w:name="_Toc_67"/>
      <w:r>
        <w:rPr>
          <w:rFonts w:ascii="Times New Roman" w:cs="Times New Roman" w:eastAsia="Times New Roman" w:hAnsi="Times New Roman"/>
          <w:b/>
          <w:bCs/>
          <w:color w:val="000000"/>
          <w:sz w:val="24"/>
          <w:szCs w:val="24"/>
        </w:rPr>
        <w:t xml:space="preserve">4.4.6 Payment, Price Setting and Sale Location</w:t>
      </w:r>
      <w:bookmarkEnd w:id="52067"/>
    </w:p>
    <w:p>
      <w:pPr>
        <w:spacing w:after="120" w:before="0" w:line="360"/>
        <w:jc w:val="both"/>
      </w:pPr>
      <w:r>
        <w:rPr>
          <w:rFonts w:ascii="Times New Roman" w:cs="Times New Roman" w:eastAsia="Times New Roman" w:hAnsi="Times New Roman"/>
          <w:color w:val="000000"/>
          <w:sz w:val="24"/>
          <w:szCs w:val="24"/>
        </w:rPr>
        <w:t xml:space="preserve">Figure 17 shows that M-Pesa was the commonest single arrangement among fishers (30, 46.2%), but credit accounted for 18 (27.7%) and a further 7 (10.8%) combined M-Pesa with credit, so close to two fishers in five were paid at least partly on credit by the very middleman buying from them. Cash on delivery accounted for 10 (15.4%). Middlemen most often reported credit themselves (9, 40.9%), followed by M-Pesa (7, 31.8%) and cash on delivery (6, 27.3%). All five hoteliers used M-Pesa and cash together; the item was not completed by exporters. Payment was not associated with BMU for fishers (p = .515) or middlemen (p = .470).</w:t>
      </w:r>
    </w:p>
    <w:p>
      <w:pPr>
        <w:spacing w:after="0" w:before="240" w:line="240"/>
      </w:pPr>
      <w:bookmarkStart w:id="41045" w:name="_Fig17"/>
      <w:r>
        <w:rPr>
          <w:rFonts w:ascii="Times New Roman" w:cs="Times New Roman" w:eastAsia="Times New Roman" w:hAnsi="Times New Roman"/>
          <w:b/>
          <w:bCs/>
          <w:color w:val="000000"/>
          <w:sz w:val="24"/>
          <w:szCs w:val="24"/>
        </w:rPr>
        <w:t xml:space="preserve">Figure 17</w:t>
      </w:r>
      <w:bookmarkEnd w:id="41045"/>
    </w:p>
    <w:p>
      <w:pPr>
        <w:spacing w:after="120" w:before="0" w:line="240"/>
      </w:pPr>
      <w:r>
        <w:rPr>
          <w:rFonts w:ascii="Times New Roman" w:cs="Times New Roman" w:eastAsia="Times New Roman" w:hAnsi="Times New Roman"/>
          <w:i/>
          <w:iCs/>
          <w:color w:val="000000"/>
          <w:sz w:val="24"/>
          <w:szCs w:val="24"/>
        </w:rPr>
        <w:t xml:space="preserve">Mode of Payment by Actor Category</w:t>
      </w:r>
    </w:p>
    <w:p>
      <w:pPr>
        <w:spacing w:after="2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15000" cy="2400300"/>
                    </a:xfrm>
                    <a:prstGeom prst="rect">
                      <a:avLst/>
                    </a:prstGeom>
                  </pic:spPr>
                </pic:pic>
              </a:graphicData>
            </a:graphic>
          </wp:inline>
        </w:drawing>
      </w:r>
    </w:p>
    <w:p>
      <w:pPr>
        <w:spacing w:after="0" w:before="240" w:line="240"/>
      </w:pPr>
      <w:bookmarkStart w:id="41046" w:name="_Tbl29"/>
      <w:r>
        <w:rPr>
          <w:rFonts w:ascii="Times New Roman" w:cs="Times New Roman" w:eastAsia="Times New Roman" w:hAnsi="Times New Roman"/>
          <w:b/>
          <w:bCs/>
          <w:color w:val="000000"/>
          <w:sz w:val="24"/>
          <w:szCs w:val="24"/>
        </w:rPr>
        <w:t xml:space="preserve">Table 29</w:t>
      </w:r>
      <w:bookmarkEnd w:id="41046"/>
    </w:p>
    <w:p>
      <w:pPr>
        <w:spacing w:after="120" w:before="0" w:line="240"/>
      </w:pPr>
      <w:r>
        <w:rPr>
          <w:rFonts w:ascii="Times New Roman" w:cs="Times New Roman" w:eastAsia="Times New Roman" w:hAnsi="Times New Roman"/>
          <w:b w:val="false"/>
          <w:bCs w:val="false"/>
          <w:i/>
          <w:iCs/>
          <w:color w:val="000000"/>
          <w:sz w:val="24"/>
          <w:szCs w:val="24"/>
        </w:rPr>
        <w:t xml:space="preserve">Pricing Mechanism and How Prices Are Set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Standard pricing mechanism is used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29 and Figure 18 divide the chain in two. Not one respondent in any actor category, at any site, reported using a standard pricing mechanism. All 65 fishers and all five hoteliers described the price as fixed, meaning the buyer set it and told them; 14 of 22 middlemen (63.6%) and all four exporters described their own pricing as competitive. Price setting was not associated with BMU among middlemen (p = .722). The payment item was not completed by exporters.</w:t>
      </w:r>
    </w:p>
    <w:p>
      <w:pPr>
        <w:spacing w:after="0" w:before="240" w:line="240"/>
      </w:pPr>
      <w:bookmarkStart w:id="41047" w:name="_Fig18"/>
      <w:r>
        <w:rPr>
          <w:rFonts w:ascii="Times New Roman" w:cs="Times New Roman" w:eastAsia="Times New Roman" w:hAnsi="Times New Roman"/>
          <w:b/>
          <w:bCs/>
          <w:color w:val="000000"/>
          <w:sz w:val="24"/>
          <w:szCs w:val="24"/>
        </w:rPr>
        <w:t xml:space="preserve">Figure 18</w:t>
      </w:r>
      <w:bookmarkEnd w:id="41047"/>
    </w:p>
    <w:p>
      <w:pPr>
        <w:spacing w:after="120" w:before="0" w:line="240"/>
      </w:pPr>
      <w:r>
        <w:rPr>
          <w:rFonts w:ascii="Times New Roman" w:cs="Times New Roman" w:eastAsia="Times New Roman" w:hAnsi="Times New Roman"/>
          <w:i/>
          <w:iCs/>
          <w:color w:val="000000"/>
          <w:sz w:val="24"/>
          <w:szCs w:val="24"/>
        </w:rPr>
        <w:t xml:space="preserve">How Mud Crab Prices Are Set, by Actor Category</w:t>
      </w:r>
    </w:p>
    <w:p>
      <w:pPr>
        <w:spacing w:after="24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1847850"/>
                    </a:xfrm>
                    <a:prstGeom prst="rect">
                      <a:avLst/>
                    </a:prstGeom>
                  </pic:spPr>
                </pic:pic>
              </a:graphicData>
            </a:graphic>
          </wp:inline>
        </w:drawing>
      </w:r>
    </w:p>
    <w:p>
      <w:pPr>
        <w:spacing w:after="0" w:before="240" w:line="240"/>
      </w:pPr>
      <w:bookmarkStart w:id="41048" w:name="_Tbl30"/>
      <w:r>
        <w:rPr>
          <w:rFonts w:ascii="Times New Roman" w:cs="Times New Roman" w:eastAsia="Times New Roman" w:hAnsi="Times New Roman"/>
          <w:b/>
          <w:bCs/>
          <w:color w:val="000000"/>
          <w:sz w:val="24"/>
          <w:szCs w:val="24"/>
        </w:rPr>
        <w:t xml:space="preserve">Table 30</w:t>
      </w:r>
      <w:bookmarkEnd w:id="41048"/>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Factors influencing price fluctuations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(85.7%)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and economic factors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factors only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Seasonal, weather and regulatory factors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30 shows that actors attributed price movement to different causes. All 65 fishers and all four exporters cited seasonal, weather and regulatory factors; 14 of 22 middlemen (63.6%) cited seasonal and economic factors; all five hoteliers cited seasonal factors alone. Among middlemen the factor named was not associated with BMU (p = .238). Fishers and hoteliers described the price as fixed by the buyer; middlemen and exporters described their own pricing as competitive.</w:t>
      </w:r>
    </w:p>
    <w:p>
      <w:pPr>
        <w:spacing w:after="120" w:before="0" w:line="360"/>
        <w:jc w:val="both"/>
      </w:pPr>
      <w:r>
        <w:rPr>
          <w:rFonts w:ascii="Times New Roman" w:cs="Times New Roman" w:eastAsia="Times New Roman" w:hAnsi="Times New Roman"/>
          <w:color w:val="000000"/>
          <w:sz w:val="24"/>
          <w:szCs w:val="24"/>
        </w:rPr>
        <w:t xml:space="preserve">Tables 29 and 30 and Figure 17 describe the moment at which the terms of exchange are settled. The fisher sells at the beach, on the day, at a price the buyer sets, and is often paid at least partly in credit by that same buyer. Fixed at the fisher node and competitive at the middleman node are the same transaction described from either end.</w:t>
      </w:r>
    </w:p>
    <w:p>
      <w:pPr>
        <w:pStyle w:val="Heading3"/>
        <w:spacing w:after="120" w:before="240" w:line="360"/>
        <w:outlineLvl w:val="2"/>
      </w:pPr>
      <w:bookmarkStart w:id="52068" w:name="_Toc_68"/>
      <w:r>
        <w:rPr>
          <w:rFonts w:ascii="Times New Roman" w:cs="Times New Roman" w:eastAsia="Times New Roman" w:hAnsi="Times New Roman"/>
          <w:b/>
          <w:bCs/>
          <w:color w:val="000000"/>
          <w:sz w:val="24"/>
          <w:szCs w:val="24"/>
        </w:rPr>
        <w:t xml:space="preserve">4.4.7 Trading Relationships and Market Information</w:t>
      </w:r>
      <w:bookmarkEnd w:id="52068"/>
    </w:p>
    <w:p>
      <w:pPr>
        <w:spacing w:after="0" w:before="240" w:line="240"/>
      </w:pPr>
      <w:bookmarkStart w:id="41049" w:name="_Tbl31"/>
      <w:r>
        <w:rPr>
          <w:rFonts w:ascii="Times New Roman" w:cs="Times New Roman" w:eastAsia="Times New Roman" w:hAnsi="Times New Roman"/>
          <w:b/>
          <w:bCs/>
          <w:color w:val="000000"/>
          <w:sz w:val="24"/>
          <w:szCs w:val="24"/>
        </w:rPr>
        <w:t xml:space="preserve">Table 31</w:t>
      </w:r>
      <w:bookmarkEnd w:id="41049"/>
    </w:p>
    <w:p>
      <w:pPr>
        <w:spacing w:after="120" w:before="0" w:line="240"/>
      </w:pPr>
      <w:r>
        <w:rPr>
          <w:rFonts w:ascii="Times New Roman" w:cs="Times New Roman" w:eastAsia="Times New Roman" w:hAnsi="Times New Roman"/>
          <w:b w:val="false"/>
          <w:bCs w:val="false"/>
          <w:i/>
          <w:iCs/>
          <w:color w:val="000000"/>
          <w:sz w:val="24"/>
          <w:szCs w:val="24"/>
        </w:rPr>
        <w:t xml:space="preserve">Tied Depot Owners and Arrangements With Tied Fishers and Traders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depot owners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fishers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traders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 (58.5%)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(56.0%)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(64.3%)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 (61.9%)</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(13.8%)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(27.7%)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(35.7%)</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11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Fixed price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31 records depot ties and the terms attached to tied relationships. Depot owners were tied to the business for 22 middlemen (100.0%), all five hoteliers and all four exporters, but for only 1 of the 9 fishers who answered (11.1%). Where middlemen and hoteliers had tied fishers, the arrangement was credit in every case — 21 middlemen and 5 hoteliers, 100.0% of those answering. Arrangements with tied traders were more varied: every fisher who answered named credit, while middlemen named credit (7, 63.6%) or fixed price (4, 36.4%), and hoteliers and exporters named frequency of supply.</w:t>
      </w:r>
    </w:p>
    <w:p>
      <w:pPr>
        <w:spacing w:after="120" w:before="0" w:line="360"/>
        <w:jc w:val="both"/>
      </w:pPr>
      <w:r>
        <w:rPr>
          <w:rFonts w:ascii="Times New Roman" w:cs="Times New Roman" w:eastAsia="Times New Roman" w:hAnsi="Times New Roman"/>
          <w:color w:val="000000"/>
          <w:sz w:val="24"/>
          <w:szCs w:val="24"/>
        </w:rPr>
        <w:t xml:space="preserve">This is the clearest statement in the chapter of what ties an upstream actor to a downstream one. It is not a contract and not a price guarantee; it is credit. Every one of the 21 middlemen with tied fishers held them through an advance, and every fisher describing his own tie to a trader described the same instrument. Read against Table 12, where 93.8% of fishers named a middleman as their source of credit, the two tables describe a single mechanism from both ends.</w:t>
      </w:r>
    </w:p>
    <w:p>
      <w:pPr>
        <w:spacing w:after="0" w:before="240" w:line="240"/>
      </w:pPr>
      <w:bookmarkStart w:id="41050" w:name="_Tbl32"/>
      <w:r>
        <w:rPr>
          <w:rFonts w:ascii="Times New Roman" w:cs="Times New Roman" w:eastAsia="Times New Roman" w:hAnsi="Times New Roman"/>
          <w:b/>
          <w:bCs/>
          <w:color w:val="000000"/>
          <w:sz w:val="24"/>
          <w:szCs w:val="24"/>
        </w:rPr>
        <w:t xml:space="preserve">Table 32</w:t>
      </w:r>
      <w:bookmarkEnd w:id="41050"/>
    </w:p>
    <w:p>
      <w:pPr>
        <w:spacing w:after="120" w:before="0" w:line="240"/>
      </w:pPr>
      <w:r>
        <w:rPr>
          <w:rFonts w:ascii="Times New Roman" w:cs="Times New Roman" w:eastAsia="Times New Roman" w:hAnsi="Times New Roman"/>
          <w:b w:val="false"/>
          <w:bCs w:val="false"/>
          <w:i/>
          <w:iCs/>
          <w:color w:val="000000"/>
          <w:sz w:val="24"/>
          <w:szCs w:val="24"/>
        </w:rPr>
        <w:t xml:space="preserve">Arrangements Used With Tied Depot Owners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Arrangement with tied depot owners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56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(71.4%)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Frequency supply and credit</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Supply quantity</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32, arrangements with tied depot owners were reported by 56 fishers and 21 middlemen. Fishers named frequency of supply (31, 55.4%) or credit (25, 44.6%); middlemen named supply quantity (10, 47.6%), frequency of supply and credit together (7, 33.3%) or credit alone (4, 19.0%). No hotelier or exporter completed the item.</w:t>
      </w:r>
    </w:p>
    <w:p>
      <w:pPr>
        <w:spacing w:after="120" w:before="0" w:line="360"/>
        <w:jc w:val="both"/>
      </w:pPr>
      <w:r>
        <w:rPr>
          <w:rFonts w:ascii="Times New Roman" w:cs="Times New Roman" w:eastAsia="Times New Roman" w:hAnsi="Times New Roman"/>
          <w:color w:val="000000"/>
          <w:sz w:val="24"/>
          <w:szCs w:val="24"/>
        </w:rPr>
        <w:t xml:space="preserve">Taken with Table 31, the pattern is that obligations become more commercial further down the chain. A fisher is held by an advance; a middleman is held by a quantity he has undertaken to deliver. Neither is a written contract in the ordinary sense, and Table 33 shows that only one of the ten fishers who answered reported having any trading agreement at all.</w:t>
      </w:r>
    </w:p>
    <w:p>
      <w:pPr>
        <w:spacing w:after="0" w:before="240" w:line="240"/>
      </w:pPr>
      <w:bookmarkStart w:id="41051" w:name="_Tbl33"/>
      <w:r>
        <w:rPr>
          <w:rFonts w:ascii="Times New Roman" w:cs="Times New Roman" w:eastAsia="Times New Roman" w:hAnsi="Times New Roman"/>
          <w:b/>
          <w:bCs/>
          <w:color w:val="000000"/>
          <w:sz w:val="24"/>
          <w:szCs w:val="24"/>
        </w:rPr>
        <w:t xml:space="preserve">Table 33</w:t>
      </w:r>
      <w:bookmarkEnd w:id="41051"/>
    </w:p>
    <w:p>
      <w:pPr>
        <w:spacing w:after="120" w:before="0" w:line="240"/>
      </w:pPr>
      <w:r>
        <w:rPr>
          <w:rFonts w:ascii="Times New Roman" w:cs="Times New Roman" w:eastAsia="Times New Roman" w:hAnsi="Times New Roman"/>
          <w:b w:val="false"/>
          <w:bCs w:val="false"/>
          <w:i/>
          <w:iCs/>
          <w:color w:val="000000"/>
          <w:sz w:val="24"/>
          <w:szCs w:val="24"/>
        </w:rPr>
        <w:t xml:space="preserve">Tied Fishers, Tied Traders and Trading Agreements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fishers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traders tied to the business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(50.0%)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Has a formal or informal trading agreement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10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 (90.0%)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(95.5%)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(90.9%)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33 shows that tied relationships run downward. No fisher had a fisher tied to him, yet every fisher had a trader tied to his business; 21 of 22 middlemen (95.5%) and all five hoteliers had fishers tied to theirs, while middlemen split evenly on whether they had tied traders (11 and 11). Formal or informal trading agreements covered 21 middlemen (95.5%) and every hotelier and exporter, against 1 of the 10 fishers who answered the item (10.0%).</w:t>
      </w:r>
    </w:p>
    <w:p>
      <w:pPr>
        <w:spacing w:after="0" w:before="240" w:line="240"/>
      </w:pPr>
      <w:bookmarkStart w:id="41052" w:name="_Tbl34"/>
      <w:r>
        <w:rPr>
          <w:rFonts w:ascii="Times New Roman" w:cs="Times New Roman" w:eastAsia="Times New Roman" w:hAnsi="Times New Roman"/>
          <w:b/>
          <w:bCs/>
          <w:color w:val="000000"/>
          <w:sz w:val="24"/>
          <w:szCs w:val="24"/>
        </w:rPr>
        <w:t xml:space="preserve">Table 34</w:t>
      </w:r>
      <w:bookmarkEnd w:id="41052"/>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and Negotiation Terms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Role of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(36.9%)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(40.0%)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 (63.1%)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 (60.0%)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Negotiation and marketing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Terms used with intermediaries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Flexible terms and competitive bidding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34, fishers saw the intermediary mainly as a negotiator (41, 63.1%) rather than a marketer (24, 36.9%); middlemen described their own role as negotiation and marketing together (14, 63.6%); hoteliers saw intermediaries as marketers and exporters as both. Terms were flexible for every fisher, middleman and hotelier, while all four exporters combined flexible terms with competitive bidding. Neither item was associated with BMU (p = .925 for fishers, p = 1.000 for middlemen).</w:t>
      </w:r>
    </w:p>
    <w:p>
      <w:pPr>
        <w:spacing w:after="0" w:before="240" w:line="240"/>
      </w:pPr>
      <w:bookmarkStart w:id="41053" w:name="_Tbl35"/>
      <w:r>
        <w:rPr>
          <w:rFonts w:ascii="Times New Roman" w:cs="Times New Roman" w:eastAsia="Times New Roman" w:hAnsi="Times New Roman"/>
          <w:b/>
          <w:bCs/>
          <w:color w:val="000000"/>
          <w:sz w:val="24"/>
          <w:szCs w:val="24"/>
        </w:rPr>
        <w:t xml:space="preserve">Table 35</w:t>
      </w:r>
      <w:bookmarkEnd w:id="41053"/>
    </w:p>
    <w:p>
      <w:pPr>
        <w:spacing w:after="120" w:before="0" w:line="240"/>
      </w:pPr>
      <w:r>
        <w:rPr>
          <w:rFonts w:ascii="Times New Roman" w:cs="Times New Roman" w:eastAsia="Times New Roman" w:hAnsi="Times New Roman"/>
          <w:b w:val="false"/>
          <w:bCs w:val="false"/>
          <w:i/>
          <w:iCs/>
          <w:color w:val="000000"/>
          <w:sz w:val="24"/>
          <w:szCs w:val="24"/>
        </w:rPr>
        <w:t xml:space="preserve">Technology Adoption and Market Research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technology or modern equipment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Conducts market research</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35 carries no variation at all, and is the more striking for it. Not one respondent in any actor category, at any site, had adopted modern equipment, and not one conducted market research. The figure was 0% on both items across all 96 respondents.</w:t>
      </w:r>
    </w:p>
    <w:p>
      <w:pPr>
        <w:spacing w:after="120" w:before="0" w:line="360"/>
        <w:jc w:val="both"/>
      </w:pPr>
      <w:r>
        <w:rPr>
          <w:rFonts w:ascii="Times New Roman" w:cs="Times New Roman" w:eastAsia="Times New Roman" w:hAnsi="Times New Roman"/>
          <w:color w:val="000000"/>
          <w:sz w:val="24"/>
          <w:szCs w:val="24"/>
        </w:rPr>
        <w:t xml:space="preserve">Tables 28 and 29 and Figure 17 close the functional account. In a chain where the buyer sets the price and controls the grading rule, no actor invests in equipment and no actor gathers independent market information. Every respondent said they kept up to date by networking, which means information travels along the same commercial relationships that determine the terms of trade.</w:t>
      </w:r>
    </w:p>
    <w:p>
      <w:pPr>
        <w:pStyle w:val="Heading3"/>
        <w:spacing w:after="120" w:before="240" w:line="360"/>
        <w:outlineLvl w:val="2"/>
      </w:pPr>
      <w:bookmarkStart w:id="52069" w:name="_Toc_69"/>
      <w:r>
        <w:rPr>
          <w:rFonts w:ascii="Times New Roman" w:cs="Times New Roman" w:eastAsia="Times New Roman" w:hAnsi="Times New Roman"/>
          <w:b/>
          <w:bCs/>
          <w:color w:val="000000"/>
          <w:sz w:val="24"/>
          <w:szCs w:val="24"/>
        </w:rPr>
        <w:t xml:space="preserve">4.4.8 Reported Mud Crab Prices</w:t>
      </w:r>
      <w:bookmarkEnd w:id="52069"/>
    </w:p>
    <w:p>
      <w:pPr>
        <w:spacing w:after="120" w:before="0" w:line="360"/>
        <w:jc w:val="both"/>
      </w:pPr>
      <w:r>
        <w:rPr>
          <w:rFonts w:ascii="Times New Roman" w:cs="Times New Roman" w:eastAsia="Times New Roman" w:hAnsi="Times New Roman"/>
          <w:color w:val="000000"/>
          <w:sz w:val="24"/>
          <w:szCs w:val="24"/>
        </w:rPr>
        <w:t xml:space="preserve">Prices were collected for three size grades in Kenya shillings per kilogram of live crab. Every figure is a gross price at the point of sale; nothing was recorded about transport, holding, mortality, ice, packaging or the cost of money tied up between buying and selling.</w:t>
      </w:r>
    </w:p>
    <w:p>
      <w:pPr>
        <w:spacing w:after="0" w:before="240" w:line="240"/>
      </w:pPr>
      <w:bookmarkStart w:id="41054" w:name="_Tbl36"/>
      <w:r>
        <w:rPr>
          <w:rFonts w:ascii="Times New Roman" w:cs="Times New Roman" w:eastAsia="Times New Roman" w:hAnsi="Times New Roman"/>
          <w:b/>
          <w:bCs/>
          <w:color w:val="000000"/>
          <w:sz w:val="24"/>
          <w:szCs w:val="24"/>
        </w:rPr>
        <w:t xml:space="preserve">Table 36</w:t>
      </w:r>
      <w:bookmarkEnd w:id="41054"/>
    </w:p>
    <w:p>
      <w:pPr>
        <w:spacing w:after="120" w:before="0" w:line="240"/>
      </w:pPr>
      <w:r>
        <w:rPr>
          <w:rFonts w:ascii="Times New Roman" w:cs="Times New Roman" w:eastAsia="Times New Roman" w:hAnsi="Times New Roman"/>
          <w:b w:val="false"/>
          <w:bCs w:val="false"/>
          <w:i/>
          <w:iCs/>
          <w:color w:val="000000"/>
          <w:sz w:val="24"/>
          <w:szCs w:val="24"/>
        </w:rPr>
        <w:t xml:space="preserve">Reported Mud Crab Prices by Actor Category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950"/>
        <w:gridCol w:w="1200"/>
        <w:gridCol w:w="1100"/>
        <w:gridCol w:w="1100"/>
        <w:gridCol w:w="1550"/>
        <w:gridCol w:w="12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Actor category</w:t>
            </w:r>
          </w:p>
        </w:tc>
        <w:tc>
          <w:tcPr>
            <w:tcW w:type="dxa" w:w="9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Valid n</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SD</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Mdn</w:t>
            </w:r>
          </w:p>
        </w:tc>
        <w:tc>
          <w:tcPr>
            <w:tcW w:type="dxa" w:w="15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IQR (Q1–Q3)</w:t>
            </w:r>
          </w:p>
        </w:tc>
        <w:tc>
          <w:tcPr>
            <w:tcW w:type="dxa" w:w="12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Range</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192.2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140.5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800.0–1,000.0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800.0–1,200.0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570.1</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2,000.0–2,500.0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1,500.0–3,000.0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1,600.0–1,800.0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163.4</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400.0–600.0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100.6</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600.0–800.0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109.5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115.5</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1,200.0–1,400.0</w:t>
            </w:r>
          </w:p>
        </w:tc>
      </w:tr>
      <w:tr>
        <w:tc>
          <w:tcPr>
            <w:tcW w:type="dxa" w:w="9026"/>
            <w:gridSpan w:val="7"/>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Small (Grade C)</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309.2</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50.7</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300.0–300.0</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250.0–500.0</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w:t>
            </w:r>
          </w:p>
        </w:tc>
        <w:tc>
          <w:tcPr>
            <w:tcW w:type="dxa" w:w="9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9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36, the large-crab price climbed at every step of the chain. Fishers averaged KSh 604.6 per kilogram, middlemen KSh 945.5, exporters KSh 1,700.0 and hoteliers KSh 2,200.0. Medium crabs ran KSh 514.6 for fishers and KSh 718.2 for middlemen, with exporters at KSh 1,300.0. Only fishers priced small crabs, averaging KSh 309.2; no middleman, hotelier or exporter reported a small-grade price at all, which points to the smallest crabs being absorbed locally rather than moving up the chain.</w:t>
      </w:r>
    </w:p>
    <w:p>
      <w:pPr>
        <w:spacing w:after="0" w:before="240" w:line="240"/>
      </w:pPr>
      <w:bookmarkStart w:id="41055" w:name="_Tbl37"/>
      <w:r>
        <w:rPr>
          <w:rFonts w:ascii="Times New Roman" w:cs="Times New Roman" w:eastAsia="Times New Roman" w:hAnsi="Times New Roman"/>
          <w:b/>
          <w:bCs/>
          <w:color w:val="000000"/>
          <w:sz w:val="24"/>
          <w:szCs w:val="24"/>
        </w:rPr>
        <w:t xml:space="preserve">Table 37</w:t>
      </w:r>
      <w:bookmarkEnd w:id="41055"/>
    </w:p>
    <w:p>
      <w:pPr>
        <w:spacing w:after="120" w:before="0" w:line="240"/>
      </w:pPr>
      <w:r>
        <w:rPr>
          <w:rFonts w:ascii="Times New Roman" w:cs="Times New Roman" w:eastAsia="Times New Roman" w:hAnsi="Times New Roman"/>
          <w:b w:val="false"/>
          <w:bCs w:val="false"/>
          <w:i/>
          <w:iCs/>
          <w:color w:val="000000"/>
          <w:sz w:val="24"/>
          <w:szCs w:val="24"/>
        </w:rPr>
        <w:t xml:space="preserve">Kruskal–Wallis Comparisons of Reported Mud Crab Prices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900"/>
        <w:gridCol w:w="1300"/>
        <w:gridCol w:w="900"/>
        <w:gridCol w:w="1000"/>
        <w:gridCol w:w="1926"/>
      </w:tblGrid>
      <w:tr>
        <w:trPr>
          <w:tblHeader/>
        </w:trPr>
        <w:tc>
          <w:tcPr>
            <w:tcW w:type="dxa" w:w="3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10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9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Price compared across the four actor categories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Fisher price compared across the four BMUs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Middleman price compared across the three BMUs with traders</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3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Hoteliers and exporters were not compared across BMUs because four of the five hoteliers and all four exporters operated outside the four BMU frames</w:t>
            </w:r>
          </w:p>
        </w:tc>
      </w:tr>
    </w:tbl>
    <w:p>
      <w:pPr>
        <w:spacing w:after="120" w:before="0" w:line="360"/>
        <w:jc w:val="both"/>
      </w:pPr>
      <w:r>
        <w:rPr>
          <w:rFonts w:ascii="Times New Roman" w:cs="Times New Roman" w:eastAsia="Times New Roman" w:hAnsi="Times New Roman"/>
          <w:color w:val="000000"/>
          <w:sz w:val="24"/>
          <w:szCs w:val="24"/>
        </w:rPr>
        <w:t xml:space="preserve">Table 37 tests those differences. The comparison across the four actor categories was significant for large crabs, H(3) = 55.84, p &lt; .001, and for medium crabs, H(3) = 38.00, p &lt; .001. Actor category therefore does influence the price received, at both grades for which more than one category reported a price. The small grade could not be compared across actors because only fishers reported it.</w:t>
      </w:r>
    </w:p>
    <w:p>
      <w:pPr>
        <w:spacing w:after="120" w:before="0" w:line="360"/>
        <w:jc w:val="both"/>
      </w:pPr>
      <w:r>
        <w:rPr>
          <w:rFonts w:ascii="Times New Roman" w:cs="Times New Roman" w:eastAsia="Times New Roman" w:hAnsi="Times New Roman"/>
          <w:color w:val="000000"/>
          <w:sz w:val="24"/>
          <w:szCs w:val="24"/>
        </w:rPr>
        <w:t xml:space="preserve">One value breaks the pattern. Hoteliers reported a mean of KSh 380.0 per kilogram for medium crabs, which is below the fisher price for the same grade and far below their own large-grade mean of KSh 2,200.0. All five records were retained exactly as entered. The figure may be correct if those entries refer to a different product form, unit or transaction, but it may equally be a field-entry problem. It is excluded from the chain calculation that follows and should be checked against the questionnaires before it is used to support any argument about value addition. Small-grade prices were reported only by fishers. The hotelier medium-grade mean of KSh 380 is discussed below.</w:t>
      </w:r>
    </w:p>
    <w:p>
      <w:pPr>
        <w:pStyle w:val="Heading3"/>
        <w:spacing w:after="120" w:before="240" w:line="360"/>
        <w:outlineLvl w:val="2"/>
      </w:pPr>
      <w:bookmarkStart w:id="52070" w:name="_Toc_70"/>
      <w:r>
        <w:rPr>
          <w:rFonts w:ascii="Times New Roman" w:cs="Times New Roman" w:eastAsia="Times New Roman" w:hAnsi="Times New Roman"/>
          <w:b/>
          <w:bCs/>
          <w:color w:val="000000"/>
          <w:sz w:val="24"/>
          <w:szCs w:val="24"/>
        </w:rPr>
        <w:t xml:space="preserve">4.4.9 Marketing Margins and the Distribution of Value</w:t>
      </w:r>
      <w:bookmarkEnd w:id="52070"/>
    </w:p>
    <w:p>
      <w:pPr>
        <w:spacing w:after="120" w:before="0" w:line="360"/>
        <w:jc w:val="both"/>
      </w:pPr>
      <w:r>
        <w:rPr>
          <w:rFonts w:ascii="Times New Roman" w:cs="Times New Roman" w:eastAsia="Times New Roman" w:hAnsi="Times New Roman"/>
          <w:color w:val="000000"/>
          <w:sz w:val="24"/>
          <w:szCs w:val="24"/>
        </w:rPr>
        <w:t xml:space="preserve">Reading the four node prices as one chain shows where the final price accumulates. Two end points were available: crabs that left the middleman for an exporter finished at KSh 1,700.0 per kilogram for the large grade, and crabs that went to a hotel kitchen finished at KSh 2,200.0. Expressing each node’s contribution as a share of that end price places all four actors on a single scale.</w:t>
      </w:r>
    </w:p>
    <w:p>
      <w:pPr>
        <w:spacing w:after="0" w:before="240" w:line="240"/>
      </w:pPr>
      <w:bookmarkStart w:id="41056" w:name="_Tbl38"/>
      <w:r>
        <w:rPr>
          <w:rFonts w:ascii="Times New Roman" w:cs="Times New Roman" w:eastAsia="Times New Roman" w:hAnsi="Times New Roman"/>
          <w:b/>
          <w:bCs/>
          <w:color w:val="000000"/>
          <w:sz w:val="24"/>
          <w:szCs w:val="24"/>
        </w:rPr>
        <w:t xml:space="preserve">Table 38</w:t>
      </w:r>
      <w:bookmarkEnd w:id="41056"/>
    </w:p>
    <w:p>
      <w:pPr>
        <w:spacing w:after="120" w:before="0" w:line="240"/>
      </w:pPr>
      <w:r>
        <w:rPr>
          <w:rFonts w:ascii="Times New Roman" w:cs="Times New Roman" w:eastAsia="Times New Roman" w:hAnsi="Times New Roman"/>
          <w:b w:val="false"/>
          <w:bCs w:val="false"/>
          <w:i/>
          <w:iCs/>
          <w:color w:val="000000"/>
          <w:sz w:val="24"/>
          <w:szCs w:val="24"/>
        </w:rPr>
        <w:t xml:space="preserve">Marketing Margins and the Distribution of the Final Chain Price Across Actor Nodes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400"/>
        <w:gridCol w:w="1450"/>
        <w:gridCol w:w="1900"/>
        <w:gridCol w:w="1750"/>
        <w:gridCol w:w="1526"/>
      </w:tblGrid>
      <w:tr>
        <w:trPr>
          <w:tblHeader/>
        </w:trPr>
        <w:tc>
          <w:tcPr>
            <w:tcW w:type="dxa" w:w="2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Market node</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price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Value retained or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margin added (KSh/kg)</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Margin as % of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fisher price</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 of the final</w:t>
            </w:r>
          </w:p>
          <w:p>
            <w:pPr>
              <w:spacing w:after="20" w:before="0" w:line="240"/>
              <w:jc w:val="center"/>
            </w:pPr>
            <w:r>
              <w:rPr>
                <w:rFonts w:ascii="Times New Roman" w:cs="Times New Roman" w:eastAsia="Times New Roman" w:hAnsi="Times New Roman"/>
                <w:b/>
                <w:bCs/>
                <w:i w:val="false"/>
                <w:iCs w:val="false"/>
                <w:color w:val="000000"/>
                <w:sz w:val="20"/>
                <w:szCs w:val="20"/>
              </w:rPr>
              <w:t xml:space="preserve">chain price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124.8</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44.4</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 sold on to hoteliers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340.8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15.5</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1,254.5</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207.5</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57.0</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(not in this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 sold on to exporters</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(first sale)</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203.6</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39.6</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15.7</w:t>
            </w:r>
          </w:p>
        </w:tc>
      </w:tr>
      <w:tr>
        <w:tc>
          <w:tcPr>
            <w:tcW w:type="dxa" w:w="2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 (end of chain)</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581.8</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113.1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44.8</w:t>
            </w:r>
          </w:p>
        </w:tc>
      </w:tr>
      <w:tr>
        <w:tc>
          <w:tcPr>
            <w:tcW w:type="dxa" w:w="2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Hotelier (not in this chain)</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As shown in Table 38, the fisher kept between a quarter and two fifths of the end price. Large crabs sold on to an exporter left 35.6% with the harvester; the same crabs sold on to a hotel left 27.5%. Medium crabs going for export were the fisher’s best case at 39.6%. In every chain the largest single share was added at the last step: 44.4% between the middleman and the exporter, 57.0% between the middleman and the hotel. The middleman, the actor most often identified with the low beach price, took the smallest share of the three, between 15.5% and 20.0%.</w:t>
      </w:r>
    </w:p>
    <w:p>
      <w:pPr>
        <w:spacing w:after="120" w:before="0" w:line="360"/>
        <w:jc w:val="both"/>
      </w:pPr>
      <w:r>
        <w:rPr>
          <w:rFonts w:ascii="Times New Roman" w:cs="Times New Roman" w:eastAsia="Times New Roman" w:hAnsi="Times New Roman"/>
          <w:color w:val="000000"/>
          <w:sz w:val="24"/>
          <w:szCs w:val="24"/>
        </w:rPr>
        <w:t xml:space="preserve">Two qualifications belong with that result. The shares rest on group means from different respondents rather than on a single crab followed from beach to buyer, and they would shift once handling, freight and mortality were priced in. The direction is nevertheless hard to argue away. An exporter paying KSh 945.5 and selling at KSh 1,700.0 works on a spread of KSh 754.5 per kilogram, roughly one and a quarter times what the fisher received for landing the animal. This is the evidence Objective Two requires on how value is distributed: not that any actor takes more than their costs justify, which these data cannot show, but that the value is realised two steps beyond the point the harvester can reach. Shares sum to 100% within each bar. Because no cost data were collected these are gross price spreads and not net margins. The medium grade sold on to hoteliers is not shown, for the reason given above.</w:t>
      </w:r>
    </w:p>
    <w:p>
      <w:pPr>
        <w:pStyle w:val="Heading3"/>
        <w:spacing w:after="120" w:before="240" w:line="360"/>
        <w:outlineLvl w:val="2"/>
      </w:pPr>
      <w:bookmarkStart w:id="52071" w:name="_Toc_71"/>
      <w:r>
        <w:rPr>
          <w:rFonts w:ascii="Times New Roman" w:cs="Times New Roman" w:eastAsia="Times New Roman" w:hAnsi="Times New Roman"/>
          <w:b/>
          <w:bCs/>
          <w:color w:val="000000"/>
          <w:sz w:val="24"/>
          <w:szCs w:val="24"/>
        </w:rPr>
        <w:t xml:space="preserve">4.4.10 Prices by Study Site</w:t>
      </w:r>
      <w:bookmarkEnd w:id="52071"/>
    </w:p>
    <w:p>
      <w:pPr>
        <w:spacing w:after="120" w:before="0" w:line="360"/>
        <w:jc w:val="both"/>
      </w:pPr>
      <w:r>
        <w:rPr>
          <w:rFonts w:ascii="Times New Roman" w:cs="Times New Roman" w:eastAsia="Times New Roman" w:hAnsi="Times New Roman"/>
          <w:color w:val="000000"/>
          <w:sz w:val="24"/>
          <w:szCs w:val="24"/>
        </w:rPr>
        <w:t xml:space="preserve">Holding the actor role constant and comparing sites answers a different question: whether a fisher at one landing site receives a different price from a fisher at another.</w:t>
      </w:r>
    </w:p>
    <w:p>
      <w:pPr>
        <w:spacing w:after="0" w:before="240" w:line="240"/>
      </w:pPr>
      <w:bookmarkStart w:id="41057" w:name="_Tbl39"/>
      <w:r>
        <w:rPr>
          <w:rFonts w:ascii="Times New Roman" w:cs="Times New Roman" w:eastAsia="Times New Roman" w:hAnsi="Times New Roman"/>
          <w:b/>
          <w:bCs/>
          <w:color w:val="000000"/>
          <w:sz w:val="24"/>
          <w:szCs w:val="24"/>
        </w:rPr>
        <w:t xml:space="preserve">Table 39</w:t>
      </w:r>
      <w:bookmarkEnd w:id="41057"/>
    </w:p>
    <w:p>
      <w:pPr>
        <w:spacing w:after="120" w:before="0" w:line="240"/>
      </w:pPr>
      <w:r>
        <w:rPr>
          <w:rFonts w:ascii="Times New Roman" w:cs="Times New Roman" w:eastAsia="Times New Roman" w:hAnsi="Times New Roman"/>
          <w:b w:val="false"/>
          <w:bCs w:val="false"/>
          <w:i/>
          <w:iCs/>
          <w:color w:val="000000"/>
          <w:sz w:val="24"/>
          <w:szCs w:val="24"/>
        </w:rPr>
        <w:t xml:space="preserve">Mean Reported Mud Crab Price by Actor Category, BMU and Size Grade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1800"/>
        <w:gridCol w:w="1850"/>
        <w:gridCol w:w="1750"/>
        <w:gridCol w:w="1726"/>
      </w:tblGrid>
      <w:tr>
        <w:trPr>
          <w:tblHeader/>
        </w:trPr>
        <w:tc>
          <w:tcPr>
            <w:tcW w:type="dxa" w:w="1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Hotelier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c>
          <w:tcPr>
            <w:tcW w:type="dxa" w:w="1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Exporter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 KSh/kg (n)</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2,375.0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604.6 (65)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945.5 (22)</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2,200.0 (5)</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1,700.0 (4)</w:t>
            </w:r>
          </w:p>
        </w:tc>
      </w:tr>
      <w:tr>
        <w:tc>
          <w:tcPr>
            <w:tcW w:type="dxa" w:w="9026"/>
            <w:gridSpan w:val="5"/>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 (25)</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 (11)</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300.0 (1)</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 (14)</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 (7)</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 (21)</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 (4)</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 (3)</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 (2)</w:t>
            </w:r>
          </w:p>
        </w:tc>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400.0 (4)</w:t>
            </w:r>
          </w:p>
        </w:tc>
        <w:tc>
          <w:tcPr>
            <w:tcW w:type="dxa" w:w="1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r>
        <w:tc>
          <w:tcPr>
            <w:tcW w:type="dxa" w:w="1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sites</w:t>
            </w:r>
          </w:p>
        </w:tc>
        <w:tc>
          <w:tcPr>
            <w:tcW w:type="dxa" w:w="1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514.6 (65)</w:t>
            </w:r>
          </w:p>
        </w:tc>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718.2 (22)</w:t>
            </w:r>
          </w:p>
        </w:tc>
        <w:tc>
          <w:tcPr>
            <w:tcW w:type="dxa" w:w="17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380.0 (5)</w:t>
            </w:r>
          </w:p>
        </w:tc>
        <w:tc>
          <w:tcPr>
            <w:tcW w:type="dxa" w:w="1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1,300.0 (4)</w:t>
            </w:r>
          </w:p>
        </w:tc>
      </w:tr>
    </w:tbl>
    <w:p>
      <w:pPr>
        <w:spacing w:after="120" w:before="0" w:line="360"/>
        <w:jc w:val="both"/>
      </w:pPr>
      <w:r>
        <w:rPr>
          <w:rFonts w:ascii="Times New Roman" w:cs="Times New Roman" w:eastAsia="Times New Roman" w:hAnsi="Times New Roman"/>
          <w:color w:val="000000"/>
          <w:sz w:val="24"/>
          <w:szCs w:val="24"/>
        </w:rPr>
        <w:t xml:space="preserve">Table 39 shows that fisher prices varied considerably by site. Majoreni fishers reported the highest large-crab mean at KSh 785.7 per kilogram, well above Shimoni at KSh 540.0 and Vanga at KSh 535.7, with Msambweni at KSh 650.0 on three respondents. Middleman means were much closer together, from KSh 857.1 at Majoreni to KSh 1,000.0 at Vanga. Returning to Table 37, fisher prices differed significantly across sites for large crabs, H(3) = 20.32, p &lt; .001, and for medium crabs, H(3) = 20.07, p &lt; .001, while middleman prices did not, H(2) = 5.33, p = .070 and H(2) = 3.78, p = .151. Small-grade prices did not differ across sites either, H(3) = 5.85, p = .119.</w:t>
      </w:r>
    </w:p>
    <w:p>
      <w:pPr>
        <w:spacing w:after="0" w:before="240" w:line="240"/>
      </w:pPr>
      <w:bookmarkStart w:id="41058" w:name="_Tbl40"/>
      <w:r>
        <w:rPr>
          <w:rFonts w:ascii="Times New Roman" w:cs="Times New Roman" w:eastAsia="Times New Roman" w:hAnsi="Times New Roman"/>
          <w:b/>
          <w:bCs/>
          <w:color w:val="000000"/>
          <w:sz w:val="24"/>
          <w:szCs w:val="24"/>
        </w:rPr>
        <w:t xml:space="preserve">Table 40</w:t>
      </w:r>
      <w:bookmarkEnd w:id="41058"/>
    </w:p>
    <w:p>
      <w:pPr>
        <w:spacing w:after="120" w:before="0" w:line="240"/>
      </w:pPr>
      <w:r>
        <w:rPr>
          <w:rFonts w:ascii="Times New Roman" w:cs="Times New Roman" w:eastAsia="Times New Roman" w:hAnsi="Times New Roman"/>
          <w:b w:val="false"/>
          <w:bCs w:val="false"/>
          <w:i/>
          <w:iCs/>
          <w:color w:val="000000"/>
          <w:sz w:val="24"/>
          <w:szCs w:val="24"/>
        </w:rPr>
        <w:t xml:space="preserve">First-Sale Price Spread Between Fishers and Middlemen Within Each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300"/>
        <w:gridCol w:w="1450"/>
        <w:gridCol w:w="1200"/>
        <w:gridCol w:w="1700"/>
        <w:gridCol w:w="18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4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Middleman M</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2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w:t>
            </w:r>
          </w:p>
          <w:p>
            <w:pPr>
              <w:spacing w:after="20" w:before="0" w:line="240"/>
              <w:jc w:val="center"/>
            </w:pPr>
            <w:r>
              <w:rPr>
                <w:rFonts w:ascii="Times New Roman" w:cs="Times New Roman" w:eastAsia="Times New Roman" w:hAnsi="Times New Roman"/>
                <w:b/>
                <w:bCs/>
                <w:i w:val="false"/>
                <w:iCs w:val="false"/>
                <w:color w:val="000000"/>
                <w:sz w:val="20"/>
                <w:szCs w:val="20"/>
              </w:rPr>
              <w:t xml:space="preserve">(KSh/kg)</w:t>
            </w:r>
          </w:p>
        </w:tc>
        <w:tc>
          <w:tcPr>
            <w:tcW w:type="dxa" w:w="17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Spread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fisher price</w:t>
            </w:r>
          </w:p>
        </w:tc>
        <w:tc>
          <w:tcPr>
            <w:tcW w:type="dxa" w:w="18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 price as % of</w:t>
            </w:r>
          </w:p>
          <w:p>
            <w:pPr>
              <w:spacing w:after="20" w:before="0" w:line="240"/>
              <w:jc w:val="center"/>
            </w:pPr>
            <w:r>
              <w:rPr>
                <w:rFonts w:ascii="Times New Roman" w:cs="Times New Roman" w:eastAsia="Times New Roman" w:hAnsi="Times New Roman"/>
                <w:b/>
                <w:bCs/>
                <w:i w:val="false"/>
                <w:iCs w:val="false"/>
                <w:color w:val="000000"/>
                <w:sz w:val="20"/>
                <w:szCs w:val="20"/>
              </w:rPr>
              <w:t xml:space="preserve">the middleman price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Large (Grade A)</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981.8</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81.8</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55.0</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535.7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86.7</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53.6</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9026"/>
            <w:gridSpan w:val="6"/>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20"/>
                <w:szCs w:val="20"/>
              </w:rPr>
              <w:t xml:space="preserve">Medium (Grade B)</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404.0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745.5</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341.5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54.2</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600.0</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657.1</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91.3</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576.2</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750.0</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76.8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616.7</w:t>
            </w:r>
          </w:p>
        </w:tc>
        <w:tc>
          <w:tcPr>
            <w:tcW w:type="dxa" w:w="14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sites</w:t>
            </w:r>
          </w:p>
        </w:tc>
        <w:tc>
          <w:tcPr>
            <w:tcW w:type="dxa" w:w="13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500.0</w:t>
            </w:r>
          </w:p>
        </w:tc>
        <w:tc>
          <w:tcPr>
            <w:tcW w:type="dxa" w:w="14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7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8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spacing w:after="120" w:before="0" w:line="360"/>
        <w:jc w:val="both"/>
      </w:pPr>
      <w:r>
        <w:rPr>
          <w:rFonts w:ascii="Times New Roman" w:cs="Times New Roman" w:eastAsia="Times New Roman" w:hAnsi="Times New Roman"/>
          <w:color w:val="000000"/>
          <w:sz w:val="24"/>
          <w:szCs w:val="24"/>
        </w:rPr>
        <w:t xml:space="preserve">Table 40 sets the two upstream node prices side by side at each landing site. Majoreni stands apart: its fishers held 91.7% of the local middleman price for large crabs and 91.3% for medium crabs, leaving spreads of only KSh 71.4 and KSh 57.1 per kilogram. At Shimoni and Vanga the same comparison gave 55.0% and 53.6% for large crabs, spreads of KSh 441.8 and KSh 464.3, or between 82% and 87% on top of what the fisher was paid. Vanga sat in between for medium crabs at 76.8%. The pattern holds in both grades, which makes it unlikely to be an artefact of one unusual price. A missing bar means no respondent of that actor category was sampled at that site. The single Shimoni hotelier and the Other sites group rest on very small numbers.</w:t>
      </w:r>
    </w:p>
    <w:p>
      <w:pPr>
        <w:spacing w:after="120" w:before="0" w:line="360"/>
        <w:jc w:val="both"/>
      </w:pPr>
      <w:r>
        <w:rPr>
          <w:rFonts w:ascii="Times New Roman" w:cs="Times New Roman" w:eastAsia="Times New Roman" w:hAnsi="Times New Roman"/>
          <w:color w:val="000000"/>
          <w:sz w:val="24"/>
          <w:szCs w:val="24"/>
        </w:rPr>
        <w:t xml:space="preserve">Where that difference comes from is worth stating plainly, because the two nodes did not move together. Fisher prices varied significantly across sites; middleman prices did not. The narrow Majoreni gap is therefore built on the fisher side of the transaction rather than on Majoreni traders charging less than their counterparts: Majoreni middlemen sold at KSh 857.1, within KSh 143 of the other two sites, while Majoreni fishers were paid KSh 785.7 against roughly KSh 537 at Shimoni and Vanga. The gap a fisher faces is set at his own landing site. It is also worth recalling from Table 16 that Majoreni fishers reached the point of sale fastest, which is consistent with, though not proof of, a shorter and more competitive first-sale market there. A taller bar means a narrower gap between the two nodes. Msambweni and the Other sites group are absent because no middleman was sampled there.</w:t>
      </w:r>
    </w:p>
    <w:p>
      <w:pPr>
        <w:pStyle w:val="Heading3"/>
        <w:spacing w:after="120" w:before="240" w:line="360"/>
        <w:outlineLvl w:val="2"/>
      </w:pPr>
      <w:bookmarkStart w:id="52072" w:name="_Toc_72"/>
      <w:r>
        <w:rPr>
          <w:rFonts w:ascii="Times New Roman" w:cs="Times New Roman" w:eastAsia="Times New Roman" w:hAnsi="Times New Roman"/>
          <w:b/>
          <w:bCs/>
          <w:color w:val="000000"/>
          <w:sz w:val="24"/>
          <w:szCs w:val="24"/>
        </w:rPr>
        <w:t xml:space="preserve">4.4.11 Concentration at the Point of First Sale</w:t>
      </w:r>
      <w:bookmarkEnd w:id="52072"/>
    </w:p>
    <w:p>
      <w:pPr>
        <w:spacing w:after="120" w:before="0" w:line="360"/>
        <w:jc w:val="both"/>
      </w:pPr>
      <w:r>
        <w:rPr>
          <w:rFonts w:ascii="Times New Roman" w:cs="Times New Roman" w:eastAsia="Times New Roman" w:hAnsi="Times New Roman"/>
          <w:color w:val="000000"/>
          <w:sz w:val="24"/>
          <w:szCs w:val="24"/>
        </w:rPr>
        <w:t xml:space="preserve">Objective Two asks how the market is organised, and concentration is the standard way of answering that. A textbook concentration ratio needs a census of the buyers operating at each landing site and the volume each one handles; this survey interviewed actors and recorded neither. What it did record is where each fisher took his catch for first sale, and that supports a concentration measure of a different kind: how far the harvesters at a site are spread across buying points, or gathered at one. The shares below are shares of harvesters, not shares of volume, and the index is read accordingly.</w:t>
      </w:r>
    </w:p>
    <w:p>
      <w:pPr>
        <w:spacing w:after="0" w:before="240" w:line="240"/>
      </w:pPr>
      <w:bookmarkStart w:id="41059" w:name="_Tbl41"/>
      <w:r>
        <w:rPr>
          <w:rFonts w:ascii="Times New Roman" w:cs="Times New Roman" w:eastAsia="Times New Roman" w:hAnsi="Times New Roman"/>
          <w:b/>
          <w:bCs/>
          <w:color w:val="000000"/>
          <w:sz w:val="24"/>
          <w:szCs w:val="24"/>
        </w:rPr>
        <w:t xml:space="preserve">Table 41</w:t>
      </w:r>
      <w:bookmarkEnd w:id="41059"/>
    </w:p>
    <w:p>
      <w:pPr>
        <w:spacing w:after="120" w:before="0" w:line="240"/>
      </w:pPr>
      <w:r>
        <w:rPr>
          <w:rFonts w:ascii="Times New Roman" w:cs="Times New Roman" w:eastAsia="Times New Roman" w:hAnsi="Times New Roman"/>
          <w:b w:val="false"/>
          <w:bCs w:val="false"/>
          <w:i/>
          <w:iCs/>
          <w:color w:val="000000"/>
          <w:sz w:val="24"/>
          <w:szCs w:val="24"/>
        </w:rPr>
        <w:t xml:space="preserve">Concentration of First-Sale Outlets Reported by Fishers,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100"/>
        <w:gridCol w:w="1150"/>
        <w:gridCol w:w="1600"/>
        <w:gridCol w:w="1250"/>
        <w:gridCol w:w="1050"/>
        <w:gridCol w:w="137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answering</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Buying points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named</w:t>
            </w:r>
          </w:p>
        </w:tc>
        <w:tc>
          <w:tcPr>
            <w:tcW w:type="dxa" w:w="1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Largest point</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Share at the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largest point</w:t>
            </w:r>
          </w:p>
        </w:tc>
        <w:tc>
          <w:tcPr>
            <w:tcW w:type="dxa" w:w="10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HHI</w:t>
            </w:r>
          </w:p>
        </w:tc>
        <w:tc>
          <w:tcPr>
            <w:tcW w:type="dxa" w:w="13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Numbers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equivalent</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Mkuyuni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4,592</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2.18</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92.3%</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8,580</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1.17</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Kiwegu</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75.0%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5,850</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Gasi</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66.7%</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5,556</w:t>
            </w:r>
          </w:p>
        </w:tc>
        <w:tc>
          <w:tcPr>
            <w:tcW w:type="dxa" w:w="13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1.80</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four BMUs</w:t>
            </w:r>
          </w:p>
        </w:tc>
        <w:tc>
          <w:tcPr>
            <w:tcW w:type="dxa" w:w="11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16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30.2%</w:t>
            </w:r>
          </w:p>
        </w:tc>
        <w:tc>
          <w:tcPr>
            <w:tcW w:type="dxa" w:w="10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2,371</w:t>
            </w:r>
          </w:p>
        </w:tc>
        <w:tc>
          <w:tcPr>
            <w:tcW w:type="dxa" w:w="137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4.22</w:t>
            </w:r>
          </w:p>
        </w:tc>
      </w:tr>
    </w:tbl>
    <w:p>
      <w:pPr>
        <w:spacing w:after="120" w:before="0" w:line="360"/>
        <w:jc w:val="both"/>
      </w:pPr>
      <w:r>
        <w:rPr>
          <w:rFonts w:ascii="Times New Roman" w:cs="Times New Roman" w:eastAsia="Times New Roman" w:hAnsi="Times New Roman"/>
          <w:color w:val="000000"/>
          <w:sz w:val="24"/>
          <w:szCs w:val="24"/>
        </w:rPr>
        <w:t xml:space="preserve">Table 41 shows that first sale is concentrated at every landing site. Across the four BMUs the 63 fishers who answered named only 8 buying points between them, with an HHI of 2,371 and a numbers-equivalent of 4.22 outlets. Within a site the picture is tighter still. Majoreni fishers named two points and 92.3% of them went to one, giving an HHI of 8,580 and a numbers-equivalent of 1.17: in practice a single outlet. Vanga returned 5,850, Msambweni 5,556 and Shimoni, the least concentrated, 4,592. Competition authorities commonly treat a market above 2,500 as highly concentrated. Every BMU in this study sits above that line, and three of the four sit above 4,500.</w:t>
      </w:r>
    </w:p>
    <w:p>
      <w:pPr>
        <w:spacing w:after="0" w:before="240" w:line="240"/>
      </w:pPr>
      <w:bookmarkStart w:id="41060" w:name="_Tbl42"/>
      <w:r>
        <w:rPr>
          <w:rFonts w:ascii="Times New Roman" w:cs="Times New Roman" w:eastAsia="Times New Roman" w:hAnsi="Times New Roman"/>
          <w:b/>
          <w:bCs/>
          <w:color w:val="000000"/>
          <w:sz w:val="24"/>
          <w:szCs w:val="24"/>
        </w:rPr>
        <w:t xml:space="preserve">Table 42</w:t>
      </w:r>
      <w:bookmarkEnd w:id="41060"/>
    </w:p>
    <w:p>
      <w:pPr>
        <w:spacing w:after="120" w:before="0" w:line="240"/>
      </w:pPr>
      <w:r>
        <w:rPr>
          <w:rFonts w:ascii="Times New Roman" w:cs="Times New Roman" w:eastAsia="Times New Roman" w:hAnsi="Times New Roman"/>
          <w:b w:val="false"/>
          <w:bCs w:val="false"/>
          <w:i/>
          <w:iCs/>
          <w:color w:val="000000"/>
          <w:sz w:val="24"/>
          <w:szCs w:val="24"/>
        </w:rPr>
        <w:t xml:space="preserve">Buyer Options per Harvester and Harvesters per Trader, by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1150"/>
        <w:gridCol w:w="1400"/>
        <w:gridCol w:w="1250"/>
        <w:gridCol w:w="1050"/>
        <w:gridCol w:w="1150"/>
        <w:gridCol w:w="1526"/>
      </w:tblGrid>
      <w:tr>
        <w:trPr>
          <w:tblHeader/>
        </w:trPr>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BMU</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answering</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Selling to one</w:t>
            </w:r>
          </w:p>
          <w:p>
            <w:pPr>
              <w:spacing w:after="20" w:before="0" w:line="240"/>
              <w:jc w:val="center"/>
            </w:pPr>
            <w:r>
              <w:rPr>
                <w:rFonts w:ascii="Times New Roman" w:cs="Times New Roman" w:eastAsia="Times New Roman" w:hAnsi="Times New Roman"/>
                <w:b/>
                <w:bCs/>
                <w:i w:val="false"/>
                <w:iCs w:val="false"/>
                <w:color w:val="000000"/>
                <w:sz w:val="20"/>
                <w:szCs w:val="20"/>
              </w:rPr>
              <w:t xml:space="preserve">buyer only</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Mean buyers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per fisher</w:t>
            </w:r>
          </w:p>
        </w:tc>
        <w:tc>
          <w:tcPr>
            <w:tcW w:type="dxa" w:w="10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w:t>
            </w:r>
          </w:p>
          <w:p>
            <w:pPr>
              <w:spacing w:after="20" w:before="0" w:line="240"/>
              <w:jc w:val="center"/>
            </w:pPr>
            <w:r>
              <w:rPr>
                <w:rFonts w:ascii="Times New Roman" w:cs="Times New Roman" w:eastAsia="Times New Roman" w:hAnsi="Times New Roman"/>
                <w:b/>
                <w:bCs/>
                <w:i w:val="false"/>
                <w:iCs w:val="false"/>
                <w:color w:val="000000"/>
                <w:sz w:val="20"/>
                <w:szCs w:val="20"/>
              </w:rPr>
              <w:t xml:space="preserve">sampled</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Middlemen</w:t>
            </w:r>
          </w:p>
          <w:p>
            <w:pPr>
              <w:spacing w:after="20" w:before="0" w:line="240"/>
              <w:jc w:val="center"/>
            </w:pPr>
            <w:r>
              <w:rPr>
                <w:rFonts w:ascii="Times New Roman" w:cs="Times New Roman" w:eastAsia="Times New Roman" w:hAnsi="Times New Roman"/>
                <w:b/>
                <w:bCs/>
                <w:i w:val="false"/>
                <w:iCs w:val="false"/>
                <w:color w:val="000000"/>
                <w:sz w:val="20"/>
                <w:szCs w:val="20"/>
              </w:rPr>
              <w:t xml:space="preserve">sampled</w:t>
            </w:r>
          </w:p>
        </w:tc>
        <w:tc>
          <w:tcPr>
            <w:tcW w:type="dxa" w:w="15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20"/>
                <w:szCs w:val="20"/>
              </w:rPr>
              <w:t xml:space="preserve">Fishers per</w:t>
            </w:r>
          </w:p>
          <w:p>
            <w:pPr>
              <w:spacing w:after="20" w:before="0" w:line="240"/>
              <w:jc w:val="center"/>
            </w:pPr>
            <w:r>
              <w:rPr>
                <w:rFonts w:ascii="Times New Roman" w:cs="Times New Roman" w:eastAsia="Times New Roman" w:hAnsi="Times New Roman"/>
                <w:b/>
                <w:bCs/>
                <w:i w:val="false"/>
                <w:iCs w:val="false"/>
                <w:color w:val="000000"/>
                <w:sz w:val="20"/>
                <w:szCs w:val="20"/>
              </w:rPr>
              <w:t xml:space="preserve">middleman</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(68.0%)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1.32</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2.27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(71.4%)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1.29</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(85.7%)</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1.14</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5.25 : 1</w:t>
            </w:r>
          </w:p>
        </w:tc>
      </w:tr>
      <w:tr>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Msambweni</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1.00</w:t>
            </w:r>
          </w:p>
        </w:tc>
        <w:tc>
          <w:tcPr>
            <w:tcW w:type="dxa" w:w="10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w:t>
            </w:r>
          </w:p>
        </w:tc>
        <w:tc>
          <w:tcPr>
            <w:tcW w:type="dxa" w:w="15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no trader sampled</w:t>
            </w:r>
          </w:p>
        </w:tc>
      </w:tr>
      <w:tr>
        <w:tc>
          <w:tcPr>
            <w:tcW w:type="dxa" w:w="15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four BMUs</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4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1.23</w:t>
            </w:r>
          </w:p>
        </w:tc>
        <w:tc>
          <w:tcPr>
            <w:tcW w:type="dxa" w:w="10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w:t>
            </w:r>
          </w:p>
        </w:tc>
        <w:tc>
          <w:tcPr>
            <w:tcW w:type="dxa" w:w="11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5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2.95 : 1</w:t>
            </w:r>
          </w:p>
        </w:tc>
      </w:tr>
    </w:tbl>
    <w:p>
      <w:pPr>
        <w:spacing w:after="120" w:before="0" w:line="360"/>
        <w:jc w:val="both"/>
      </w:pPr>
      <w:r>
        <w:rPr>
          <w:rFonts w:ascii="Times New Roman" w:cs="Times New Roman" w:eastAsia="Times New Roman" w:hAnsi="Times New Roman"/>
          <w:color w:val="000000"/>
          <w:sz w:val="24"/>
          <w:szCs w:val="24"/>
        </w:rPr>
        <w:t xml:space="preserve">Table 42 approaches the same structure from the seller’s side. 50 of the 65 fishers who answered (76.9%) sold to a single buyer, and the mean across all fishers was 1.23 buyers. The single-buyer share ran from 68.0% at Shimoni to 85.7% at Vanga and all three fishers at Msambweni. Set against that, 65 fishers were sampled against 22 middlemen, 2.95 harvesters for every trader, rising to 5.25 at Vanga and falling to 2.00 at Majoreni. Every fisher in the sample also described his main buyer as a regular one and reported being tied to a trader, so the single-buyer figure is not a matter of convenience on the day.</w:t>
      </w:r>
    </w:p>
    <w:p>
      <w:pPr>
        <w:spacing w:after="120" w:before="0" w:line="360"/>
        <w:jc w:val="both"/>
      </w:pPr>
      <w:r>
        <w:rPr>
          <w:rFonts w:ascii="Times New Roman" w:cs="Times New Roman" w:eastAsia="Times New Roman" w:hAnsi="Times New Roman"/>
          <w:color w:val="000000"/>
          <w:sz w:val="24"/>
          <w:szCs w:val="24"/>
        </w:rPr>
        <w:t xml:space="preserve">Two cautions belong with these numbers. They measure where harvesters take their catch, not how much crab each buying point handles, so a point that many fishers name but that buys little from each would be overweighted. They also rest on the fishers sampled at a site rather than on every fisher working there. Neither caution changes the direction: at three of the four BMUs more than two thirds of the harvesters interviewed carried their catch to one place, and more than three quarters dealt with one buyer when they got there.</w:t>
      </w:r>
    </w:p>
    <w:p>
      <w:pPr>
        <w:pStyle w:val="Heading3"/>
        <w:spacing w:after="120" w:before="240" w:line="360"/>
        <w:outlineLvl w:val="2"/>
      </w:pPr>
      <w:bookmarkStart w:id="52073" w:name="_Toc_73"/>
      <w:r>
        <w:rPr>
          <w:rFonts w:ascii="Times New Roman" w:cs="Times New Roman" w:eastAsia="Times New Roman" w:hAnsi="Times New Roman"/>
          <w:b/>
          <w:bCs/>
          <w:color w:val="000000"/>
          <w:sz w:val="24"/>
          <w:szCs w:val="24"/>
        </w:rPr>
        <w:t xml:space="preserve">4.4.12 Marketing Margins and the Distribution of Value</w:t>
      </w:r>
      <w:bookmarkEnd w:id="52073"/>
    </w:p>
    <w:p>
      <w:pPr>
        <w:spacing w:after="120" w:before="0" w:line="360"/>
        <w:jc w:val="both"/>
      </w:pPr>
      <w:r>
        <w:rPr>
          <w:rFonts w:ascii="Times New Roman" w:cs="Times New Roman" w:eastAsia="Times New Roman" w:hAnsi="Times New Roman"/>
          <w:color w:val="000000"/>
          <w:sz w:val="24"/>
          <w:szCs w:val="24"/>
        </w:rPr>
        <w:t xml:space="preserve">The margin at a node is the difference between what that actor pays and what he sells for, expressed against his own selling price. The producer’s share turns the same arithmetic round and asks how much of the final price reaches the person who caught the crab. Both are computed here from the mean reported price at each node.</w:t>
      </w:r>
    </w:p>
    <w:p>
      <w:pPr>
        <w:spacing w:after="0" w:before="240" w:line="240"/>
      </w:pPr>
      <w:bookmarkStart w:id="41061" w:name="_Tbl43"/>
      <w:r>
        <w:rPr>
          <w:rFonts w:ascii="Times New Roman" w:cs="Times New Roman" w:eastAsia="Times New Roman" w:hAnsi="Times New Roman"/>
          <w:b/>
          <w:bCs/>
          <w:color w:val="000000"/>
          <w:sz w:val="24"/>
          <w:szCs w:val="24"/>
        </w:rPr>
        <w:t xml:space="preserve">Table 43</w:t>
      </w:r>
      <w:bookmarkEnd w:id="41061"/>
    </w:p>
    <w:p>
      <w:pPr>
        <w:spacing w:after="120" w:before="0" w:line="240"/>
      </w:pPr>
      <w:r>
        <w:rPr>
          <w:rFonts w:ascii="Times New Roman" w:cs="Times New Roman" w:eastAsia="Times New Roman" w:hAnsi="Times New Roman"/>
          <w:b w:val="false"/>
          <w:bCs w:val="false"/>
          <w:i/>
          <w:iCs/>
          <w:color w:val="000000"/>
          <w:sz w:val="24"/>
          <w:szCs w:val="24"/>
        </w:rPr>
        <w:t xml:space="preserve">Gross Marketing Margin, Total Margin and Producer’s Share by Chain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10"/>
        <w:gridCol w:w="810"/>
        <w:gridCol w:w="900"/>
        <w:gridCol w:w="900"/>
        <w:gridCol w:w="900"/>
        <w:gridCol w:w="900"/>
        <w:gridCol w:w="765"/>
        <w:gridCol w:w="900"/>
        <w:gridCol w:w="1241"/>
      </w:tblGrid>
      <w:tr>
        <w:trPr>
          <w:tblHeader/>
        </w:trPr>
        <w:tc>
          <w:tcPr>
            <w:tcW w:type="dxa" w:w="171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Chain</w:t>
            </w:r>
          </w:p>
        </w:tc>
        <w:tc>
          <w:tcPr>
            <w:tcW w:type="dxa" w:w="81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Fisher</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Middleman</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Final node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KSh/kg</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Middleman</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Final node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7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Total</w:t>
            </w:r>
          </w:p>
          <w:p>
            <w:pPr>
              <w:spacing w:after="20" w:before="0" w:line="240"/>
              <w:jc w:val="center"/>
            </w:pPr>
            <w:r>
              <w:rPr>
                <w:rFonts w:ascii="Times New Roman" w:cs="Times New Roman" w:eastAsia="Times New Roman" w:hAnsi="Times New Roman"/>
                <w:b/>
                <w:bCs/>
                <w:i w:val="false"/>
                <w:iCs w:val="false"/>
                <w:color w:val="000000"/>
                <w:sz w:val="17"/>
                <w:szCs w:val="17"/>
              </w:rPr>
              <w:t xml:space="preserve">GMM</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Producer’s</w:t>
            </w:r>
          </w:p>
          <w:p>
            <w:pPr>
              <w:spacing w:after="20" w:before="0" w:line="240"/>
              <w:jc w:val="center"/>
            </w:pPr>
            <w:r>
              <w:rPr>
                <w:rFonts w:ascii="Times New Roman" w:cs="Times New Roman" w:eastAsia="Times New Roman" w:hAnsi="Times New Roman"/>
                <w:b/>
                <w:bCs/>
                <w:i w:val="false"/>
                <w:iCs w:val="false"/>
                <w:color w:val="000000"/>
                <w:sz w:val="17"/>
                <w:szCs w:val="17"/>
              </w:rPr>
              <w:t xml:space="preserve">share</w:t>
            </w:r>
          </w:p>
        </w:tc>
        <w:tc>
          <w:tcPr>
            <w:tcW w:type="dxa" w:w="124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0" w:before="20" w:line="240"/>
              <w:jc w:val="center"/>
            </w:pPr>
            <w:r>
              <w:rPr>
                <w:rFonts w:ascii="Times New Roman" w:cs="Times New Roman" w:eastAsia="Times New Roman" w:hAnsi="Times New Roman"/>
                <w:b/>
                <w:bCs/>
                <w:i w:val="false"/>
                <w:iCs w:val="false"/>
                <w:color w:val="000000"/>
                <w:sz w:val="17"/>
                <w:szCs w:val="17"/>
              </w:rPr>
              <w:t xml:space="preserve">Producer’s share</w:t>
            </w:r>
          </w:p>
          <w:p>
            <w:pPr>
              <w:spacing w:after="20" w:before="0" w:line="240"/>
              <w:jc w:val="center"/>
            </w:pPr>
            <w:r>
              <w:rPr>
                <w:rFonts w:ascii="Times New Roman" w:cs="Times New Roman" w:eastAsia="Times New Roman" w:hAnsi="Times New Roman"/>
                <w:b/>
                <w:bCs/>
                <w:i w:val="false"/>
                <w:iCs w:val="false"/>
                <w:color w:val="000000"/>
                <w:sz w:val="17"/>
                <w:szCs w:val="17"/>
              </w:rPr>
              <w:t xml:space="preserve">net of loss</w:t>
            </w:r>
          </w:p>
        </w:tc>
      </w:tr>
      <w:tr>
        <w:tc>
          <w:tcPr>
            <w:tcW w:type="dxa" w:w="17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 sold on to exporters</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44.4%</w:t>
            </w:r>
          </w:p>
        </w:tc>
        <w:tc>
          <w:tcPr>
            <w:tcW w:type="dxa" w:w="7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35.6%</w:t>
            </w:r>
          </w:p>
        </w:tc>
        <w:tc>
          <w:tcPr>
            <w:tcW w:type="dxa" w:w="124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31.9%</w:t>
            </w:r>
          </w:p>
        </w:tc>
      </w:tr>
      <w:tr>
        <w:tc>
          <w:tcPr>
            <w:tcW w:type="dxa" w:w="17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 sold on to hoteliers</w:t>
            </w:r>
          </w:p>
        </w:tc>
        <w:tc>
          <w:tcPr>
            <w:tcW w:type="dxa" w:w="81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36.1%</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7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27.5%</w:t>
            </w:r>
          </w:p>
        </w:tc>
        <w:tc>
          <w:tcPr>
            <w:tcW w:type="dxa" w:w="124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w:t>
            </w:r>
          </w:p>
        </w:tc>
      </w:tr>
      <w:tr>
        <w:tc>
          <w:tcPr>
            <w:tcW w:type="dxa" w:w="171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 sold on to exporters</w:t>
            </w:r>
          </w:p>
        </w:tc>
        <w:tc>
          <w:tcPr>
            <w:tcW w:type="dxa" w:w="81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28.3%</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44.8%</w:t>
            </w:r>
          </w:p>
        </w:tc>
        <w:tc>
          <w:tcPr>
            <w:tcW w:type="dxa" w:w="7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39.6%</w:t>
            </w:r>
          </w:p>
        </w:tc>
        <w:tc>
          <w:tcPr>
            <w:tcW w:type="dxa" w:w="124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w:t>
            </w:r>
          </w:p>
        </w:tc>
      </w:tr>
    </w:tbl>
    <w:p>
      <w:pPr>
        <w:spacing w:after="120" w:before="0" w:line="360"/>
        <w:jc w:val="both"/>
      </w:pPr>
      <w:r>
        <w:rPr>
          <w:rFonts w:ascii="Times New Roman" w:cs="Times New Roman" w:eastAsia="Times New Roman" w:hAnsi="Times New Roman"/>
          <w:color w:val="000000"/>
          <w:sz w:val="24"/>
          <w:szCs w:val="24"/>
        </w:rPr>
        <w:t xml:space="preserve">Table 43 reads the chain three ways. Large crabs moving to an exporter left the middleman a gross margin of 36.1% of his own selling price and the exporter 44.4% of his, a total marketing margin of 64.4% and a producer’s share of 35.6%. The same crabs sold to a hotel gave a total margin of 72.5% and left the fisher 27.5%. Medium crabs going for export were the harvester’s best case at 39.6%. In every chain the largest single margin accrued at the node furthest from the water.</w:t>
      </w:r>
    </w:p>
    <w:p>
      <w:pPr>
        <w:spacing w:after="120" w:before="0" w:line="360"/>
        <w:jc w:val="both"/>
      </w:pPr>
      <w:r>
        <w:rPr>
          <w:rFonts w:ascii="Times New Roman" w:cs="Times New Roman" w:eastAsia="Times New Roman" w:hAnsi="Times New Roman"/>
          <w:color w:val="000000"/>
          <w:sz w:val="24"/>
          <w:szCs w:val="24"/>
        </w:rPr>
        <w:t xml:space="preserve">These are gross margins. The survey priced no transport, holding, ice, packaging or cost of capital, so nothing here is a profit. One cost was measured, however, and it belongs in the calculation: physical mortality. Fishers reported a mean of 0.75 kg of dead crab a day against a mean daily catch of 7.68 kg, a loss of 10.4% of the volume they land. Carrying that loss through reduces the producer’s share from 35.6% to 31.9% in the export chain and from 27.5% to 24.6% in the hotel chain. Middlemen reported a larger absolute loss, a mean of 4.33 kg a day, but the survey did not record the volume they handle, so the same rate cannot be formed for them and their margins stay gross.</w:t>
      </w:r>
    </w:p>
    <w:p>
      <w:pPr>
        <w:pStyle w:val="Heading3"/>
        <w:spacing w:after="120" w:before="240" w:line="360"/>
        <w:outlineLvl w:val="2"/>
      </w:pPr>
      <w:bookmarkStart w:id="52074" w:name="_Toc_74"/>
      <w:r>
        <w:rPr>
          <w:rFonts w:ascii="Times New Roman" w:cs="Times New Roman" w:eastAsia="Times New Roman" w:hAnsi="Times New Roman"/>
          <w:b/>
          <w:bCs/>
          <w:color w:val="000000"/>
          <w:sz w:val="24"/>
          <w:szCs w:val="24"/>
        </w:rPr>
        <w:t xml:space="preserve">4.4.13 Price Dispersion and Price Transmission</w:t>
      </w:r>
      <w:bookmarkEnd w:id="52074"/>
    </w:p>
    <w:p>
      <w:pPr>
        <w:spacing w:after="120" w:before="0" w:line="360"/>
        <w:jc w:val="both"/>
      </w:pPr>
      <w:r>
        <w:rPr>
          <w:rFonts w:ascii="Times New Roman" w:cs="Times New Roman" w:eastAsia="Times New Roman" w:hAnsi="Times New Roman"/>
          <w:color w:val="000000"/>
          <w:sz w:val="24"/>
          <w:szCs w:val="24"/>
        </w:rPr>
        <w:t xml:space="preserve">A market in which the same product fetches widely different prices on the same day is transmitting information poorly. The coefficient of variation measures that spread independently of the price level, so it can be compared across nodes whose prices differ by a factor of three.</w:t>
      </w:r>
    </w:p>
    <w:p>
      <w:pPr>
        <w:spacing w:after="0" w:before="240" w:line="240"/>
      </w:pPr>
      <w:bookmarkStart w:id="41062" w:name="_Tbl44"/>
      <w:r>
        <w:rPr>
          <w:rFonts w:ascii="Times New Roman" w:cs="Times New Roman" w:eastAsia="Times New Roman" w:hAnsi="Times New Roman"/>
          <w:b/>
          <w:bCs/>
          <w:color w:val="000000"/>
          <w:sz w:val="24"/>
          <w:szCs w:val="24"/>
        </w:rPr>
        <w:t xml:space="preserve">Table 44</w:t>
      </w:r>
      <w:bookmarkEnd w:id="41062"/>
    </w:p>
    <w:p>
      <w:pPr>
        <w:spacing w:after="120" w:before="0" w:line="240"/>
      </w:pPr>
      <w:r>
        <w:rPr>
          <w:rFonts w:ascii="Times New Roman" w:cs="Times New Roman" w:eastAsia="Times New Roman" w:hAnsi="Times New Roman"/>
          <w:b w:val="false"/>
          <w:bCs w:val="false"/>
          <w:i/>
          <w:iCs/>
          <w:color w:val="000000"/>
          <w:sz w:val="24"/>
          <w:szCs w:val="24"/>
        </w:rPr>
        <w:t xml:space="preserve">Price Dispersion Within Each Actor Category and Price Transmission to the Fisher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25"/>
        <w:gridCol w:w="963"/>
        <w:gridCol w:w="1107"/>
        <w:gridCol w:w="1011"/>
        <w:gridCol w:w="1011"/>
        <w:gridCol w:w="963"/>
        <w:gridCol w:w="1011"/>
        <w:gridCol w:w="1035"/>
      </w:tblGrid>
      <w:tr>
        <w:trPr>
          <w:tblHeader/>
        </w:trPr>
        <w:tc>
          <w:tcPr>
            <w:tcW w:type="dxa" w:w="192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Size grade</w:t>
            </w:r>
          </w:p>
        </w:tc>
        <w:tc>
          <w:tcPr>
            <w:tcW w:type="dxa" w:w="9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Fisher</w:t>
            </w:r>
          </w:p>
        </w:tc>
        <w:tc>
          <w:tcPr>
            <w:tcW w:type="dxa" w:w="110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Middleman</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Hotelier</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Exporter</w:t>
            </w:r>
          </w:p>
        </w:tc>
        <w:tc>
          <w:tcPr>
            <w:tcW w:type="dxa" w:w="9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10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103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Coefficient of variation of reported price, by actor category</w:t>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31.8%</w:t>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14.9%</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25.9%</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31.8%</w:t>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28.8%</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Fisher price as a percentage of the middleman price at the same BMU</w:t>
            </w:r>
          </w:p>
        </w:tc>
      </w:tr>
      <w:tr>
        <w:tc>
          <w:tcPr>
            <w:tcW w:type="dxa" w:w="19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 (Grade A)</w:t>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10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55.0%</w:t>
            </w:r>
          </w:p>
        </w:tc>
        <w:tc>
          <w:tcPr>
            <w:tcW w:type="dxa" w:w="10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91.7%</w:t>
            </w:r>
          </w:p>
        </w:tc>
        <w:tc>
          <w:tcPr>
            <w:tcW w:type="dxa" w:w="103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53.6%</w:t>
            </w:r>
          </w:p>
        </w:tc>
      </w:tr>
      <w:tr>
        <w:tc>
          <w:tcPr>
            <w:tcW w:type="dxa" w:w="192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 (Grade B)</w:t>
            </w:r>
          </w:p>
        </w:tc>
        <w:tc>
          <w:tcPr>
            <w:tcW w:type="dxa" w:w="9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10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c>
          <w:tcPr>
            <w:tcW w:type="dxa" w:w="9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54.2%</w:t>
            </w:r>
          </w:p>
        </w:tc>
        <w:tc>
          <w:tcPr>
            <w:tcW w:type="dxa" w:w="10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91.3%</w:t>
            </w:r>
          </w:p>
        </w:tc>
        <w:tc>
          <w:tcPr>
            <w:tcW w:type="dxa" w:w="103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76.8%</w:t>
            </w:r>
          </w:p>
        </w:tc>
      </w:tr>
    </w:tbl>
    <w:p>
      <w:pPr>
        <w:spacing w:after="120" w:before="0" w:line="360"/>
        <w:jc w:val="both"/>
      </w:pPr>
      <w:r>
        <w:rPr>
          <w:rFonts w:ascii="Times New Roman" w:cs="Times New Roman" w:eastAsia="Times New Roman" w:hAnsi="Times New Roman"/>
          <w:color w:val="000000"/>
          <w:sz w:val="24"/>
          <w:szCs w:val="24"/>
        </w:rPr>
        <w:t xml:space="preserve">Table 44 shows dispersion falling steadily down the chain. For large crabs the fisher coefficient of variation was 31.8%, the middleman 14.9% and the exporter 6.8%; the medium grade gives the same ordering. Two harvesters selling the same grade on the same coast can therefore expect materially different prices, while two exporters expect nearly the same one. The lower half of the table sets the fisher mean against the middleman mean at the same site. Majoreni transmitted 91.7% of the large-grade middleman price to its fishers, against 55.0% at Shimoni and 53.6% at Vanga.</w:t>
      </w:r>
    </w:p>
    <w:p>
      <w:pPr>
        <w:spacing w:after="120" w:before="0" w:line="360"/>
        <w:jc w:val="both"/>
      </w:pPr>
      <w:r>
        <w:rPr>
          <w:rFonts w:ascii="Times New Roman" w:cs="Times New Roman" w:eastAsia="Times New Roman" w:hAnsi="Times New Roman"/>
          <w:color w:val="000000"/>
          <w:sz w:val="24"/>
          <w:szCs w:val="24"/>
        </w:rPr>
        <w:t xml:space="preserve">Set beside the concentration results this produces a finding worth stating carefully. Majoreni was the most concentrated site on every measure in Table 41, yet it transmitted the largest share of the downstream price to its harvesters, while Vanga carried the highest number of harvesters per trader (5.25 to one) and transmitted the least. Concentration of outlets and the price a harvester receives did not move together here. With three sites and a cross-sectional design nothing causal can be drawn from that, but it does suggest that how many buying points exist matters less than how many sellers compete for the attention of each buyer, and it marks a question worth designing a study around.</w:t>
      </w:r>
    </w:p>
    <w:p>
      <w:pPr>
        <w:pStyle w:val="Heading3"/>
        <w:spacing w:after="120" w:before="240" w:line="360"/>
        <w:outlineLvl w:val="2"/>
      </w:pPr>
      <w:bookmarkStart w:id="52075" w:name="_Toc_75"/>
      <w:r>
        <w:rPr>
          <w:rFonts w:ascii="Times New Roman" w:cs="Times New Roman" w:eastAsia="Times New Roman" w:hAnsi="Times New Roman"/>
          <w:b/>
          <w:bCs/>
          <w:color w:val="000000"/>
          <w:sz w:val="24"/>
          <w:szCs w:val="24"/>
        </w:rPr>
        <w:t xml:space="preserve">4.4.14 Summary of Objective Two</w:t>
      </w:r>
      <w:bookmarkEnd w:id="52075"/>
    </w:p>
    <w:p>
      <w:pPr>
        <w:spacing w:after="120" w:before="0" w:line="360"/>
        <w:jc w:val="both"/>
      </w:pPr>
      <w:r>
        <w:rPr>
          <w:rFonts w:ascii="Times New Roman" w:cs="Times New Roman" w:eastAsia="Times New Roman" w:hAnsi="Times New Roman"/>
          <w:color w:val="000000"/>
          <w:sz w:val="24"/>
          <w:szCs w:val="24"/>
        </w:rPr>
        <w:t xml:space="preserve">Objective Two asked what functions actors perform at each market node. Functions divided cleanly, and so did the information attached to them. Fishers harvested by hand, tied claws, packed into sacks, walked to the landing site and sold the whole catch to a first-level middleman at a price they called fixed. Middlemen aggregated, cleaned, sorted and graded on a four-criterion rule, then moved crabs by vehicle or boat to company agents, other middlemen or exporters. Hoteliers processed and froze for their own kitchens. Exporters packed Styrofoam for air freight under inspection and certification. Formal quality control, the fuller grading rule and contact with the final buyer sat entirely downstream.</w:t>
      </w:r>
    </w:p>
    <w:p>
      <w:pPr>
        <w:spacing w:after="120" w:before="0" w:line="360"/>
        <w:jc w:val="both"/>
      </w:pPr>
      <w:r>
        <w:rPr>
          <w:rFonts w:ascii="Times New Roman" w:cs="Times New Roman" w:eastAsia="Times New Roman" w:hAnsi="Times New Roman"/>
          <w:color w:val="000000"/>
          <w:sz w:val="24"/>
          <w:szCs w:val="24"/>
        </w:rPr>
        <w:t xml:space="preserve">Prices rose at every node and differed significantly between actor categories. Expressed as shares of the price the crab eventually fetched, the fisher retained between 27.5% and 39.6%, the middleman added between 15.5% and 20.0%, and between 44.4% and 57.0% was added at the final buyer. Among fishers, price also differed significantly by site, and the size of the first-sale gap was set locally: Majoreni fishers held 91.7% of the middleman price for large crabs where Shimoni and Vanga fishers held close to 54%.</w:t>
      </w:r>
    </w:p>
    <w:p>
      <w:pPr>
        <w:pStyle w:val="Heading3"/>
        <w:spacing w:after="120" w:before="240" w:line="360"/>
        <w:outlineLvl w:val="2"/>
      </w:pPr>
      <w:bookmarkStart w:id="52076" w:name="_Toc_76"/>
      <w:r>
        <w:rPr>
          <w:rFonts w:ascii="Times New Roman" w:cs="Times New Roman" w:eastAsia="Times New Roman" w:hAnsi="Times New Roman"/>
          <w:b/>
          <w:bCs/>
          <w:color w:val="000000"/>
          <w:sz w:val="24"/>
          <w:szCs w:val="24"/>
        </w:rPr>
        <w:t xml:space="preserve">4.4.15 Discussion of Findings in Relation to Previous Studies</w:t>
      </w:r>
      <w:bookmarkEnd w:id="52076"/>
    </w:p>
    <w:p>
      <w:pPr>
        <w:spacing w:after="120" w:before="0" w:line="360"/>
        <w:jc w:val="both"/>
      </w:pPr>
      <w:r>
        <w:rPr>
          <w:rFonts w:ascii="Times New Roman" w:cs="Times New Roman" w:eastAsia="Times New Roman" w:hAnsi="Times New Roman"/>
          <w:color w:val="000000"/>
          <w:sz w:val="24"/>
          <w:szCs w:val="24"/>
        </w:rPr>
        <w:t xml:space="preserve">The functional sequence documented here — harvesting, aggregation, processing and export, each performed by a distinct actor category — agrees closely with the value-chain structure described for the Kenyan mud crab fishery (Mirera, 2017a; Fondo &amp; Ogutu, 2021) and with the broader account of small-scale fisheries chains in which middlemen supply the link between dispersed harvesters and distant buyers (Crona et al., 2016). The present study extends those accounts by testing each function against site rather than assuming uniformity: of the functional variables examined, only travel time to market, the large-crab size label and the small-crab size label showed a significant association with BMU among fishers, and none did among middlemen.</w:t>
      </w:r>
    </w:p>
    <w:p>
      <w:pPr>
        <w:spacing w:after="120" w:before="0" w:line="360"/>
        <w:jc w:val="both"/>
      </w:pPr>
      <w:r>
        <w:rPr>
          <w:rFonts w:ascii="Times New Roman" w:cs="Times New Roman" w:eastAsia="Times New Roman" w:hAnsi="Times New Roman"/>
          <w:color w:val="000000"/>
          <w:sz w:val="24"/>
          <w:szCs w:val="24"/>
        </w:rPr>
        <w:t xml:space="preserve">The grading result is where this study makes its clearest contribution. Every actor graded, but fishers graded on weight alone while every downstream category used a four-criterion rule. Jacinto (2004) identifies precisely this kind of informational asymmetry as a determinant of how value is distributed in small-scale fisheries value chains, and the present data supply a clean instance of it in a fishery where the literature has so far documented actors and functions more thoroughly than the terms of exchange between them. The site variation in labelling adds a local dimension that earlier work has not reported.</w:t>
      </w:r>
    </w:p>
    <w:p>
      <w:pPr>
        <w:spacing w:after="120" w:before="0" w:line="360"/>
        <w:jc w:val="both"/>
      </w:pPr>
      <w:r>
        <w:rPr>
          <w:rFonts w:ascii="Times New Roman" w:cs="Times New Roman" w:eastAsia="Times New Roman" w:hAnsi="Times New Roman"/>
          <w:color w:val="000000"/>
          <w:sz w:val="24"/>
          <w:szCs w:val="24"/>
        </w:rPr>
        <w:t xml:space="preserve">On handling and loss, the finding that protection rises downstream while mortality rises with the volume held is consistent with FAO (2025) on the determinants of survival and quality in the live mud crab trade. The divergence from that literature is not in the direction of the result but in its measurement: no actor in this chain recorded losses against a shared standard, so the cost of mortality cannot be attributed, priced or recovered. That is a gap in practice rather than a contradiction of previous findings.</w:t>
      </w:r>
    </w:p>
    <w:p>
      <w:pPr>
        <w:spacing w:after="120" w:before="0" w:line="360"/>
        <w:jc w:val="both"/>
      </w:pPr>
      <w:r>
        <w:rPr>
          <w:rFonts w:ascii="Times New Roman" w:cs="Times New Roman" w:eastAsia="Times New Roman" w:hAnsi="Times New Roman"/>
          <w:color w:val="000000"/>
          <w:sz w:val="24"/>
          <w:szCs w:val="24"/>
        </w:rPr>
        <w:t xml:space="preserve">The price results agree with the expectation that later actors, carrying aggregation, mortality, transport and buyer-access costs, will trade at higher prices. The caveat matters and is stated plainly: these are gross prices. Munga and Muthumbi (2018) draw the same distinction for the Tana Delta mud crab fishery, where gross price differentials narrowed considerably once handling and transport were netted out, so nothing here should be read as a statement about profit.</w:t>
      </w:r>
    </w:p>
    <w:p>
      <w:pPr>
        <w:spacing w:after="120" w:before="0" w:line="360"/>
        <w:jc w:val="both"/>
      </w:pPr>
      <w:r>
        <w:rPr>
          <w:rFonts w:ascii="Times New Roman" w:cs="Times New Roman" w:eastAsia="Times New Roman" w:hAnsi="Times New Roman"/>
          <w:color w:val="000000"/>
          <w:sz w:val="24"/>
          <w:szCs w:val="24"/>
        </w:rPr>
        <w:t xml:space="preserve">Within that limit, the distribution of the end-of-chain price is the substantive extension this study offers. The producer’s share of between 27.5% and 39.6% sits at the low end of what has been reported for perishable, high-value seafood. Jacinto (2004) argues that in small-scale fisheries the share captured at each node tracks control of information and market access more closely than physical effort, and the ordering here matches that argument exactly: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cuts against the popular account and deserves emphasis. Middlemen took the smallest of the three shares in every chain, between 15.5% and 20.0%, yet they are the actor fishers most often identify with the low beach price. Crona et al. (2016) reach a similar conclusion for Kenya and Zanzibar, finding middlemen widely blamed for outcomes largely determined further along the chain while themselves operating on modest turnovers and carrying the mortality risk. The present data support that reading rather than the popular one, and Figure 16 documents the risk directly.</w:t>
      </w:r>
    </w:p>
    <w:p>
      <w:pPr>
        <w:spacing w:after="120" w:before="0" w:line="360"/>
        <w:jc w:val="both"/>
      </w:pPr>
      <w:r>
        <w:rPr>
          <w:rFonts w:ascii="Times New Roman" w:cs="Times New Roman" w:eastAsia="Times New Roman" w:hAnsi="Times New Roman"/>
          <w:color w:val="000000"/>
          <w:sz w:val="24"/>
          <w:szCs w:val="24"/>
        </w:rPr>
        <w:t xml:space="preserve">Finally, the site contrast in the first-sale gap extends the literature on market integration. Green and Clark (2021) treat dispersion at the first point of sale as one of the more reliable indicators of weak market integration; on that criterion Shimoni and Vanga look the weaker markets of the three. Because fisher prices varied significantly across sites while middleman prices did not, the mechanism sits on the fisher side of the transaction. Two readings remain open — a less concentrated set of first buyers at Majoreni, or Majoreni traders being first-tier buyers reselling locally rather than consolidators shipping to Mombasa — and this study cannot separate them, because buyer concentration and onward destination were not measured at transaction level.</w:t>
      </w:r>
    </w:p>
    <w:p>
      <w:pPr>
        <w:pStyle w:val="Heading2"/>
        <w:spacing w:after="140" w:before="280" w:line="360"/>
        <w:outlineLvl w:val="1"/>
      </w:pPr>
      <w:bookmarkStart w:id="52077" w:name="_Toc_77"/>
      <w:r>
        <w:rPr>
          <w:rFonts w:ascii="Times New Roman" w:cs="Times New Roman" w:eastAsia="Times New Roman" w:hAnsi="Times New Roman"/>
          <w:b/>
          <w:bCs/>
          <w:color w:val="000000"/>
          <w:sz w:val="26"/>
          <w:szCs w:val="26"/>
        </w:rPr>
        <w:t xml:space="preserve">4.5 Objective Three: Constraints and Opportunities Facing Each Actor Category</w:t>
      </w:r>
      <w:bookmarkEnd w:id="52077"/>
    </w:p>
    <w:p>
      <w:pPr>
        <w:spacing w:after="120" w:before="0" w:line="360"/>
        <w:jc w:val="both"/>
      </w:pPr>
      <w:r>
        <w:rPr>
          <w:rFonts w:ascii="Times New Roman" w:cs="Times New Roman" w:eastAsia="Times New Roman" w:hAnsi="Times New Roman"/>
          <w:color w:val="000000"/>
          <w:sz w:val="24"/>
          <w:szCs w:val="24"/>
        </w:rPr>
        <w:t xml:space="preserve">Objective Three assessed the constraints each actor category reported and the opportunities they identified. The results are grouped into operational and infrastructure constraints, market access and risk, regulation and information, perceptions of market organisation, and opportunities.</w:t>
      </w:r>
    </w:p>
    <w:p>
      <w:pPr>
        <w:pStyle w:val="Heading3"/>
        <w:spacing w:after="120" w:before="240" w:line="360"/>
        <w:outlineLvl w:val="2"/>
      </w:pPr>
      <w:bookmarkStart w:id="52078" w:name="_Toc_78"/>
      <w:r>
        <w:rPr>
          <w:rFonts w:ascii="Times New Roman" w:cs="Times New Roman" w:eastAsia="Times New Roman" w:hAnsi="Times New Roman"/>
          <w:b/>
          <w:bCs/>
          <w:color w:val="000000"/>
          <w:sz w:val="24"/>
          <w:szCs w:val="24"/>
        </w:rPr>
        <w:t xml:space="preserve">4.5.1 Operational and Infrastructure Constraints</w:t>
      </w:r>
      <w:bookmarkEnd w:id="52078"/>
    </w:p>
    <w:p>
      <w:pPr>
        <w:spacing w:after="0" w:before="240" w:line="240"/>
      </w:pPr>
      <w:bookmarkStart w:id="41063" w:name="_Tbl45"/>
      <w:r>
        <w:rPr>
          <w:rFonts w:ascii="Times New Roman" w:cs="Times New Roman" w:eastAsia="Times New Roman" w:hAnsi="Times New Roman"/>
          <w:b/>
          <w:bCs/>
          <w:color w:val="000000"/>
          <w:sz w:val="24"/>
          <w:szCs w:val="24"/>
        </w:rPr>
        <w:t xml:space="preserve">Table 45</w:t>
      </w:r>
      <w:bookmarkEnd w:id="41063"/>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Main operational or marketing constraint</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 (90.8%)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 (96.0%)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(50.0%)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Price fluctuations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Mortality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Market seasonality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 freight, flight delays and supply risk</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45, no constraint was shared across the chain. Price fluctuation was named by 59 fishers (90.8%) and by half the middlemen (11, 50.0%); mortality by the other half of middlemen and by 6 fishers (9.2%); market seasonality by all five hoteliers; and high freight, flight delays and supply risk by all four exporters. The middleman split varied significantly by site (p = .036): all four Vanga middlemen and 4 of 7 at Majoreni (57.1%) named mortality, while only 3 of 11 at Shimoni (27.3%) did. Fisher responses did not vary by site (p = .334).</w:t>
      </w:r>
    </w:p>
    <w:p>
      <w:pPr>
        <w:spacing w:after="0" w:before="240" w:line="240"/>
      </w:pPr>
      <w:bookmarkStart w:id="41064" w:name="_Tbl46"/>
      <w:r>
        <w:rPr>
          <w:rFonts w:ascii="Times New Roman" w:cs="Times New Roman" w:eastAsia="Times New Roman" w:hAnsi="Times New Roman"/>
          <w:b/>
          <w:bCs/>
          <w:color w:val="000000"/>
          <w:sz w:val="24"/>
          <w:szCs w:val="24"/>
        </w:rPr>
        <w:t xml:space="preserve">Table 46</w:t>
      </w:r>
      <w:bookmarkEnd w:id="41064"/>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and Need for Improvement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Infrastructure improvements are needed</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46 and Figure 19 show the same divergence in infrastructure. Poor road infrastructure dominated the fisher responses (64, 98.5%), reaching 100.0% at Shimoni, Vanga and Msambweni, while 20 of 22 middlemen (90.9%) named the lack of aggregation facilities, rising to all seven (100.0%) at Majoreni. All five hoteliers named market seasonality and all four exporters named high freight, flight delays and mortality. Every respondent in all four categories, without exception, said infrastructure improvements were needed. Neither fisher (p = .264) nor middleman (p = .339) responses varied significantly by site.</w:t>
      </w:r>
    </w:p>
    <w:p>
      <w:pPr>
        <w:spacing w:after="0" w:before="240" w:line="240"/>
      </w:pPr>
      <w:bookmarkStart w:id="41065" w:name="_Fig19"/>
      <w:r>
        <w:rPr>
          <w:rFonts w:ascii="Times New Roman" w:cs="Times New Roman" w:eastAsia="Times New Roman" w:hAnsi="Times New Roman"/>
          <w:b/>
          <w:bCs/>
          <w:color w:val="000000"/>
          <w:sz w:val="24"/>
          <w:szCs w:val="24"/>
        </w:rPr>
        <w:t xml:space="preserve">Figure 19</w:t>
      </w:r>
      <w:bookmarkEnd w:id="41065"/>
    </w:p>
    <w:p>
      <w:pPr>
        <w:spacing w:after="120" w:before="0" w:line="240"/>
      </w:pPr>
      <w:r>
        <w:rPr>
          <w:rFonts w:ascii="Times New Roman" w:cs="Times New Roman" w:eastAsia="Times New Roman" w:hAnsi="Times New Roman"/>
          <w:i/>
          <w:iCs/>
          <w:color w:val="000000"/>
          <w:sz w:val="24"/>
          <w:szCs w:val="24"/>
        </w:rPr>
        <w:t xml:space="preserve">Main Infrastructure or Logistics Constraint by Actor Category</w:t>
      </w:r>
    </w:p>
    <w:p>
      <w:pPr>
        <w:spacing w:after="240"/>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15000" cy="23336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Tables 35 and 36 show that each constraint follows from the work the actor does. The fisher sells the same day at a price he does not set, so volatility reaches him first and the road is what stands between him and a buyer. The middleman holds stock, so he loses crabs and needs somewhere to hold them. The hotelier lives on tourist arrivals and feels the season. The exporter lives on cargo space and feels the freight. The practical consequence for Objective Three is that a single chain-wide intervention would not reach all four, which is why the recommendations in Chapter Six are written by actor category.</w:t>
      </w:r>
    </w:p>
    <w:p>
      <w:pPr>
        <w:pStyle w:val="Heading3"/>
        <w:spacing w:after="120" w:before="240" w:line="360"/>
        <w:outlineLvl w:val="2"/>
      </w:pPr>
      <w:bookmarkStart w:id="52079" w:name="_Toc_79"/>
      <w:r>
        <w:rPr>
          <w:rFonts w:ascii="Times New Roman" w:cs="Times New Roman" w:eastAsia="Times New Roman" w:hAnsi="Times New Roman"/>
          <w:b/>
          <w:bCs/>
          <w:color w:val="000000"/>
          <w:sz w:val="24"/>
          <w:szCs w:val="24"/>
        </w:rPr>
        <w:t xml:space="preserve">4.5.2 Market Access, Operational Challenges and Risk</w:t>
      </w:r>
      <w:bookmarkEnd w:id="52079"/>
    </w:p>
    <w:p>
      <w:pPr>
        <w:spacing w:after="0" w:before="240" w:line="240"/>
      </w:pPr>
      <w:bookmarkStart w:id="41066" w:name="_Tbl47"/>
      <w:r>
        <w:rPr>
          <w:rFonts w:ascii="Times New Roman" w:cs="Times New Roman" w:eastAsia="Times New Roman" w:hAnsi="Times New Roman"/>
          <w:b/>
          <w:bCs/>
          <w:color w:val="000000"/>
          <w:sz w:val="24"/>
          <w:szCs w:val="24"/>
        </w:rPr>
        <w:t xml:space="preserve">Table 47</w:t>
      </w:r>
      <w:bookmarkEnd w:id="41066"/>
    </w:p>
    <w:p>
      <w:pPr>
        <w:spacing w:after="120" w:before="0" w:line="240"/>
      </w:pPr>
      <w:r>
        <w:rPr>
          <w:rFonts w:ascii="Times New Roman" w:cs="Times New Roman" w:eastAsia="Times New Roman" w:hAnsi="Times New Roman"/>
          <w:b w:val="false"/>
          <w:bCs w:val="false"/>
          <w:i/>
          <w:iCs/>
          <w:color w:val="000000"/>
          <w:sz w:val="24"/>
          <w:szCs w:val="24"/>
        </w:rPr>
        <w:t xml:space="preserve">Barriers to Market Access and Operational Challenges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barriers to market access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 (93.8%)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 (92.0%)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(90.5%)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(6.2%)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Experienced significant operational challenges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53 (81.5%)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 (76.0%)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(66.7%)</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 (18.5%)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(24.0%)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(33.3%)</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47, barriers to market access were close to universal: 61 fishers (93.8%), all 22 middlemen, all five hoteliers and all four exporters reported them, with the fisher share reaching 100.0% at Majoreni and Msambweni. Significant operational challenges were reported by 53 fishers (81.5%) and by every respondent in the other three categories. Neither item was associated with BMU among fishers (p = .730 and p = .253).</w:t>
      </w:r>
    </w:p>
    <w:p>
      <w:pPr>
        <w:spacing w:after="0" w:before="240" w:line="240"/>
      </w:pPr>
      <w:bookmarkStart w:id="41067" w:name="_Tbl48"/>
      <w:r>
        <w:rPr>
          <w:rFonts w:ascii="Times New Roman" w:cs="Times New Roman" w:eastAsia="Times New Roman" w:hAnsi="Times New Roman"/>
          <w:b/>
          <w:bCs/>
          <w:color w:val="000000"/>
          <w:sz w:val="24"/>
          <w:szCs w:val="24"/>
        </w:rPr>
        <w:t xml:space="preserve">Table 48</w:t>
      </w:r>
      <w:bookmarkEnd w:id="41067"/>
    </w:p>
    <w:p>
      <w:pPr>
        <w:spacing w:after="120" w:before="0" w:line="240"/>
      </w:pPr>
      <w:r>
        <w:rPr>
          <w:rFonts w:ascii="Times New Roman" w:cs="Times New Roman" w:eastAsia="Times New Roman" w:hAnsi="Times New Roman"/>
          <w:b w:val="false"/>
          <w:bCs w:val="false"/>
          <w:i/>
          <w:iCs/>
          <w:color w:val="000000"/>
          <w:sz w:val="24"/>
          <w:szCs w:val="24"/>
        </w:rPr>
        <w:t xml:space="preserve">Risk Management Method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Method used to manage risk</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Diversification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Insurance and diversification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48 records how actors managed that risk, and the answer is uniform and thin. Diversification was the only method named by fishers, middlemen and hoteliers, at 100.0% in each category and at every site; the four exporters added insurance to diversification. No other method was reported anywhere in the sample.</w:t>
      </w:r>
    </w:p>
    <w:p>
      <w:pPr>
        <w:spacing w:after="0" w:before="240" w:line="240"/>
      </w:pPr>
      <w:bookmarkStart w:id="41068" w:name="_Tbl49"/>
      <w:r>
        <w:rPr>
          <w:rFonts w:ascii="Times New Roman" w:cs="Times New Roman" w:eastAsia="Times New Roman" w:hAnsi="Times New Roman"/>
          <w:b/>
          <w:bCs/>
          <w:color w:val="000000"/>
          <w:sz w:val="24"/>
          <w:szCs w:val="24"/>
        </w:rPr>
        <w:t xml:space="preserve">Table 49</w:t>
      </w:r>
      <w:bookmarkEnd w:id="41068"/>
    </w:p>
    <w:p>
      <w:pPr>
        <w:spacing w:after="120" w:before="0" w:line="240"/>
      </w:pPr>
      <w:r>
        <w:rPr>
          <w:rFonts w:ascii="Times New Roman" w:cs="Times New Roman" w:eastAsia="Times New Roman" w:hAnsi="Times New Roman"/>
          <w:b w:val="false"/>
          <w:bCs w:val="false"/>
          <w:i/>
          <w:iCs/>
          <w:color w:val="000000"/>
          <w:sz w:val="24"/>
          <w:szCs w:val="24"/>
        </w:rPr>
        <w:t xml:space="preserve">Innovation, Changes in Marketing Strategy and Adaptation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Adopted an innovative response</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Changed marketing strategies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functions are adapted within the chain</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Flexibility and collaboration</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49 completes that picture. Not one respondent in any actor category had adopted an innovative response. Only the nine downstream actors had changed their marketing strategies; no fisher and no middleman had. Flexibility was the universal adaptation, with exporters alone adding collaboration.</w:t>
      </w:r>
    </w:p>
    <w:p>
      <w:pPr>
        <w:spacing w:after="120" w:before="0" w:line="360"/>
        <w:jc w:val="both"/>
      </w:pPr>
      <w:r>
        <w:rPr>
          <w:rFonts w:ascii="Times New Roman" w:cs="Times New Roman" w:eastAsia="Times New Roman" w:hAnsi="Times New Roman"/>
          <w:color w:val="000000"/>
          <w:sz w:val="24"/>
          <w:szCs w:val="24"/>
        </w:rPr>
        <w:t xml:space="preserve">Read against Objective Three, Tables 37 to 39 say that upstream actors are absorbing risk rather than managing it. Diversification named as a risk strategy by a fisher who, in Table 11, reports no other income activity is an intention rather than a practice. The absence of any reported innovation across all 96 respondents also means that the constraints described above have not yet produced an adaptive response the actors themselves recognise as one.</w:t>
      </w:r>
    </w:p>
    <w:p>
      <w:pPr>
        <w:pStyle w:val="Heading3"/>
        <w:spacing w:after="120" w:before="240" w:line="360"/>
        <w:outlineLvl w:val="2"/>
      </w:pPr>
      <w:bookmarkStart w:id="52080" w:name="_Toc_80"/>
      <w:r>
        <w:rPr>
          <w:rFonts w:ascii="Times New Roman" w:cs="Times New Roman" w:eastAsia="Times New Roman" w:hAnsi="Times New Roman"/>
          <w:b/>
          <w:bCs/>
          <w:color w:val="000000"/>
          <w:sz w:val="24"/>
          <w:szCs w:val="24"/>
        </w:rPr>
        <w:t xml:space="preserve">4.5.3 Regulation and Access to Information</w:t>
      </w:r>
      <w:bookmarkEnd w:id="52080"/>
    </w:p>
    <w:p>
      <w:pPr>
        <w:spacing w:after="0" w:before="240" w:line="240"/>
      </w:pPr>
      <w:bookmarkStart w:id="41069" w:name="_Tbl50"/>
      <w:r>
        <w:rPr>
          <w:rFonts w:ascii="Times New Roman" w:cs="Times New Roman" w:eastAsia="Times New Roman" w:hAnsi="Times New Roman"/>
          <w:b/>
          <w:bCs/>
          <w:color w:val="000000"/>
          <w:sz w:val="24"/>
          <w:szCs w:val="24"/>
        </w:rPr>
        <w:t xml:space="preserve">Table 50</w:t>
      </w:r>
      <w:bookmarkEnd w:id="41069"/>
    </w:p>
    <w:p>
      <w:pPr>
        <w:spacing w:after="120" w:before="0" w:line="240"/>
      </w:pPr>
      <w:r>
        <w:rPr>
          <w:rFonts w:ascii="Times New Roman" w:cs="Times New Roman" w:eastAsia="Times New Roman" w:hAnsi="Times New Roman"/>
          <w:b w:val="false"/>
          <w:bCs w:val="false"/>
          <w:i/>
          <w:iCs/>
          <w:color w:val="000000"/>
          <w:sz w:val="24"/>
          <w:szCs w:val="24"/>
        </w:rPr>
        <w:t xml:space="preserve">Regulation, Management-Plan Awareness and Sources of Industry Information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Regulations affect marketing activities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(72.7%)</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(75.0%)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(27.3%)</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(25.0%)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No</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Knows persons or organizations interested in the fishery</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Yes</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How the actor remains updated on industry trends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(100.0%)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Networking</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As shown in Table 50, regulation was felt across the chain: all 65 fishers, 16 of 22 middlemen (72.7%), all five hoteliers and all four exporters said regulations affected their marketing activities. Awareness of the instrument governing the fishery, shown in Figure 20, was far less evenly spread. Twenty-one middlemen (95.5%) and all four exporters knew of a crab fishery management plan, against only 10 fishers (15.4%) and not one hotelier. Among fishers the aware share ranged from none at Majoreni to 6 of 21 (28.6%) at Vanga, although the site difference was not significant (p = .118). Every respondent in every category said they knew of persons or organisations interested in the fishery, and every one said they stayed current by networking.</w:t>
      </w:r>
    </w:p>
    <w:p>
      <w:pPr>
        <w:spacing w:after="0" w:before="240" w:line="240"/>
      </w:pPr>
      <w:bookmarkStart w:id="41070" w:name="_Fig20"/>
      <w:r>
        <w:rPr>
          <w:rFonts w:ascii="Times New Roman" w:cs="Times New Roman" w:eastAsia="Times New Roman" w:hAnsi="Times New Roman"/>
          <w:b/>
          <w:bCs/>
          <w:color w:val="000000"/>
          <w:sz w:val="24"/>
          <w:szCs w:val="24"/>
        </w:rPr>
        <w:t xml:space="preserve">Figure 20</w:t>
      </w:r>
      <w:bookmarkEnd w:id="41070"/>
    </w:p>
    <w:p>
      <w:pPr>
        <w:spacing w:after="120" w:before="0" w:line="240"/>
      </w:pPr>
      <w:r>
        <w:rPr>
          <w:rFonts w:ascii="Times New Roman" w:cs="Times New Roman" w:eastAsia="Times New Roman" w:hAnsi="Times New Roman"/>
          <w:i/>
          <w:iCs/>
          <w:color w:val="000000"/>
          <w:sz w:val="24"/>
          <w:szCs w:val="24"/>
        </w:rPr>
        <w:t xml:space="preserve">Awareness of the Crab Fishery Management Plan Among Fishers, by BMU</w:t>
      </w:r>
    </w:p>
    <w:p>
      <w:pPr>
        <w:spacing w:after="24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15000" cy="26003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That contrast is the substantive finding of this subsection. Information about how the fishery is managed reaches the commercially connected nodes and misses the harvesting node, even though the co-management structures built to carry it are anchored at the landing site. Since every actor reported relying on networking, the route by which information travels is the same commercial relationship that sets the price. No fisher at Majoreni reported awareness of the plan.</w:t>
      </w:r>
    </w:p>
    <w:p>
      <w:pPr>
        <w:pStyle w:val="Heading3"/>
        <w:spacing w:after="120" w:before="240" w:line="360"/>
        <w:outlineLvl w:val="2"/>
      </w:pPr>
      <w:bookmarkStart w:id="52081" w:name="_Toc_81"/>
      <w:r>
        <w:rPr>
          <w:rFonts w:ascii="Times New Roman" w:cs="Times New Roman" w:eastAsia="Times New Roman" w:hAnsi="Times New Roman"/>
          <w:b/>
          <w:bCs/>
          <w:color w:val="000000"/>
          <w:sz w:val="24"/>
          <w:szCs w:val="24"/>
        </w:rPr>
        <w:t xml:space="preserve">4.5.4 Perceptions of Market Organisation and Policy</w:t>
      </w:r>
      <w:bookmarkEnd w:id="52081"/>
    </w:p>
    <w:p>
      <w:pPr>
        <w:spacing w:after="120" w:before="0" w:line="360"/>
        <w:jc w:val="both"/>
      </w:pPr>
      <w:r>
        <w:rPr>
          <w:rFonts w:ascii="Times New Roman" w:cs="Times New Roman" w:eastAsia="Times New Roman" w:hAnsi="Times New Roman"/>
          <w:color w:val="000000"/>
          <w:sz w:val="24"/>
          <w:szCs w:val="24"/>
        </w:rPr>
        <w:t xml:space="preserve">Figure 21 shows steady negativity about how the market is organised. Forty-five fishers (69.2%) disagreed that the market is well structured and 14 (21.5%) agreed; 13 middlemen (59.1%) disagreed and a further 6 (27.3%) strongly disagreed; all five hoteliers and all four exporters disagreed. No hotelier or exporter agreed. Neither fisher (p = .570) nor middleman (p = .826) responses varied by site.</w:t>
      </w:r>
    </w:p>
    <w:p>
      <w:pPr>
        <w:spacing w:after="0" w:before="240" w:line="240"/>
      </w:pPr>
      <w:bookmarkStart w:id="41071" w:name="_Fig21"/>
      <w:r>
        <w:rPr>
          <w:rFonts w:ascii="Times New Roman" w:cs="Times New Roman" w:eastAsia="Times New Roman" w:hAnsi="Times New Roman"/>
          <w:b/>
          <w:bCs/>
          <w:color w:val="000000"/>
          <w:sz w:val="24"/>
          <w:szCs w:val="24"/>
        </w:rPr>
        <w:t xml:space="preserve">Figure 21</w:t>
      </w:r>
      <w:bookmarkEnd w:id="41071"/>
    </w:p>
    <w:p>
      <w:pPr>
        <w:spacing w:after="120" w:before="0" w:line="240"/>
      </w:pPr>
      <w:r>
        <w:rPr>
          <w:rFonts w:ascii="Times New Roman" w:cs="Times New Roman" w:eastAsia="Times New Roman" w:hAnsi="Times New Roman"/>
          <w:i/>
          <w:iCs/>
          <w:color w:val="000000"/>
          <w:sz w:val="24"/>
          <w:szCs w:val="24"/>
        </w:rPr>
        <w:t xml:space="preserve">Perception That the Mud Crab Market Is Well Structured, by Actor Category</w:t>
      </w:r>
    </w:p>
    <w:p>
      <w:pPr>
        <w:spacing w:after="240"/>
        <w:jc w:val="center"/>
      </w:pPr>
      <w:r>
        <w:drawing>
          <wp:inline distT="0" distB="0" distL="0" distR="0">
            <wp:extent cx="5715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2276475"/>
                    </a:xfrm>
                    <a:prstGeom prst="rect">
                      <a:avLst/>
                    </a:prstGeom>
                  </pic:spPr>
                </pic:pic>
              </a:graphicData>
            </a:graphic>
          </wp:inline>
        </w:drawing>
      </w:r>
    </w:p>
    <w:p>
      <w:pPr>
        <w:spacing w:after="0" w:before="240" w:line="240"/>
      </w:pPr>
      <w:bookmarkStart w:id="41072" w:name="_Tbl51"/>
      <w:r>
        <w:rPr>
          <w:rFonts w:ascii="Times New Roman" w:cs="Times New Roman" w:eastAsia="Times New Roman" w:hAnsi="Times New Roman"/>
          <w:b/>
          <w:bCs/>
          <w:color w:val="000000"/>
          <w:sz w:val="24"/>
          <w:szCs w:val="24"/>
        </w:rPr>
        <w:t xml:space="preserve">Table 51</w:t>
      </w:r>
      <w:bookmarkEnd w:id="41072"/>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Fisheries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Perception that mud crab marketing is integrated with other species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 (80.0%)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 (88.0%)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 (76.2%)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(19.0%)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(3.1%)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(50.0%)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(54.5%)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(57.1%)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 (36.4%)</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(42.9%)</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Agree</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Judgements on integration were harsher still, as Table 51 shows. Fifty-two fishers (80.0%) disagreed and only 2 (3.1%) agreed; among middlemen, 14 (63.6%) strongly disagreed and the remaining 8 (36.4%) disagreed, so not one middleman was neutral or positive. All hoteliers and exporters disagreed. Neither group varied significantly by site. No hotelier or exporter agreed that the market is well structured.</w:t>
      </w:r>
    </w:p>
    <w:p>
      <w:pPr>
        <w:spacing w:after="0" w:before="240" w:line="240"/>
      </w:pPr>
      <w:bookmarkStart w:id="41073" w:name="_Tbl52"/>
      <w:r>
        <w:rPr>
          <w:rFonts w:ascii="Times New Roman" w:cs="Times New Roman" w:eastAsia="Times New Roman" w:hAnsi="Times New Roman"/>
          <w:b/>
          <w:bCs/>
          <w:color w:val="000000"/>
          <w:sz w:val="24"/>
          <w:szCs w:val="24"/>
        </w:rPr>
        <w:t xml:space="preserve">Table 52</w:t>
      </w:r>
      <w:bookmarkEnd w:id="41073"/>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by Actor and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50"/>
        <w:gridCol w:w="1250"/>
        <w:gridCol w:w="900"/>
        <w:gridCol w:w="820"/>
        <w:gridCol w:w="820"/>
        <w:gridCol w:w="760"/>
        <w:gridCol w:w="900"/>
        <w:gridCol w:w="880"/>
        <w:gridCol w:w="846"/>
      </w:tblGrid>
      <w:tr>
        <w:trPr>
          <w:tblHeader/>
        </w:trPr>
        <w:tc>
          <w:tcPr>
            <w:tcW w:type="dxa" w:w="1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Characteristic / response</w:t>
            </w:r>
          </w:p>
        </w:tc>
        <w:tc>
          <w:tcPr>
            <w:tcW w:type="dxa" w:w="12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Overall</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Shimoni</w:t>
            </w:r>
          </w:p>
        </w:tc>
        <w:tc>
          <w:tcPr>
            <w:tcW w:type="dxa" w:w="82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Majoreni</w:t>
            </w:r>
          </w:p>
        </w:tc>
        <w:tc>
          <w:tcPr>
            <w:tcW w:type="dxa" w:w="76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Vanga</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Msambweni</w:t>
            </w:r>
          </w:p>
        </w:tc>
        <w:tc>
          <w:tcPr>
            <w:tcW w:type="dxa" w:w="88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Other sites</w:t>
            </w:r>
          </w:p>
        </w:tc>
        <w:tc>
          <w:tcPr>
            <w:tcW w:type="dxa" w:w="84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BMU p-value</w:t>
            </w:r>
          </w:p>
        </w:tc>
      </w:tr>
      <w:tr>
        <w:tc>
          <w:tcPr>
            <w:tcW w:type="dxa" w:w="9026"/>
            <w:gridSpan w:val="9"/>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Awareness of a policy framework for crab markets</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 (9.2%)</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(7.1%)</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(9.5%)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(16.9%)</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(16.0%)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(14.3%)</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(23.8%)</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 N = 65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 (73.8%)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 (72.0%)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 (78.6%)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(66.7%)</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 (100.0%)</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 (63.6%)</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(71.4%)</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 (31.8%)</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(45.5%)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 (28.6%)</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 N = 22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(4.5%)</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(9.1%)</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 N = 5</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 (100.0%)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Strongly 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Disagree</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 (0.0%)</w:t>
            </w:r>
          </w:p>
        </w:tc>
        <w:tc>
          <w:tcPr>
            <w:tcW w:type="dxa" w:w="84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r>
        <w:tc>
          <w:tcPr>
            <w:tcW w:type="dxa" w:w="18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Neutral</w:t>
            </w:r>
          </w:p>
        </w:tc>
        <w:tc>
          <w:tcPr>
            <w:tcW w:type="dxa" w:w="12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 N = 4</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2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6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8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 (100.0%)</w:t>
            </w:r>
          </w:p>
        </w:tc>
        <w:tc>
          <w:tcPr>
            <w:tcW w:type="dxa" w:w="84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
            </w:r>
          </w:p>
        </w:tc>
      </w:tr>
    </w:tbl>
    <w:p>
      <w:pPr>
        <w:spacing w:after="120" w:before="0" w:line="360"/>
        <w:jc w:val="both"/>
      </w:pPr>
      <w:r>
        <w:rPr>
          <w:rFonts w:ascii="Times New Roman" w:cs="Times New Roman" w:eastAsia="Times New Roman" w:hAnsi="Times New Roman"/>
          <w:color w:val="000000"/>
          <w:sz w:val="24"/>
          <w:szCs w:val="24"/>
        </w:rPr>
        <w:t xml:space="preserve">Table 52 shows a sharp difference in how the policy environment was read. Forty-eight fishers (73.8%) were neutral on whether a policy framework exists, with 11 (16.9%) disagreeing and 6 (9.2%) strongly disagreeing. Middlemen were far more emphatic: 14 (63.6%) strongly disagreed and 7 (31.8%) disagreed. All hoteliers and exporters were neutral. Neither fisher (p = .933) nor middleman (p = .427) responses varied by site.</w:t>
      </w:r>
    </w:p>
    <w:p>
      <w:pPr>
        <w:spacing w:after="120" w:before="0" w:line="360"/>
        <w:jc w:val="both"/>
      </w:pPr>
      <w:r>
        <w:rPr>
          <w:rFonts w:ascii="Times New Roman" w:cs="Times New Roman" w:eastAsia="Times New Roman" w:hAnsi="Times New Roman"/>
          <w:color w:val="000000"/>
          <w:sz w:val="24"/>
          <w:szCs w:val="24"/>
        </w:rPr>
        <w:t xml:space="preserve">The large neutral response among fishers should not be read as approval. Set beside the 15.4% management-plan awareness recorded in Table 50, it more plausibly reflects unfamiliarity with the policy environment than a settled judgement about it. The middlemen, who were aware of the management plan almost to a person, were also the group most willing to say the framework does not work — which suggests the negative judgements in this chain come from knowledge rather than from ignorance.</w:t>
      </w:r>
    </w:p>
    <w:p>
      <w:pPr>
        <w:pStyle w:val="Heading3"/>
        <w:spacing w:after="120" w:before="240" w:line="360"/>
        <w:outlineLvl w:val="2"/>
      </w:pPr>
      <w:bookmarkStart w:id="52082" w:name="_Toc_82"/>
      <w:r>
        <w:rPr>
          <w:rFonts w:ascii="Times New Roman" w:cs="Times New Roman" w:eastAsia="Times New Roman" w:hAnsi="Times New Roman"/>
          <w:b/>
          <w:bCs/>
          <w:color w:val="000000"/>
          <w:sz w:val="24"/>
          <w:szCs w:val="24"/>
        </w:rPr>
        <w:t xml:space="preserve">4.5.5 Opportunities, Youth Participation and Diversification</w:t>
      </w:r>
      <w:bookmarkEnd w:id="52082"/>
    </w:p>
    <w:p>
      <w:pPr>
        <w:spacing w:after="120" w:before="0" w:line="360"/>
        <w:jc w:val="both"/>
      </w:pPr>
      <w:r>
        <w:rPr>
          <w:rFonts w:ascii="Times New Roman" w:cs="Times New Roman" w:eastAsia="Times New Roman" w:hAnsi="Times New Roman"/>
          <w:color w:val="000000"/>
          <w:sz w:val="24"/>
          <w:szCs w:val="24"/>
        </w:rPr>
        <w:t xml:space="preserve">Nothing in this chapter expresses the structure of the chain more clearly than Figure 22. Market-access improvement was the priority for 56 fishers (86.2%) and for every hotelier and exporter, while price stability was the priority for 21 of 22 middlemen (95.5%). On what would improve the system, shown in Figure 23, every fisher named government support alone, while middlemen split between government support (12, 54.5%) and government support with industry collaboration (8, 36.4%); hoteliers and exporters named the combined option. Neither item varied significantly by site.</w:t>
      </w:r>
    </w:p>
    <w:p>
      <w:pPr>
        <w:spacing w:after="0" w:before="240" w:line="240"/>
      </w:pPr>
      <w:bookmarkStart w:id="41074" w:name="_Fig22"/>
      <w:r>
        <w:rPr>
          <w:rFonts w:ascii="Times New Roman" w:cs="Times New Roman" w:eastAsia="Times New Roman" w:hAnsi="Times New Roman"/>
          <w:b/>
          <w:bCs/>
          <w:color w:val="000000"/>
          <w:sz w:val="24"/>
          <w:szCs w:val="24"/>
        </w:rPr>
        <w:t xml:space="preserve">Figure 22</w:t>
      </w:r>
      <w:bookmarkEnd w:id="41074"/>
    </w:p>
    <w:p>
      <w:pPr>
        <w:spacing w:after="120" w:before="0" w:line="240"/>
      </w:pPr>
      <w:r>
        <w:rPr>
          <w:rFonts w:ascii="Times New Roman" w:cs="Times New Roman" w:eastAsia="Times New Roman" w:hAnsi="Times New Roman"/>
          <w:i/>
          <w:iCs/>
          <w:color w:val="000000"/>
          <w:sz w:val="24"/>
          <w:szCs w:val="24"/>
        </w:rPr>
        <w:t xml:space="preserve">Priority Opportunity for Improving Mud Crab Marketing by Actor Category</w:t>
      </w:r>
    </w:p>
    <w:p>
      <w:pPr>
        <w:spacing w:after="240"/>
        <w:jc w:val="center"/>
      </w:pPr>
      <w:r>
        <w:drawing>
          <wp:inline distT="0" distB="0" distL="0" distR="0">
            <wp:extent cx="57150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715000" cy="1724025"/>
                    </a:xfrm>
                    <a:prstGeom prst="rect">
                      <a:avLst/>
                    </a:prstGeom>
                  </pic:spPr>
                </pic:pic>
              </a:graphicData>
            </a:graphic>
          </wp:inline>
        </w:drawing>
      </w:r>
    </w:p>
    <w:p>
      <w:pPr>
        <w:spacing w:after="0" w:before="240" w:line="240"/>
      </w:pPr>
      <w:bookmarkStart w:id="41075" w:name="_Fig23"/>
      <w:r>
        <w:rPr>
          <w:rFonts w:ascii="Times New Roman" w:cs="Times New Roman" w:eastAsia="Times New Roman" w:hAnsi="Times New Roman"/>
          <w:b/>
          <w:bCs/>
          <w:color w:val="000000"/>
          <w:sz w:val="24"/>
          <w:szCs w:val="24"/>
        </w:rPr>
        <w:t xml:space="preserve">Figure 23</w:t>
      </w:r>
      <w:bookmarkEnd w:id="41075"/>
    </w:p>
    <w:p>
      <w:pPr>
        <w:spacing w:after="120" w:before="0" w:line="240"/>
      </w:pPr>
      <w:r>
        <w:rPr>
          <w:rFonts w:ascii="Times New Roman" w:cs="Times New Roman" w:eastAsia="Times New Roman" w:hAnsi="Times New Roman"/>
          <w:i/>
          <w:iCs/>
          <w:color w:val="000000"/>
          <w:sz w:val="24"/>
          <w:szCs w:val="24"/>
        </w:rPr>
        <w:t xml:space="preserve">Recommended Market-System Enhancement by Actor Category</w:t>
      </w:r>
    </w:p>
    <w:p>
      <w:pPr>
        <w:spacing w:after="24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715000" cy="1981200"/>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These are two views of one transaction.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 Fishers and middlemen named opposite priorities.</w:t>
      </w:r>
    </w:p>
    <w:p>
      <w:pPr>
        <w:spacing w:after="120" w:before="0" w:line="360"/>
        <w:jc w:val="both"/>
      </w:pPr>
      <w:r>
        <w:rPr>
          <w:rFonts w:ascii="Times New Roman" w:cs="Times New Roman" w:eastAsia="Times New Roman" w:hAnsi="Times New Roman"/>
          <w:color w:val="000000"/>
          <w:sz w:val="24"/>
          <w:szCs w:val="24"/>
        </w:rPr>
        <w:t xml:space="preserve">Figure 24 shows that youth involvement was rated low or very low by every respondent who expressed a view: 58 fishers (89.2%) and 16 middlemen (72.7%) said low, while 6 middlemen (27.3%), 3 hoteliers (60.0%) and 3 exporters (75.0%) said very low. Not one respondent in any category rated it high. Diversification potential, in Figure 25, divided the chain: 26 fishers (40.0%) said it had not been explored and 8 (12.3%) were negative, while 14 middlemen (63.6%) were positive. All hoteliers and exporters said it had not been explored. Neither item varied significantly by site.</w:t>
      </w:r>
    </w:p>
    <w:p>
      <w:pPr>
        <w:spacing w:after="0" w:before="240" w:line="240"/>
      </w:pPr>
      <w:bookmarkStart w:id="41076" w:name="_Fig24"/>
      <w:r>
        <w:rPr>
          <w:rFonts w:ascii="Times New Roman" w:cs="Times New Roman" w:eastAsia="Times New Roman" w:hAnsi="Times New Roman"/>
          <w:b/>
          <w:bCs/>
          <w:color w:val="000000"/>
          <w:sz w:val="24"/>
          <w:szCs w:val="24"/>
        </w:rPr>
        <w:t xml:space="preserve">Figure 24</w:t>
      </w:r>
      <w:bookmarkEnd w:id="41076"/>
    </w:p>
    <w:p>
      <w:pPr>
        <w:spacing w:after="120" w:before="0" w:line="240"/>
      </w:pPr>
      <w:r>
        <w:rPr>
          <w:rFonts w:ascii="Times New Roman" w:cs="Times New Roman" w:eastAsia="Times New Roman" w:hAnsi="Times New Roman"/>
          <w:i/>
          <w:iCs/>
          <w:color w:val="000000"/>
          <w:sz w:val="24"/>
          <w:szCs w:val="24"/>
        </w:rPr>
        <w:t xml:space="preserve">Reported Involvement of Youth by Actor Category</w:t>
      </w:r>
    </w:p>
    <w:p>
      <w:pPr>
        <w:spacing w:after="24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2447925"/>
                    </a:xfrm>
                    <a:prstGeom prst="rect">
                      <a:avLst/>
                    </a:prstGeom>
                  </pic:spPr>
                </pic:pic>
              </a:graphicData>
            </a:graphic>
          </wp:inline>
        </w:drawing>
      </w:r>
    </w:p>
    <w:p>
      <w:pPr>
        <w:spacing w:after="0" w:before="240" w:line="240"/>
      </w:pPr>
      <w:bookmarkStart w:id="41077" w:name="_Fig25"/>
      <w:r>
        <w:rPr>
          <w:rFonts w:ascii="Times New Roman" w:cs="Times New Roman" w:eastAsia="Times New Roman" w:hAnsi="Times New Roman"/>
          <w:b/>
          <w:bCs/>
          <w:color w:val="000000"/>
          <w:sz w:val="24"/>
          <w:szCs w:val="24"/>
        </w:rPr>
        <w:t xml:space="preserve">Figure 25</w:t>
      </w:r>
      <w:bookmarkEnd w:id="41077"/>
    </w:p>
    <w:p>
      <w:pPr>
        <w:spacing w:after="120" w:before="0" w:line="240"/>
      </w:pPr>
      <w:r>
        <w:rPr>
          <w:rFonts w:ascii="Times New Roman" w:cs="Times New Roman" w:eastAsia="Times New Roman" w:hAnsi="Times New Roman"/>
          <w:i/>
          <w:iCs/>
          <w:color w:val="000000"/>
          <w:sz w:val="24"/>
          <w:szCs w:val="24"/>
        </w:rPr>
        <w:t xml:space="preserve">Perceived Potential for Product or Market Diversification by Actor Category</w:t>
      </w:r>
    </w:p>
    <w:p>
      <w:pPr>
        <w:spacing w:after="24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15000" cy="2409825"/>
                    </a:xfrm>
                    <a:prstGeom prst="rect">
                      <a:avLst/>
                    </a:prstGeom>
                  </pic:spPr>
                </pic:pic>
              </a:graphicData>
            </a:graphic>
          </wp:inline>
        </w:drawing>
      </w:r>
    </w:p>
    <w:p>
      <w:pPr>
        <w:spacing w:after="120" w:before="0" w:line="360"/>
        <w:jc w:val="both"/>
      </w:pPr>
      <w:r>
        <w:rPr>
          <w:rFonts w:ascii="Times New Roman" w:cs="Times New Roman" w:eastAsia="Times New Roman" w:hAnsi="Times New Roman"/>
          <w:color w:val="000000"/>
          <w:sz w:val="24"/>
          <w:szCs w:val="24"/>
        </w:rPr>
        <w:t xml:space="preserve">The youth result sits oddly against Table 3, where more than half the fishers were aged 18 to 35 and four were under 18. Respondents may have understood youth involvement as formal participation, commitment or ownership rather than mere presence in the fishery. The question should be defined directly in future work, and the presence of minors in harvesting raises safeguarding and schooling questions this study was not designed to answer but should not pass over. No respondent in any category rated youth involvement as high.</w:t>
      </w:r>
    </w:p>
    <w:p>
      <w:pPr>
        <w:pStyle w:val="Heading3"/>
        <w:spacing w:after="120" w:before="240" w:line="360"/>
        <w:outlineLvl w:val="2"/>
      </w:pPr>
      <w:bookmarkStart w:id="52083" w:name="_Toc_83"/>
      <w:r>
        <w:rPr>
          <w:rFonts w:ascii="Times New Roman" w:cs="Times New Roman" w:eastAsia="Times New Roman" w:hAnsi="Times New Roman"/>
          <w:b/>
          <w:bCs/>
          <w:color w:val="000000"/>
          <w:sz w:val="24"/>
          <w:szCs w:val="24"/>
        </w:rPr>
        <w:t xml:space="preserve">4.5.6 Summary of Objective Three</w:t>
      </w:r>
      <w:bookmarkEnd w:id="52083"/>
    </w:p>
    <w:p>
      <w:pPr>
        <w:spacing w:after="120" w:before="0" w:line="360"/>
        <w:jc w:val="both"/>
      </w:pPr>
      <w:r>
        <w:rPr>
          <w:rFonts w:ascii="Times New Roman" w:cs="Times New Roman" w:eastAsia="Times New Roman" w:hAnsi="Times New Roman"/>
          <w:color w:val="000000"/>
          <w:sz w:val="24"/>
          <w:szCs w:val="24"/>
        </w:rPr>
        <w:t xml:space="preserve">Objective Three asked what constrains each actor category and what opportunities they see. Constraints followed function exactly: price volatility and poor roads for fishers, mortality and missing aggregation facilities for middlemen, seasonality for hoteliers, freight cost and flight risk for exporters. Barriers to market access were close to universal, risk management was limited to diversification, and no actor had adopted new equipment, conducted market research or reported an innovation. Most respondents judged the market poorly structured and poorly integrated, and awareness of the crab fishery management plan reached traders and exporters while missing fishers and hoteliers almost entirely. Fishers put market access first and middlemen put price stability first, which is what their opposing positions in the same transaction would predict. Of all the Objective Three variables, only the middleman main constraint showed a significant association with BMU.</w:t>
      </w:r>
    </w:p>
    <w:p>
      <w:pPr>
        <w:pStyle w:val="Heading3"/>
        <w:spacing w:after="120" w:before="240" w:line="360"/>
        <w:outlineLvl w:val="2"/>
      </w:pPr>
      <w:bookmarkStart w:id="52084" w:name="_Toc_84"/>
      <w:r>
        <w:rPr>
          <w:rFonts w:ascii="Times New Roman" w:cs="Times New Roman" w:eastAsia="Times New Roman" w:hAnsi="Times New Roman"/>
          <w:b/>
          <w:bCs/>
          <w:color w:val="000000"/>
          <w:sz w:val="24"/>
          <w:szCs w:val="24"/>
        </w:rPr>
        <w:t xml:space="preserve">4.5.7 Discussion of Findings in Relation to Previous Studies</w:t>
      </w:r>
      <w:bookmarkEnd w:id="52084"/>
    </w:p>
    <w:p>
      <w:pPr>
        <w:spacing w:after="120" w:before="0" w:line="360"/>
        <w:jc w:val="both"/>
      </w:pPr>
      <w:r>
        <w:rPr>
          <w:rFonts w:ascii="Times New Roman" w:cs="Times New Roman" w:eastAsia="Times New Roman" w:hAnsi="Times New Roman"/>
          <w:color w:val="000000"/>
          <w:sz w:val="24"/>
          <w:szCs w:val="24"/>
        </w:rPr>
        <w:t xml:space="preserve">The finding that constraints differ systematically by actor category rather than by location agrees with the broader literature on small-scale fisheries, which treats the value chain as a sequence of distinct risk positions rather than a single system with one binding constraint (Jacinto, 2004; Crona et al., 2016). The present study extends that by testing each constraint against site: only the middleman main constraint varied significantly, with mortality dominating at Vanga and Majoreni and price at Shimoni. That the mortality-versus-price split follows the sites where middlemen hold stock longest is consistent with FAO (2025) on holding time as a determinant of loss.</w:t>
      </w:r>
    </w:p>
    <w:p>
      <w:pPr>
        <w:spacing w:after="120" w:before="0" w:line="360"/>
        <w:jc w:val="both"/>
      </w:pPr>
      <w:r>
        <w:rPr>
          <w:rFonts w:ascii="Times New Roman" w:cs="Times New Roman" w:eastAsia="Times New Roman" w:hAnsi="Times New Roman"/>
          <w:color w:val="000000"/>
          <w:sz w:val="24"/>
          <w:szCs w:val="24"/>
        </w:rPr>
        <w:t xml:space="preserve">The near-universal report of market-access barriers, and the complete absence of reported innovation or market research, align with national assessments that small-scale fisheries face constraints in finance, organisation and formal market participation (Fondo &amp; Ogutu, 2021). This study locates those constraints unevenly across actor categories rather than treating them as a general condition, which is the more useful form for designing an intervention.</w:t>
      </w:r>
    </w:p>
    <w:p>
      <w:pPr>
        <w:spacing w:after="120" w:before="0" w:line="360"/>
        <w:jc w:val="both"/>
      </w:pPr>
      <w:r>
        <w:rPr>
          <w:rFonts w:ascii="Times New Roman" w:cs="Times New Roman" w:eastAsia="Times New Roman" w:hAnsi="Times New Roman"/>
          <w:color w:val="000000"/>
          <w:sz w:val="24"/>
          <w:szCs w:val="24"/>
        </w:rPr>
        <w:t xml:space="preserve">On governance, the contrast between 95.5% management-plan awareness among middlemen and 15.4% among fishers is the clearest institutional finding. Njiru et al. (2021) found that socioeconomic factors influence trader participation in Beach Management Units in Kwale County, which supports communication designed for specific actor groups rather than a single general announcement. The present result extends that work by showing that the information gap runs along the chain rather than across the map: it was not significantly associated with site.</w:t>
      </w:r>
    </w:p>
    <w:p>
      <w:pPr>
        <w:spacing w:after="120" w:before="0" w:line="360"/>
        <w:jc w:val="both"/>
      </w:pPr>
      <w:r>
        <w:rPr>
          <w:rFonts w:ascii="Times New Roman" w:cs="Times New Roman" w:eastAsia="Times New Roman" w:hAnsi="Times New Roman"/>
          <w:color w:val="000000"/>
          <w:sz w:val="24"/>
          <w:szCs w:val="24"/>
        </w:rPr>
        <w:t xml:space="preserve">The divergence between what fishers and middlemen want — market access against price stability — has not, to the knowledge of this study, been reported as an explicit opposition in the Kenyan mud crab literature. It follows directly from the structure documented under Objective Two, and it matters practically because it means the two upstream groups cannot both be satisfied by the same measure. Better price information and a shared grading standard reduce uncertainty for both without fixing a price, which is why those are the measures carried into Chapter Six.</w:t>
      </w:r>
    </w:p>
    <w:p>
      <w:pPr>
        <w:spacing w:after="120" w:before="0" w:line="360"/>
        <w:jc w:val="both"/>
      </w:pPr>
      <w:r>
        <w:rPr>
          <w:rFonts w:ascii="Times New Roman" w:cs="Times New Roman" w:eastAsia="Times New Roman" w:hAnsi="Times New Roman"/>
          <w:color w:val="000000"/>
          <w:sz w:val="24"/>
          <w:szCs w:val="24"/>
        </w:rPr>
        <w:t xml:space="preserve">Finally, the uniformly low rating of youth involvement diverges from the demographic evidence in this same chapter, where over half the fishers were aged 18 to 35. The likeliest explanation is that respondents interpreted the question as formal participation or ownership rather than presence. Ndanga et al. (2013) make a comparable point about women in Kenyan aquaculture value chains, whose participation is understated when the measure captures only formally recognised roles. Both cases argue for defining participation explicitly in future instruments.</w:t>
      </w:r>
    </w:p>
    <w:p>
      <w:pPr>
        <w:pStyle w:val="Heading2"/>
        <w:spacing w:after="140" w:before="280" w:line="360"/>
        <w:outlineLvl w:val="1"/>
      </w:pPr>
      <w:bookmarkStart w:id="52085" w:name="_Toc_85"/>
      <w:r>
        <w:rPr>
          <w:rFonts w:ascii="Times New Roman" w:cs="Times New Roman" w:eastAsia="Times New Roman" w:hAnsi="Times New Roman"/>
          <w:b/>
          <w:bCs/>
          <w:color w:val="000000"/>
          <w:sz w:val="26"/>
          <w:szCs w:val="26"/>
        </w:rPr>
        <w:t xml:space="preserve">4.6 Actor-Specific Associations With BMU</w:t>
      </w:r>
      <w:bookmarkEnd w:id="52085"/>
    </w:p>
    <w:p>
      <w:pPr>
        <w:spacing w:after="120" w:before="0" w:line="360"/>
        <w:jc w:val="both"/>
      </w:pPr>
      <w:r>
        <w:rPr>
          <w:rFonts w:ascii="Times New Roman" w:cs="Times New Roman" w:eastAsia="Times New Roman" w:hAnsi="Times New Roman"/>
          <w:color w:val="000000"/>
          <w:sz w:val="24"/>
          <w:szCs w:val="24"/>
        </w:rPr>
        <w:t xml:space="preserve">Sixty-eight categorical variables were tested against Beach Management Unit, separately for fishers and for middlemen. Nine associations reached the .05 level.</w:t>
      </w:r>
    </w:p>
    <w:p>
      <w:pPr>
        <w:spacing w:after="0" w:before="240" w:line="240"/>
      </w:pPr>
      <w:bookmarkStart w:id="41078" w:name="_Tbl53"/>
      <w:r>
        <w:rPr>
          <w:rFonts w:ascii="Times New Roman" w:cs="Times New Roman" w:eastAsia="Times New Roman" w:hAnsi="Times New Roman"/>
          <w:b/>
          <w:bCs/>
          <w:color w:val="000000"/>
          <w:sz w:val="24"/>
          <w:szCs w:val="24"/>
        </w:rPr>
        <w:t xml:space="preserve">Table 53</w:t>
      </w:r>
      <w:bookmarkEnd w:id="41078"/>
    </w:p>
    <w:p>
      <w:pPr>
        <w:spacing w:after="120" w:before="0" w:line="240"/>
      </w:pPr>
      <w:r>
        <w:rPr>
          <w:rFonts w:ascii="Times New Roman" w:cs="Times New Roman" w:eastAsia="Times New Roman" w:hAnsi="Times New Roman"/>
          <w:b w:val="false"/>
          <w:bCs w:val="false"/>
          <w:i/>
          <w:iCs/>
          <w:color w:val="000000"/>
          <w:sz w:val="24"/>
          <w:szCs w:val="24"/>
        </w:rPr>
        <w:t xml:space="preserve">Statistically Significant Actor-Specific Associations With BMU</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00"/>
        <w:gridCol w:w="1150"/>
        <w:gridCol w:w="2350"/>
        <w:gridCol w:w="850"/>
        <w:gridCol w:w="600"/>
        <w:gridCol w:w="600"/>
        <w:gridCol w:w="800"/>
        <w:gridCol w:w="1576"/>
      </w:tblGrid>
      <w:tr>
        <w:trPr>
          <w:tblHeader/>
        </w:trPr>
        <w:tc>
          <w:tcPr>
            <w:tcW w:type="dxa" w:w="11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Objective</w:t>
            </w:r>
          </w:p>
        </w:tc>
        <w:tc>
          <w:tcPr>
            <w:tcW w:type="dxa" w:w="11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2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Variable</w:t>
            </w:r>
          </w:p>
        </w:tc>
        <w:tc>
          <w:tcPr>
            <w:tcW w:type="dxa" w:w="8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χ²</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6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57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8.48</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1</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125.19</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2</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r>
      <w:tr>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Objective 3</w:t>
            </w:r>
          </w:p>
        </w:tc>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2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8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57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r>
      <w:tr>
        <w:tc>
          <w:tcPr>
            <w:tcW w:type="dxa" w:w="9026"/>
            <w:gridSpan w:val="8"/>
            <w:tcBorders>
              <w:top w:val="none" w:color="FFFFFF" w:sz="0"/>
              <w:left w:val="none" w:color="FFFFFF" w:sz="0"/>
              <w:bottom w:val="none" w:color="FFFFFF" w:sz="0"/>
              <w:right w:val="none" w:color="FFFFFF" w:sz="0"/>
            </w:tcBorders>
            <w:tcMar>
              <w:top w:type="dxa" w:w="90"/>
              <w:left w:type="dxa" w:w="90"/>
              <w:bottom w:type="dxa" w:w="30"/>
              <w:right w:type="dxa" w:w="90"/>
            </w:tcMar>
          </w:tcPr>
          <w:p>
            <w:pPr>
              <w:spacing w:after="20" w:before="20" w:line="240"/>
              <w:jc w:val="left"/>
            </w:pPr>
            <w:r>
              <w:rPr>
                <w:rFonts w:ascii="Times New Roman" w:cs="Times New Roman" w:eastAsia="Times New Roman" w:hAnsi="Times New Roman"/>
                <w:b w:val="false"/>
                <w:bCs w:val="false"/>
                <w:i/>
                <w:iCs/>
                <w:color w:val="000000"/>
                <w:sz w:val="17"/>
                <w:szCs w:val="17"/>
              </w:rPr>
              <w:t xml:space="preserve">No association with BMU reached the .05 level for hoteliers or exporters; neither group was sampled across enough BMUs for the test to be run</w:t>
            </w:r>
          </w:p>
        </w:tc>
      </w:tr>
    </w:tbl>
    <w:p>
      <w:pPr>
        <w:spacing w:after="120" w:before="0" w:line="360"/>
        <w:jc w:val="both"/>
      </w:pPr>
      <w:r>
        <w:rPr>
          <w:rFonts w:ascii="Times New Roman" w:cs="Times New Roman" w:eastAsia="Times New Roman" w:hAnsi="Times New Roman"/>
          <w:color w:val="000000"/>
          <w:sz w:val="24"/>
          <w:szCs w:val="24"/>
        </w:rPr>
        <w:t xml:space="preserve">Three points should be kept in mind when reading Table 53. The tests were run without a correction for multiple comparisons, so associations with probabilities close to .05 should be treated as exploratory rather than established; the Monte Carlo confidence interval is reported alongside each p-value so that borderline cases can be judged. The nine significant results cluster in three areas: who fishes where (age, marital status, training), how far and how they describe their catch (travel time, large- and small-crab size labels, first buyer location), and what middlemen worry about (main constraint). And the absence of hoteliers and exporters from the table is a limit of the sampling frame, not a finding: neither group was sampled across enough sites for a test to be run.</w:t>
      </w:r>
    </w:p>
    <w:p>
      <w:pPr>
        <w:pStyle w:val="Heading2"/>
        <w:spacing w:after="140" w:before="280" w:line="360"/>
        <w:outlineLvl w:val="1"/>
      </w:pPr>
      <w:bookmarkStart w:id="52086" w:name="_Toc_86"/>
      <w:r>
        <w:rPr>
          <w:rFonts w:ascii="Times New Roman" w:cs="Times New Roman" w:eastAsia="Times New Roman" w:hAnsi="Times New Roman"/>
          <w:b/>
          <w:bCs/>
          <w:color w:val="000000"/>
          <w:sz w:val="26"/>
          <w:szCs w:val="26"/>
        </w:rPr>
        <w:t xml:space="preserve">4.7 Chapter Summary</w:t>
      </w:r>
      <w:bookmarkEnd w:id="52086"/>
    </w:p>
    <w:p>
      <w:pPr>
        <w:spacing w:after="120" w:before="0" w:line="360"/>
        <w:jc w:val="both"/>
      </w:pPr>
      <w:r>
        <w:rPr>
          <w:rFonts w:ascii="Times New Roman" w:cs="Times New Roman" w:eastAsia="Times New Roman" w:hAnsi="Times New Roman"/>
          <w:color w:val="000000"/>
          <w:sz w:val="24"/>
          <w:szCs w:val="24"/>
        </w:rPr>
        <w:t xml:space="preserve">Across the three objectives the same pattern recurs. Differences between actor categories were large, consistent and present on nearly every measure, from education and licensing through grading criteria and quality control to price and the constraint each group names. Differences between Beach Management Units were far fewer: nine significant associations from sixty-eight tests, concentrated among fishers and confined to age, marital status, training, travel time, size labelling and first buyer location, plus the single middleman constraint result.</w:t>
      </w:r>
    </w:p>
    <w:p>
      <w:pPr>
        <w:spacing w:after="120" w:before="0" w:line="360"/>
        <w:jc w:val="both"/>
      </w:pPr>
      <w:r>
        <w:rPr>
          <w:rFonts w:ascii="Times New Roman" w:cs="Times New Roman" w:eastAsia="Times New Roman" w:hAnsi="Times New Roman"/>
          <w:color w:val="000000"/>
          <w:sz w:val="24"/>
          <w:szCs w:val="24"/>
        </w:rPr>
        <w:t xml:space="preserve">The one site difference with a direct economic consequence was in price. Fisher prices differed significantly across sites while middleman prices did not, so the gap a fisher faces at first sale is set locally: Majoreni fishers held 91.7% of the local middleman price for large crabs against close to 54% at Shimoni and Vanga. Read alongside the chain-share result, in which the fisher retained between 27.5% and 39.6% of the end price and the largest single share accrued at the node furthest from the water, the chapter describes a market whose value is realised where the grading rule, the logistics and the connection to the final buyer all sit together, and whose harvesters reach none of those things.</w:t>
      </w:r>
    </w:p>
    <w:p>
      <w:pPr>
        <w:pStyle w:val="Heading1"/>
        <w:pageBreakBefore/>
        <w:spacing w:after="240" w:before="240" w:line="360"/>
        <w:jc w:val="center"/>
        <w:outlineLvl w:val="0"/>
      </w:pPr>
      <w:bookmarkStart w:id="52087" w:name="_Toc_87"/>
      <w:r>
        <w:rPr>
          <w:rFonts w:ascii="Times New Roman" w:cs="Times New Roman" w:eastAsia="Times New Roman" w:hAnsi="Times New Roman"/>
          <w:b/>
          <w:bCs/>
          <w:color w:val="000000"/>
          <w:sz w:val="28"/>
          <w:szCs w:val="28"/>
        </w:rPr>
        <w:t xml:space="preserve">CHAPTER FIVE: DISCUSSION</w:t>
      </w:r>
      <w:bookmarkEnd w:id="52087"/>
    </w:p>
    <w:p>
      <w:pPr>
        <w:pStyle w:val="Heading2"/>
        <w:spacing w:after="140" w:before="280" w:line="360"/>
        <w:outlineLvl w:val="1"/>
      </w:pPr>
      <w:bookmarkStart w:id="52088" w:name="_Toc_88"/>
      <w:r>
        <w:rPr>
          <w:rFonts w:ascii="Times New Roman" w:cs="Times New Roman" w:eastAsia="Times New Roman" w:hAnsi="Times New Roman"/>
          <w:b/>
          <w:bCs/>
          <w:color w:val="000000"/>
          <w:sz w:val="26"/>
          <w:szCs w:val="26"/>
        </w:rPr>
        <w:t xml:space="preserve">5.1 Introduction</w:t>
      </w:r>
      <w:bookmarkEnd w:id="52088"/>
    </w:p>
    <w:p>
      <w:pPr>
        <w:spacing w:after="120" w:before="0" w:line="360"/>
        <w:jc w:val="both"/>
      </w:pPr>
      <w:r>
        <w:rPr>
          <w:rFonts w:ascii="Times New Roman" w:cs="Times New Roman" w:eastAsia="Times New Roman" w:hAnsi="Times New Roman"/>
          <w:color w:val="000000"/>
          <w:sz w:val="24"/>
          <w:szCs w:val="24"/>
        </w:rPr>
        <w:t xml:space="preserve">This chapter interprets the findings of Chapter Four against the literature reviewed in Chapter Two. It takes the three objectives in turn, and each section sets out the key findings, compares them with previous research, explains where they agree and where they differ, and draws out the theoretical and practical implications. Section 5.5 brings the three objectives together under the structure-conduct-performance framework, and Section 5.6 states the limitations that bound every claim made here.</w:t>
      </w:r>
    </w:p>
    <w:p>
      <w:pPr>
        <w:pStyle w:val="Heading2"/>
        <w:spacing w:after="140" w:before="280" w:line="360"/>
        <w:outlineLvl w:val="1"/>
      </w:pPr>
      <w:bookmarkStart w:id="52089" w:name="_Toc_89"/>
      <w:r>
        <w:rPr>
          <w:rFonts w:ascii="Times New Roman" w:cs="Times New Roman" w:eastAsia="Times New Roman" w:hAnsi="Times New Roman"/>
          <w:b/>
          <w:bCs/>
          <w:color w:val="000000"/>
          <w:sz w:val="26"/>
          <w:szCs w:val="26"/>
        </w:rPr>
        <w:t xml:space="preserve">5.2 Objective One: Profile of Mud Crab Actors</w:t>
      </w:r>
      <w:bookmarkEnd w:id="52089"/>
    </w:p>
    <w:p>
      <w:pPr>
        <w:pStyle w:val="Heading3"/>
        <w:spacing w:after="120" w:before="240" w:line="360"/>
        <w:outlineLvl w:val="2"/>
      </w:pPr>
      <w:bookmarkStart w:id="52090" w:name="_Toc_90"/>
      <w:r>
        <w:rPr>
          <w:rFonts w:ascii="Times New Roman" w:cs="Times New Roman" w:eastAsia="Times New Roman" w:hAnsi="Times New Roman"/>
          <w:b/>
          <w:bCs/>
          <w:color w:val="000000"/>
          <w:sz w:val="24"/>
          <w:szCs w:val="24"/>
        </w:rPr>
        <w:t xml:space="preserve">5.2.1 Key Findings</w:t>
      </w:r>
      <w:bookmarkEnd w:id="52090"/>
    </w:p>
    <w:p>
      <w:pPr>
        <w:spacing w:after="120" w:before="0" w:line="360"/>
        <w:jc w:val="both"/>
      </w:pPr>
      <w:r>
        <w:rPr>
          <w:rFonts w:ascii="Times New Roman" w:cs="Times New Roman" w:eastAsia="Times New Roman" w:hAnsi="Times New Roman"/>
          <w:color w:val="000000"/>
          <w:sz w:val="24"/>
          <w:szCs w:val="24"/>
        </w:rPr>
        <w:t xml:space="preserve">Four actor categories differed systematically and in the same direction on almost every measure. Fishers were younger, schooled to primary level or below, largely unlicensed, untrained, small-scale and un-diversified. Middlemen were older and far more experienced, with 72.7% carrying more than twenty years in the trade. Hoteliers and exporters held certificates, diplomas or degrees, were fully licensed, and operated at medium or large scale. Reported monthly income rose from KSh 8,969 among fishers to KSh 90,000 among exporters. No respondent in any category belonged to a cooperative, an association or a self-help group.</w:t>
      </w:r>
    </w:p>
    <w:p>
      <w:pPr>
        <w:pStyle w:val="Heading3"/>
        <w:spacing w:after="120" w:before="240" w:line="360"/>
        <w:outlineLvl w:val="2"/>
      </w:pPr>
      <w:bookmarkStart w:id="52091" w:name="_Toc_91"/>
      <w:r>
        <w:rPr>
          <w:rFonts w:ascii="Times New Roman" w:cs="Times New Roman" w:eastAsia="Times New Roman" w:hAnsi="Times New Roman"/>
          <w:b/>
          <w:bCs/>
          <w:color w:val="000000"/>
          <w:sz w:val="24"/>
          <w:szCs w:val="24"/>
        </w:rPr>
        <w:t xml:space="preserve">5.2.2 Gender and the Limits of the Sampling Frame</w:t>
      </w:r>
      <w:bookmarkEnd w:id="52091"/>
    </w:p>
    <w:p>
      <w:pPr>
        <w:spacing w:after="120" w:before="0" w:line="360"/>
        <w:jc w:val="both"/>
      </w:pPr>
      <w:r>
        <w:rPr>
          <w:rFonts w:ascii="Times New Roman" w:cs="Times New Roman" w:eastAsia="Times New Roman" w:hAnsi="Times New Roman"/>
          <w:color w:val="000000"/>
          <w:sz w:val="24"/>
          <w:szCs w:val="24"/>
        </w:rPr>
        <w:t xml:space="preserve">Ninety-five of the 96 respondents were men, and the single woman was a hotelier rather than a harvester. The pattern is consistent with what has been reported along the Kenyan coast, where harvesting and much of the first-tier trade are male-dominated while women appear more often in processing, retail and culture activities (Mirera, 2014a; Ochiewo et al., 2010).</w:t>
      </w:r>
    </w:p>
    <w:p>
      <w:pPr>
        <w:spacing w:after="120" w:before="0" w:line="360"/>
        <w:jc w:val="both"/>
      </w:pPr>
      <w:r>
        <w:rPr>
          <w:rFonts w:ascii="Times New Roman" w:cs="Times New Roman" w:eastAsia="Times New Roman" w:hAnsi="Times New Roman"/>
          <w:color w:val="000000"/>
          <w:sz w:val="24"/>
          <w:szCs w:val="24"/>
        </w:rPr>
        <w:t xml:space="preserve">Why men dominate harvesting in this fishery is not something these data can settle, but the literature suggests three mechanisms that fit the setting. Mud crab harvesting in Kenya is done on foot in mangrove creeks at low spring tides, often at night and at a distance from the village, which carries mobility and safety costs that fall unequally on women (Mirera et al., 2013; Moser et al., 2005). Landing-site registers and BMU membership, the routes through which a harvester becomes visible to officials and buyers, have historically enrolled men. And the credit relationship documented in Chapter Four, in which a buyer advances cash against future supply, tends to run through established trading ties that new entrants do not have.</w:t>
      </w:r>
    </w:p>
    <w:p>
      <w:pPr>
        <w:spacing w:after="120" w:before="0" w:line="360"/>
        <w:jc w:val="both"/>
      </w:pPr>
      <w:r>
        <w:rPr>
          <w:rFonts w:ascii="Times New Roman" w:cs="Times New Roman" w:eastAsia="Times New Roman" w:hAnsi="Times New Roman"/>
          <w:color w:val="000000"/>
          <w:sz w:val="24"/>
          <w:szCs w:val="24"/>
        </w:rPr>
        <w:t xml:space="preserve">The consequence for this study is methodological before it is substantive. Because the fisher sampling frame drew on landing-site registers, women working in processing, hospitality procurement, retail or crab fattening were unlikely to be reached. Ndanga et al. (2013) show that women in Kenyan aquaculture value chains concentrate precisely in the nodes that landing-site sampling does not cover, which is a plausible explanation for the pattern recorded here and a clear brief for future work. The finding should therefore be read as a description of the respondents reached, not as evidence that women are absent from the chain. Two practical openings follow: hospitality procurement and crab fattening are the nodes where women already appear in the regional literature, and both were named as opportunities by respondents in this study.</w:t>
      </w:r>
    </w:p>
    <w:p>
      <w:pPr>
        <w:pStyle w:val="Heading3"/>
        <w:spacing w:after="120" w:before="240" w:line="360"/>
        <w:outlineLvl w:val="2"/>
      </w:pPr>
      <w:bookmarkStart w:id="52092" w:name="_Toc_92"/>
      <w:r>
        <w:rPr>
          <w:rFonts w:ascii="Times New Roman" w:cs="Times New Roman" w:eastAsia="Times New Roman" w:hAnsi="Times New Roman"/>
          <w:b/>
          <w:bCs/>
          <w:color w:val="000000"/>
          <w:sz w:val="24"/>
          <w:szCs w:val="24"/>
        </w:rPr>
        <w:t xml:space="preserve">5.2.3 Experience, Licensing and the Absence of Collective Organisation</w:t>
      </w:r>
      <w:bookmarkEnd w:id="52092"/>
    </w:p>
    <w:p>
      <w:pPr>
        <w:spacing w:after="120" w:before="0" w:line="360"/>
        <w:jc w:val="both"/>
      </w:pPr>
      <w:r>
        <w:rPr>
          <w:rFonts w:ascii="Times New Roman" w:cs="Times New Roman" w:eastAsia="Times New Roman" w:hAnsi="Times New Roman"/>
          <w:color w:val="000000"/>
          <w:sz w:val="24"/>
          <w:szCs w:val="24"/>
        </w:rPr>
        <w:t xml:space="preserve">Experience accumulated at the trading node rather than the harvesting node. This fits the account in Mirera et al. (2013), where local knowledge and repeated relationships shape how crabs are found, handled and moved, and it helps explain why middlemen reported regular buyers, competitive price setting and standing trading agreements while fishers did not. Crona et al. (2016) describe middlemen in Kenya and Zanzibar as a critical social-ecological link precisely because that accumulated relational knowledge is not easily replaced, and the present findings are consistent with that reading. Cinner et al. (2012) found that age and accumulated experience shaped how artisanal fishers responded to livelihood pressure, which is consistent with the age gap recorded between the harvesting and trading nodes here. Licensing showed the same upstream weakness: only a small share of fishers and middlemen held a licence, against every hotelier and exporter. Pomeroy and Andrew (2011) argue that co-management works best where local rules are tied to a service users can see, which points to registration and licensing support delivered through the BMUs rather than to enforcement alone.</w:t>
      </w:r>
    </w:p>
    <w:p>
      <w:pPr>
        <w:spacing w:after="120" w:before="0" w:line="360"/>
        <w:jc w:val="both"/>
      </w:pPr>
      <w:r>
        <w:rPr>
          <w:rFonts w:ascii="Times New Roman" w:cs="Times New Roman" w:eastAsia="Times New Roman" w:hAnsi="Times New Roman"/>
          <w:color w:val="000000"/>
          <w:sz w:val="24"/>
          <w:szCs w:val="24"/>
        </w:rPr>
        <w:t xml:space="preserve">The complete absence of collective membership is a more serious finding than a single percentage suggests. Groups are the normal vehicle for price information, savings, training, traceability and dealings with government, and the literature ties organised groups and local leadership to better fishery outcomes (Gutiérrez et al., 2011; Mirera, 2014a). Without them, a fisher negotiates alone against a buyer with twenty years in the trade and knowledge of what crabs fetch further up the chain.</w:t>
      </w:r>
    </w:p>
    <w:p>
      <w:pPr>
        <w:spacing w:after="120" w:before="0" w:line="360"/>
        <w:jc w:val="both"/>
      </w:pPr>
      <w:r>
        <w:rPr>
          <w:rFonts w:ascii="Times New Roman" w:cs="Times New Roman" w:eastAsia="Times New Roman" w:hAnsi="Times New Roman"/>
          <w:color w:val="000000"/>
          <w:sz w:val="24"/>
          <w:szCs w:val="24"/>
        </w:rPr>
        <w:t xml:space="preserve">Forming groups is not itself the remedy. Gutiérrez et al. (2011) found that leadership and clear incentives, rather than the existence of a group, separate the successful cases from the rest. That nothing at all exists here, at any node, suggests earlier attempts offered members nothing they could see. Any group formed in response to this study would need a commercial purpose, transparent leadership and a service members can point to.</w:t>
      </w:r>
    </w:p>
    <w:p>
      <w:pPr>
        <w:pStyle w:val="Heading3"/>
        <w:spacing w:after="120" w:before="240" w:line="360"/>
        <w:outlineLvl w:val="2"/>
      </w:pPr>
      <w:bookmarkStart w:id="52093" w:name="_Toc_93"/>
      <w:r>
        <w:rPr>
          <w:rFonts w:ascii="Times New Roman" w:cs="Times New Roman" w:eastAsia="Times New Roman" w:hAnsi="Times New Roman"/>
          <w:b/>
          <w:bCs/>
          <w:color w:val="000000"/>
          <w:sz w:val="24"/>
          <w:szCs w:val="24"/>
        </w:rPr>
        <w:t xml:space="preserve">5.2.4 Credit and Dependence Within the Chain</w:t>
      </w:r>
      <w:bookmarkEnd w:id="52093"/>
    </w:p>
    <w:p>
      <w:pPr>
        <w:spacing w:after="120" w:before="0" w:line="360"/>
        <w:jc w:val="both"/>
      </w:pPr>
      <w:r>
        <w:rPr>
          <w:rFonts w:ascii="Times New Roman" w:cs="Times New Roman" w:eastAsia="Times New Roman" w:hAnsi="Times New Roman"/>
          <w:color w:val="000000"/>
          <w:sz w:val="24"/>
          <w:szCs w:val="24"/>
        </w:rPr>
        <w:t xml:space="preserve">No fisher used a formal loan, yet 93.8% named a middleman as their main source of credit, and close to two fishers in five were paid at least partly on credit by the buyer purchasing from them. Crona et al. (2016) describe such arrangements as enabling and constraining at once: the advance solves this week’s cash problem while narrowing where the fisher can sell. Béné et al. (2007) make a similar point about small-scale fisheries generally, treating informal credit as both safety net and mechanism of persistent low returns.</w:t>
      </w:r>
    </w:p>
    <w:p>
      <w:pPr>
        <w:spacing w:after="120" w:before="0" w:line="360"/>
        <w:jc w:val="both"/>
      </w:pPr>
      <w:r>
        <w:rPr>
          <w:rFonts w:ascii="Times New Roman" w:cs="Times New Roman" w:eastAsia="Times New Roman" w:hAnsi="Times New Roman"/>
          <w:color w:val="000000"/>
          <w:sz w:val="24"/>
          <w:szCs w:val="24"/>
        </w:rPr>
        <w:t xml:space="preserve">Which of the two dominates here cannot be judged from this study, because amounts, terms and duration went unrecorded. What can be said is that the person extending the credit is the same person setting the price the fisher calls fixed, and that no alternative source of working capital was reported at the harvesting node. That combination is what gives the relationship its force.</w:t>
      </w:r>
    </w:p>
    <w:p>
      <w:pPr>
        <w:pStyle w:val="Heading3"/>
        <w:spacing w:after="120" w:before="240" w:line="360"/>
        <w:outlineLvl w:val="2"/>
      </w:pPr>
      <w:bookmarkStart w:id="52094" w:name="_Toc_94"/>
      <w:r>
        <w:rPr>
          <w:rFonts w:ascii="Times New Roman" w:cs="Times New Roman" w:eastAsia="Times New Roman" w:hAnsi="Times New Roman"/>
          <w:b/>
          <w:bCs/>
          <w:color w:val="000000"/>
          <w:sz w:val="24"/>
          <w:szCs w:val="24"/>
        </w:rPr>
        <w:t xml:space="preserve">5.2.5 Implications</w:t>
      </w:r>
      <w:bookmarkEnd w:id="52094"/>
    </w:p>
    <w:p>
      <w:pPr>
        <w:spacing w:after="120" w:before="0" w:line="360"/>
        <w:jc w:val="both"/>
      </w:pPr>
      <w:r>
        <w:rPr>
          <w:rFonts w:ascii="Times New Roman" w:cs="Times New Roman" w:eastAsia="Times New Roman" w:hAnsi="Times New Roman"/>
          <w:color w:val="000000"/>
          <w:sz w:val="24"/>
          <w:szCs w:val="24"/>
        </w:rPr>
        <w:t xml:space="preserve">Theoretically, the profile results support treating actor category rather than location as the primary structural variable in this market. Differences between fishers, middlemen, hoteliers and exporters were large and consistent, while differences between landing sites were fewer and confined mostly to fishers. A market-structure account of this fishery is therefore an account of nodes, not of places.</w:t>
      </w:r>
    </w:p>
    <w:p>
      <w:pPr>
        <w:spacing w:after="120" w:before="0" w:line="360"/>
        <w:jc w:val="both"/>
      </w:pPr>
      <w:r>
        <w:rPr>
          <w:rFonts w:ascii="Times New Roman" w:cs="Times New Roman" w:eastAsia="Times New Roman" w:hAnsi="Times New Roman"/>
          <w:color w:val="000000"/>
          <w:sz w:val="24"/>
          <w:szCs w:val="24"/>
        </w:rPr>
        <w:t xml:space="preserve">Practically, the results identify three entry points that do not require new infrastructure: a licensing route that upstream actors can actually complete, a source of working capital that is not the buyer, and a collective body with a service attached. Each addresses a condition documented in Chapter Four rather than a general aspiration.</w:t>
      </w:r>
    </w:p>
    <w:p>
      <w:pPr>
        <w:pStyle w:val="Heading2"/>
        <w:spacing w:after="140" w:before="280" w:line="360"/>
        <w:outlineLvl w:val="1"/>
      </w:pPr>
      <w:bookmarkStart w:id="52095" w:name="_Toc_95"/>
      <w:r>
        <w:rPr>
          <w:rFonts w:ascii="Times New Roman" w:cs="Times New Roman" w:eastAsia="Times New Roman" w:hAnsi="Times New Roman"/>
          <w:b/>
          <w:bCs/>
          <w:color w:val="000000"/>
          <w:sz w:val="26"/>
          <w:szCs w:val="26"/>
        </w:rPr>
        <w:t xml:space="preserve">5.3 Objective Two: Functions at Each Market Node and the Distribution of Value</w:t>
      </w:r>
      <w:bookmarkEnd w:id="52095"/>
    </w:p>
    <w:p>
      <w:pPr>
        <w:pStyle w:val="Heading3"/>
        <w:spacing w:after="120" w:before="240" w:line="360"/>
        <w:outlineLvl w:val="2"/>
      </w:pPr>
      <w:bookmarkStart w:id="52096" w:name="_Toc_96"/>
      <w:r>
        <w:rPr>
          <w:rFonts w:ascii="Times New Roman" w:cs="Times New Roman" w:eastAsia="Times New Roman" w:hAnsi="Times New Roman"/>
          <w:b/>
          <w:bCs/>
          <w:color w:val="000000"/>
          <w:sz w:val="24"/>
          <w:szCs w:val="24"/>
        </w:rPr>
        <w:t xml:space="preserve">5.3.1 Key Findings</w:t>
      </w:r>
      <w:bookmarkEnd w:id="52096"/>
    </w:p>
    <w:p>
      <w:pPr>
        <w:spacing w:after="120" w:before="0" w:line="360"/>
        <w:jc w:val="both"/>
      </w:pPr>
      <w:r>
        <w:rPr>
          <w:rFonts w:ascii="Times New Roman" w:cs="Times New Roman" w:eastAsia="Times New Roman" w:hAnsi="Times New Roman"/>
          <w:color w:val="000000"/>
          <w:sz w:val="24"/>
          <w:szCs w:val="24"/>
        </w:rPr>
        <w:t xml:space="preserve">Functions divided cleanly by node and so did the information attached to them. Fishers harvested, tied claws, packed in sacks and walked to the landing site. Middlemen aggregated, cleaned, sorted and graded on a four-criterion rule and moved crabs by vehicle or boat. Hoteliers processed and froze. Exporters packed Styrofoam under inspection and certification. Prices rose at every node, differed significantly between actor categories, and among fishers differed by site as well. Multi-stage chains of this kind, in which harvesters are separated from export buyers by one or more aggregation and trading nodes, have been described for Bangladesh, the Philippines and coastal Tanzania (ACDI/VOCA, 2005; Mahmud &amp; Mamun, 2013; Sultana et al., 2018).</w:t>
      </w:r>
    </w:p>
    <w:p>
      <w:pPr>
        <w:pStyle w:val="Heading3"/>
        <w:spacing w:after="120" w:before="240" w:line="360"/>
        <w:outlineLvl w:val="2"/>
      </w:pPr>
      <w:bookmarkStart w:id="52097" w:name="_Toc_97"/>
      <w:r>
        <w:rPr>
          <w:rFonts w:ascii="Times New Roman" w:cs="Times New Roman" w:eastAsia="Times New Roman" w:hAnsi="Times New Roman"/>
          <w:b/>
          <w:bCs/>
          <w:color w:val="000000"/>
          <w:sz w:val="24"/>
          <w:szCs w:val="24"/>
        </w:rPr>
        <w:t xml:space="preserve">5.3.2 Grading as a Mechanism of Value Capture</w:t>
      </w:r>
      <w:bookmarkEnd w:id="52097"/>
    </w:p>
    <w:p>
      <w:pPr>
        <w:spacing w:after="120" w:before="0" w:line="360"/>
        <w:jc w:val="both"/>
      </w:pPr>
      <w:r>
        <w:rPr>
          <w:rFonts w:ascii="Times New Roman" w:cs="Times New Roman" w:eastAsia="Times New Roman" w:hAnsi="Times New Roman"/>
          <w:color w:val="000000"/>
          <w:sz w:val="24"/>
          <w:szCs w:val="24"/>
        </w:rPr>
        <w:t xml:space="preserve">Every actor said they graded. They did not grade by the same rule. All 65 fishers used weight alone, while 95.5% of middlemen and every hotelier and exporter combined size, weight, shell condition and claw size. Jacinto (2004) identifies exactly this kind of informational asymmetry as a determinant of how value is distributed in small-scale fisheries value chains, and the present data supply a clean instance of it.</w:t>
      </w:r>
    </w:p>
    <w:p>
      <w:pPr>
        <w:spacing w:after="120" w:before="0" w:line="360"/>
        <w:jc w:val="both"/>
      </w:pPr>
      <w:r>
        <w:rPr>
          <w:rFonts w:ascii="Times New Roman" w:cs="Times New Roman" w:eastAsia="Times New Roman" w:hAnsi="Times New Roman"/>
          <w:color w:val="000000"/>
          <w:sz w:val="24"/>
          <w:szCs w:val="24"/>
        </w:rPr>
        <w:t xml:space="preserve">The site variation in grading language reinforces the point. At Shimoni, 44.0% of fishers described their large category as mixed and 36.0% did the same for the small category, while fishers at the other three sites used the plain labels, χ²(3, N = 63) = 16.87, p = .001 and χ²(3, N = 63) = 15.96, p = .002. The survey recorded the label, not a measured carapace width, so this is vocabulary rather than biology. It carries a practical cost all the same: a Shimoni fisher and his buyer may not mean the same thing by the word large, and that is the condition under which a grading dispute goes the better-informed party’s way.</w:t>
      </w:r>
    </w:p>
    <w:p>
      <w:pPr>
        <w:pStyle w:val="Heading3"/>
        <w:spacing w:after="120" w:before="240" w:line="360"/>
        <w:outlineLvl w:val="2"/>
      </w:pPr>
      <w:bookmarkStart w:id="52098" w:name="_Toc_98"/>
      <w:r>
        <w:rPr>
          <w:rFonts w:ascii="Times New Roman" w:cs="Times New Roman" w:eastAsia="Times New Roman" w:hAnsi="Times New Roman"/>
          <w:b/>
          <w:bCs/>
          <w:color w:val="000000"/>
          <w:sz w:val="24"/>
          <w:szCs w:val="24"/>
        </w:rPr>
        <w:t xml:space="preserve">5.3.3 Handling, Packaging and Loss</w:t>
      </w:r>
      <w:bookmarkEnd w:id="52098"/>
    </w:p>
    <w:p>
      <w:pPr>
        <w:spacing w:after="120" w:before="0" w:line="360"/>
        <w:jc w:val="both"/>
      </w:pPr>
      <w:r>
        <w:rPr>
          <w:rFonts w:ascii="Times New Roman" w:cs="Times New Roman" w:eastAsia="Times New Roman" w:hAnsi="Times New Roman"/>
          <w:color w:val="000000"/>
          <w:sz w:val="24"/>
          <w:szCs w:val="24"/>
        </w:rPr>
        <w:t xml:space="preserve">Packaging became more protective downstream, from sacks to crates to Styrofoam, and reported mortality rose with the volume each actor held. Survival and product quality in the live mud crab trade turn on handling, containment and transport conditions (FAO, 2025). The absence of formal quality control among fishers and middlemen does not mean no care was taken; fishers tied claws and middlemen cleaned and sorted. The weakness is that neither procedures nor losses were documented against a shared standard, so the cost of mortality cannot be priced into a grade or recovered through it.</w:t>
      </w:r>
    </w:p>
    <w:p>
      <w:pPr>
        <w:pStyle w:val="Heading3"/>
        <w:spacing w:after="120" w:before="240" w:line="360"/>
        <w:outlineLvl w:val="2"/>
      </w:pPr>
      <w:bookmarkStart w:id="52099" w:name="_Toc_99"/>
      <w:r>
        <w:rPr>
          <w:rFonts w:ascii="Times New Roman" w:cs="Times New Roman" w:eastAsia="Times New Roman" w:hAnsi="Times New Roman"/>
          <w:b/>
          <w:bCs/>
          <w:color w:val="000000"/>
          <w:sz w:val="24"/>
          <w:szCs w:val="24"/>
        </w:rPr>
        <w:t xml:space="preserve">5.3.4 Price Formation and the Distribution of Value</w:t>
      </w:r>
      <w:bookmarkEnd w:id="52099"/>
    </w:p>
    <w:p>
      <w:pPr>
        <w:spacing w:after="120" w:before="0" w:line="360"/>
        <w:jc w:val="both"/>
      </w:pPr>
      <w:r>
        <w:rPr>
          <w:rFonts w:ascii="Times New Roman" w:cs="Times New Roman" w:eastAsia="Times New Roman" w:hAnsi="Times New Roman"/>
          <w:color w:val="000000"/>
          <w:sz w:val="24"/>
          <w:szCs w:val="24"/>
        </w:rPr>
        <w:t xml:space="preserve">Reported prices rose at every node and the actor comparisons were unambiguous, H(3) = 55.84, p &lt; .001 for large crabs and H(3) = 38.00, p &lt; .001 for medium crabs. Rising prices are expected where later actors carry aggregation, mortality, transport, packaging and buyer-access costs. The caveat matters and is stated plainly: these are gross prices. Munga and Muthumbi (2018) draw the same distinction for the Tana Delta mud crab fishery, where gross price differentials narrowed considerably once handling and transport were netted out, so nothing in this section should be read as a statement about profit. Expressed as marketing margins, the chain took between 60.4% and 72.5% of the final price before it reached the harvester, and the concentration figures in Table 41 describe the structure within which that split is settled: an HHI of 2,371 across the four BMUs, and 76.9% of harvesters dealing with a single buyer.</w:t>
      </w:r>
    </w:p>
    <w:p>
      <w:pPr>
        <w:spacing w:after="120" w:before="0" w:line="360"/>
        <w:jc w:val="both"/>
      </w:pPr>
      <w:r>
        <w:rPr>
          <w:rFonts w:ascii="Times New Roman" w:cs="Times New Roman" w:eastAsia="Times New Roman" w:hAnsi="Times New Roman"/>
          <w:color w:val="000000"/>
          <w:sz w:val="24"/>
          <w:szCs w:val="24"/>
        </w:rPr>
        <w:t xml:space="preserve">Within that limit, expressing each node’s price as a share of the end-of-chain price answers the question of how value is distributed. A large crab reaching an exporter left 35.6% of its final price with the fisher, 20.0% at the middleman step and 44.4% at the exporter step. The same crab reaching a hotel kitchen left the fisher 27.5% and the hotel 57.0%. Medium crabs bound for export were the fisher’s best case at 39.6%. The producer’s share of the final price is a standard measure of marketing performance, and values in this range sit at the low end of what has been reported for perishable, high-value seafood. Jacinto (2004) argues that in small-scale fisheries the share captured at each node tracks control of information and market access more closely than it tracks physical effort, and the ordering here matches that: the actor doing the fishing takes the smallest share, and the largest single share accrues at the step furthest from the water.</w:t>
      </w:r>
    </w:p>
    <w:p>
      <w:pPr>
        <w:spacing w:after="120" w:before="0" w:line="360"/>
        <w:jc w:val="both"/>
      </w:pPr>
      <w:r>
        <w:rPr>
          <w:rFonts w:ascii="Times New Roman" w:cs="Times New Roman" w:eastAsia="Times New Roman" w:hAnsi="Times New Roman"/>
          <w:color w:val="000000"/>
          <w:sz w:val="24"/>
          <w:szCs w:val="24"/>
        </w:rPr>
        <w:t xml:space="preserve">The middleman result deserves emphasis because it cuts against the usual account. Middlemen took the smallest of the three shares in every chain, between 15.5% and 20.0%, yet they are the actor fishers most often identify with the low beach price. Crona et al. (2016) reach a similar conclusion for Kenya and Zanzibar, finding that middlemen are widely blamed for outcomes largely determined further along the chain while themselves operating on modest turnovers and carrying the mortality risk. The present data support that reading rather than the popular one, and Chapter Four documents the risk directly: 95.5% of middlemen reported daily mortality of 4 to 5 kg against 0.5 to 1 kg among fishers.</w:t>
      </w:r>
    </w:p>
    <w:p>
      <w:pPr>
        <w:pStyle w:val="Heading3"/>
        <w:spacing w:after="120" w:before="240" w:line="360"/>
        <w:outlineLvl w:val="2"/>
      </w:pPr>
      <w:bookmarkStart w:id="52100" w:name="_Toc_100"/>
      <w:r>
        <w:rPr>
          <w:rFonts w:ascii="Times New Roman" w:cs="Times New Roman" w:eastAsia="Times New Roman" w:hAnsi="Times New Roman"/>
          <w:b/>
          <w:bCs/>
          <w:color w:val="000000"/>
          <w:sz w:val="24"/>
          <w:szCs w:val="24"/>
        </w:rPr>
        <w:t xml:space="preserve">5.3.5 Site Differences and What Drives Them</w:t>
      </w:r>
      <w:bookmarkEnd w:id="52100"/>
    </w:p>
    <w:p>
      <w:pPr>
        <w:spacing w:after="120" w:before="0" w:line="360"/>
        <w:jc w:val="both"/>
      </w:pPr>
      <w:r>
        <w:rPr>
          <w:rFonts w:ascii="Times New Roman" w:cs="Times New Roman" w:eastAsia="Times New Roman" w:hAnsi="Times New Roman"/>
          <w:color w:val="000000"/>
          <w:sz w:val="24"/>
          <w:szCs w:val="24"/>
        </w:rPr>
        <w:t xml:space="preserve">The actor comparison and the site comparison answer different questions, and keeping them apart was necessary. Compare sites without holding the actor constant and a site with more middlemen looks like a high-price site purely because of its respondent mix. With the role held constant, fisher prices differed significantly across sites for large crabs, H(3) = 20.32, p &lt; .001, and medium crabs, H(3) = 20.07, p &lt; .001, while middleman prices did not, H(2) = 5.33, p = .070 and H(2) = 3.78, p = .151.</w:t>
      </w:r>
    </w:p>
    <w:p>
      <w:pPr>
        <w:spacing w:after="120" w:before="0" w:line="360"/>
        <w:jc w:val="both"/>
      </w:pPr>
      <w:r>
        <w:rPr>
          <w:rFonts w:ascii="Times New Roman" w:cs="Times New Roman" w:eastAsia="Times New Roman" w:hAnsi="Times New Roman"/>
          <w:color w:val="000000"/>
          <w:sz w:val="24"/>
          <w:szCs w:val="24"/>
        </w:rPr>
        <w:t xml:space="preserve">That asymmetry produced the study’s sharpest single contrast. At Majoreni the fisher price stood at 91.7% of the local middleman price for large crabs and 91.3% for medium crabs, spreads of KSh 71.4 and KSh 57.1 per kilogram. At Shimoni and Vanga the same figures were 55.0% and 53.6% for large crabs, spreads of KSh 441.8 and KSh 464.3. Because fisher prices varied across sites and middleman prices did not, the narrow Majoreni gap is built on the fisher side: Majoreni traders sold at KSh 857.1, within KSh 143 of the other two sites, while Majoreni fishers were paid KSh 785.7 against roughly KSh 537 elsewhere.</w:t>
      </w:r>
    </w:p>
    <w:p>
      <w:pPr>
        <w:spacing w:after="120" w:before="0" w:line="360"/>
        <w:jc w:val="both"/>
      </w:pPr>
      <w:r>
        <w:rPr>
          <w:rFonts w:ascii="Times New Roman" w:cs="Times New Roman" w:eastAsia="Times New Roman" w:hAnsi="Times New Roman"/>
          <w:color w:val="000000"/>
          <w:sz w:val="24"/>
          <w:szCs w:val="24"/>
        </w:rPr>
        <w:t xml:space="preserve">Two readings fit. Majoreni fishers may face a less concentrated set of first buyers, so competition at the beach lifts the first-hand price; or the seven middlemen sampled there may be first-tier buyers reselling locally rather than consolidators shipping to Mombasa, in which case their price is a shorter step from the water and the comparison is not quite like for like. This study cannot separate the two, since buyer concentration and onward destination were not measured at transaction level. Green and Clark (2021) treat dispersion at the first point of sale as one of the more reliable indicators of weak market integration, and on that criterion Shimoni and Vanga look the weaker markets of the three. The practical implication is unchanged by which reading is correct: the terms a fisher gets are settled at their own landing site.</w:t>
      </w:r>
    </w:p>
    <w:p>
      <w:pPr>
        <w:pStyle w:val="Heading3"/>
        <w:spacing w:after="120" w:before="240" w:line="360"/>
        <w:outlineLvl w:val="2"/>
      </w:pPr>
      <w:bookmarkStart w:id="52101" w:name="_Toc_101"/>
      <w:r>
        <w:rPr>
          <w:rFonts w:ascii="Times New Roman" w:cs="Times New Roman" w:eastAsia="Times New Roman" w:hAnsi="Times New Roman"/>
          <w:b/>
          <w:bCs/>
          <w:color w:val="000000"/>
          <w:sz w:val="24"/>
          <w:szCs w:val="24"/>
        </w:rPr>
        <w:t xml:space="preserve">5.3.6 The Hotelier Medium-Grade Anomaly</w:t>
      </w:r>
      <w:bookmarkEnd w:id="52101"/>
    </w:p>
    <w:p>
      <w:pPr>
        <w:spacing w:after="120" w:before="0" w:line="360"/>
        <w:jc w:val="both"/>
      </w:pPr>
      <w:r>
        <w:rPr>
          <w:rFonts w:ascii="Times New Roman" w:cs="Times New Roman" w:eastAsia="Times New Roman" w:hAnsi="Times New Roman"/>
          <w:color w:val="000000"/>
          <w:sz w:val="24"/>
          <w:szCs w:val="24"/>
        </w:rPr>
        <w:t xml:space="preserve">The hotelier medium-grade mean of KSh 380.0 per kilogram does not fit the pattern. It is below the fisher price for the same grade and far below the same respondents’ large-crab mean of KSh 2,200.0. Two explanations are plausible. The entries may refer to a different product form, unit or transaction, such as a processed portion rather than live weight, in which case the value is correct but not comparable with the others. Alternatively it may be a field-entry error. The values were retained to preserve fidelity to the source data and excluded from the chain calculation, but they should be confirmed against the questionnaires before being used to support any argument about value addition at the hospitality node.</w:t>
      </w:r>
    </w:p>
    <w:p>
      <w:pPr>
        <w:pStyle w:val="Heading3"/>
        <w:spacing w:after="120" w:before="240" w:line="360"/>
        <w:outlineLvl w:val="2"/>
      </w:pPr>
      <w:bookmarkStart w:id="52102" w:name="_Toc_102"/>
      <w:r>
        <w:rPr>
          <w:rFonts w:ascii="Times New Roman" w:cs="Times New Roman" w:eastAsia="Times New Roman" w:hAnsi="Times New Roman"/>
          <w:b/>
          <w:bCs/>
          <w:color w:val="000000"/>
          <w:sz w:val="24"/>
          <w:szCs w:val="24"/>
        </w:rPr>
        <w:t xml:space="preserve">5.3.7 Implications</w:t>
      </w:r>
      <w:bookmarkEnd w:id="52102"/>
    </w:p>
    <w:p>
      <w:pPr>
        <w:spacing w:after="120" w:before="0" w:line="360"/>
        <w:jc w:val="both"/>
      </w:pPr>
      <w:r>
        <w:rPr>
          <w:rFonts w:ascii="Times New Roman" w:cs="Times New Roman" w:eastAsia="Times New Roman" w:hAnsi="Times New Roman"/>
          <w:color w:val="000000"/>
          <w:sz w:val="24"/>
          <w:szCs w:val="24"/>
        </w:rPr>
        <w:t xml:space="preserve">Theoretically, these results locate the mechanism of value capture in control of the grading rule and of the connection to the final buyer, rather than in harvesting effort or in the middleman’s margin. That is the specific contribution this study makes to the value-chain literature on Kenyan mud crabs, which has so far documented actors and functions more thoroughly than the distribution of returns among them.</w:t>
      </w:r>
    </w:p>
    <w:p>
      <w:pPr>
        <w:spacing w:after="120" w:before="0" w:line="360"/>
        <w:jc w:val="both"/>
      </w:pPr>
      <w:r>
        <w:rPr>
          <w:rFonts w:ascii="Times New Roman" w:cs="Times New Roman" w:eastAsia="Times New Roman" w:hAnsi="Times New Roman"/>
          <w:color w:val="000000"/>
          <w:sz w:val="24"/>
          <w:szCs w:val="24"/>
        </w:rPr>
        <w:t xml:space="preserve">Practically, two interventions follow directly from the numbers and neither requires capital investment: a written grading standard that both parties to a first sale can read, and an independent record of what grades are fetching. Both attack the informational asymmetry the data identify rather than the price level, which no intervention in this study’s reach can set.</w:t>
      </w:r>
    </w:p>
    <w:p>
      <w:pPr>
        <w:pStyle w:val="Heading2"/>
        <w:spacing w:after="140" w:before="280" w:line="360"/>
        <w:outlineLvl w:val="1"/>
      </w:pPr>
      <w:bookmarkStart w:id="52103" w:name="_Toc_103"/>
      <w:r>
        <w:rPr>
          <w:rFonts w:ascii="Times New Roman" w:cs="Times New Roman" w:eastAsia="Times New Roman" w:hAnsi="Times New Roman"/>
          <w:b/>
          <w:bCs/>
          <w:color w:val="000000"/>
          <w:sz w:val="26"/>
          <w:szCs w:val="26"/>
        </w:rPr>
        <w:t xml:space="preserve">5.4 Objective Three: Constraints and Opportunities</w:t>
      </w:r>
      <w:bookmarkEnd w:id="52103"/>
    </w:p>
    <w:p>
      <w:pPr>
        <w:pStyle w:val="Heading3"/>
        <w:spacing w:after="120" w:before="240" w:line="360"/>
        <w:outlineLvl w:val="2"/>
      </w:pPr>
      <w:bookmarkStart w:id="52104" w:name="_Toc_104"/>
      <w:r>
        <w:rPr>
          <w:rFonts w:ascii="Times New Roman" w:cs="Times New Roman" w:eastAsia="Times New Roman" w:hAnsi="Times New Roman"/>
          <w:b/>
          <w:bCs/>
          <w:color w:val="000000"/>
          <w:sz w:val="24"/>
          <w:szCs w:val="24"/>
        </w:rPr>
        <w:t xml:space="preserve">5.4.1 Key Findings</w:t>
      </w:r>
      <w:bookmarkEnd w:id="52104"/>
    </w:p>
    <w:p>
      <w:pPr>
        <w:spacing w:after="120" w:before="0" w:line="360"/>
        <w:jc w:val="both"/>
      </w:pPr>
      <w:r>
        <w:rPr>
          <w:rFonts w:ascii="Times New Roman" w:cs="Times New Roman" w:eastAsia="Times New Roman" w:hAnsi="Times New Roman"/>
          <w:color w:val="000000"/>
          <w:sz w:val="24"/>
          <w:szCs w:val="24"/>
        </w:rPr>
        <w:t xml:space="preserve">No constraint was shared across the chain. Fishers named price fluctuation and poor roads, middlemen mortality and the lack of aggregation facilities, hoteliers seasonality, exporters freight cost and flight delays. Barriers to market access were reported by 95.8% of respondents. No actor had adopted new equipment or conducted market research. Most respondents judged the market poorly structured, and management-plan awareness reached 95.5% of middlemen and every exporter but only 15.4% of fishers and no hotelier.</w:t>
      </w:r>
    </w:p>
    <w:p>
      <w:pPr>
        <w:pStyle w:val="Heading3"/>
        <w:spacing w:after="120" w:before="240" w:line="360"/>
        <w:outlineLvl w:val="2"/>
      </w:pPr>
      <w:bookmarkStart w:id="52105" w:name="_Toc_105"/>
      <w:r>
        <w:rPr>
          <w:rFonts w:ascii="Times New Roman" w:cs="Times New Roman" w:eastAsia="Times New Roman" w:hAnsi="Times New Roman"/>
          <w:b/>
          <w:bCs/>
          <w:color w:val="000000"/>
          <w:sz w:val="24"/>
          <w:szCs w:val="24"/>
        </w:rPr>
        <w:t xml:space="preserve">5.4.2 Constraints Follow Function</w:t>
      </w:r>
      <w:bookmarkEnd w:id="52105"/>
    </w:p>
    <w:p>
      <w:pPr>
        <w:spacing w:after="120" w:before="0" w:line="360"/>
        <w:jc w:val="both"/>
      </w:pPr>
      <w:r>
        <w:rPr>
          <w:rFonts w:ascii="Times New Roman" w:cs="Times New Roman" w:eastAsia="Times New Roman" w:hAnsi="Times New Roman"/>
          <w:color w:val="000000"/>
          <w:sz w:val="24"/>
          <w:szCs w:val="24"/>
        </w:rPr>
        <w:t xml:space="preserve">Each constraint follows from the work the actor does. The fisher sells the same day at a price he does not set, so volatility reaches him first. The middleman holds stock, so he loses crabs; mortality was named by half of them and all four Vanga middlemen. The hotelier lives on tourist arrivals and feels the season. The exporter lives on cargo space and feels the freight. One chain-wide intervention will not reach all four, which is why the recommendations in Chapter Six are written by actor category.</w:t>
      </w:r>
    </w:p>
    <w:p>
      <w:pPr>
        <w:spacing w:after="120" w:before="0" w:line="360"/>
        <w:jc w:val="both"/>
      </w:pPr>
      <w:r>
        <w:rPr>
          <w:rFonts w:ascii="Times New Roman" w:cs="Times New Roman" w:eastAsia="Times New Roman" w:hAnsi="Times New Roman"/>
          <w:color w:val="000000"/>
          <w:sz w:val="24"/>
          <w:szCs w:val="24"/>
        </w:rPr>
        <w:t xml:space="preserve">The infrastructure answers point the same way. Poor roads dominated the fisher responses at 98.5% while 90.9% of middlemen named the lack of aggregation facilities. Better access routes would improve movement from landing areas but would not reduce holding losses; aggregation facilities would improve shade, loading and live-crab management but would not widen fisher buyer choice unless linked to transport and price information. Infrastructure planning therefore has to connect landing-site access with holding and distribution needs, not choose between them.</w:t>
      </w:r>
    </w:p>
    <w:p>
      <w:pPr>
        <w:pStyle w:val="Heading3"/>
        <w:spacing w:after="120" w:before="240" w:line="360"/>
        <w:outlineLvl w:val="2"/>
      </w:pPr>
      <w:bookmarkStart w:id="52106" w:name="_Toc_106"/>
      <w:r>
        <w:rPr>
          <w:rFonts w:ascii="Times New Roman" w:cs="Times New Roman" w:eastAsia="Times New Roman" w:hAnsi="Times New Roman"/>
          <w:b/>
          <w:bCs/>
          <w:color w:val="000000"/>
          <w:sz w:val="24"/>
          <w:szCs w:val="24"/>
        </w:rPr>
        <w:t xml:space="preserve">5.4.3 Governance and the Direction Information Travels</w:t>
      </w:r>
      <w:bookmarkEnd w:id="52106"/>
    </w:p>
    <w:p>
      <w:pPr>
        <w:spacing w:after="120" w:before="0" w:line="360"/>
        <w:jc w:val="both"/>
      </w:pPr>
      <w:r>
        <w:rPr>
          <w:rFonts w:ascii="Times New Roman" w:cs="Times New Roman" w:eastAsia="Times New Roman" w:hAnsi="Times New Roman"/>
          <w:color w:val="000000"/>
          <w:sz w:val="24"/>
          <w:szCs w:val="24"/>
        </w:rPr>
        <w:t xml:space="preserve">Negative views of market organisation sit comfortably with everything else recorded here: no collective membership, low upstream licensing, informal grading, no market research and fixed prices reported by every fisher. Awareness of the crab fishery management plan followed commercial position rather than geography. Information moves along commercial relationships instead of through the co-management structures built to carry it.</w:t>
      </w:r>
    </w:p>
    <w:p>
      <w:pPr>
        <w:spacing w:after="120" w:before="0" w:line="360"/>
        <w:jc w:val="both"/>
      </w:pPr>
      <w:r>
        <w:rPr>
          <w:rFonts w:ascii="Times New Roman" w:cs="Times New Roman" w:eastAsia="Times New Roman" w:hAnsi="Times New Roman"/>
          <w:color w:val="000000"/>
          <w:sz w:val="24"/>
          <w:szCs w:val="24"/>
        </w:rPr>
        <w:t xml:space="preserve">Beach Management Units remain the most practical institutions for narrowing that gap. Njiru et al. (2021) found that socioeconomic factors influence trader participation in BMUs in Kwale County, which supports communication designed for specific actor groups rather than a single general announcement. The large neutral response among fishers on the existence of a policy framework should not be read as approval; set beside 15.4% management-plan awareness, it more likely reflects unfamiliarity.</w:t>
      </w:r>
    </w:p>
    <w:p>
      <w:pPr>
        <w:pStyle w:val="Heading3"/>
        <w:spacing w:after="120" w:before="240" w:line="360"/>
        <w:outlineLvl w:val="2"/>
      </w:pPr>
      <w:bookmarkStart w:id="52107" w:name="_Toc_107"/>
      <w:r>
        <w:rPr>
          <w:rFonts w:ascii="Times New Roman" w:cs="Times New Roman" w:eastAsia="Times New Roman" w:hAnsi="Times New Roman"/>
          <w:b/>
          <w:bCs/>
          <w:color w:val="000000"/>
          <w:sz w:val="24"/>
          <w:szCs w:val="24"/>
        </w:rPr>
        <w:t xml:space="preserve">5.4.4 Opposing Priorities Within One Transaction</w:t>
      </w:r>
      <w:bookmarkEnd w:id="52107"/>
    </w:p>
    <w:p>
      <w:pPr>
        <w:spacing w:after="120" w:before="0" w:line="360"/>
        <w:jc w:val="both"/>
      </w:pPr>
      <w:r>
        <w:rPr>
          <w:rFonts w:ascii="Times New Roman" w:cs="Times New Roman" w:eastAsia="Times New Roman" w:hAnsi="Times New Roman"/>
          <w:color w:val="000000"/>
          <w:sz w:val="24"/>
          <w:szCs w:val="24"/>
        </w:rPr>
        <w:t xml:space="preserve">Fishers chose market-access improvement, 86.2% of them, while middlemen chose price stability, 95.5%. These are two views of one exchange. The fisher wants an alternative to the buyer standing in front of him; the middleman wants the price he pays and receives to hold still while he carries stock and credit risk. Splitting the difference will not reconcile them, because better market access for fishers means more competition for middlemen. Better price information and clearer grades reduce uncertainty for both without fixing an administered price.</w:t>
      </w:r>
    </w:p>
    <w:p>
      <w:pPr>
        <w:spacing w:after="120" w:before="0" w:line="360"/>
        <w:jc w:val="both"/>
      </w:pPr>
      <w:r>
        <w:rPr>
          <w:rFonts w:ascii="Times New Roman" w:cs="Times New Roman" w:eastAsia="Times New Roman" w:hAnsi="Times New Roman"/>
          <w:color w:val="000000"/>
          <w:sz w:val="24"/>
          <w:szCs w:val="24"/>
        </w:rPr>
        <w:t xml:space="preserve">Reported youth involvement was low or very low throughout, even though more than half the fishers were aged 18 to 35 and four were under 18. Respondents may have understood youth involvement as formal participation, commitment or ownership rather than presence in the fishery. Future questionnaires should define the concept directly, and the presence of minors in harvesting raises safeguarding and schooling questions this study was not designed to answer but should not pass over.</w:t>
      </w:r>
    </w:p>
    <w:p>
      <w:pPr>
        <w:pStyle w:val="Heading3"/>
        <w:spacing w:after="120" w:before="240" w:line="360"/>
        <w:outlineLvl w:val="2"/>
      </w:pPr>
      <w:bookmarkStart w:id="52108" w:name="_Toc_108"/>
      <w:r>
        <w:rPr>
          <w:rFonts w:ascii="Times New Roman" w:cs="Times New Roman" w:eastAsia="Times New Roman" w:hAnsi="Times New Roman"/>
          <w:b/>
          <w:bCs/>
          <w:color w:val="000000"/>
          <w:sz w:val="24"/>
          <w:szCs w:val="24"/>
        </w:rPr>
        <w:t xml:space="preserve">5.4.5 Implications</w:t>
      </w:r>
      <w:bookmarkEnd w:id="52108"/>
    </w:p>
    <w:p>
      <w:pPr>
        <w:spacing w:after="120" w:before="0" w:line="360"/>
        <w:jc w:val="both"/>
      </w:pPr>
      <w:r>
        <w:rPr>
          <w:rFonts w:ascii="Times New Roman" w:cs="Times New Roman" w:eastAsia="Times New Roman" w:hAnsi="Times New Roman"/>
          <w:color w:val="000000"/>
          <w:sz w:val="24"/>
          <w:szCs w:val="24"/>
        </w:rPr>
        <w:t xml:space="preserve">Theoretically, the constraint results show that performance in this chain is bounded at different points for different actors, which is an argument against treating the value chain as a single system with one binding constraint. Practically, they mean that an intervention budget spent uniformly across nodes will be largely wasted, and that the sequence in which interventions are attempted matters as much as their content.</w:t>
      </w:r>
    </w:p>
    <w:p>
      <w:pPr>
        <w:pStyle w:val="Heading2"/>
        <w:spacing w:after="140" w:before="280" w:line="360"/>
        <w:outlineLvl w:val="1"/>
      </w:pPr>
      <w:bookmarkStart w:id="52109" w:name="_Toc_109"/>
      <w:r>
        <w:rPr>
          <w:rFonts w:ascii="Times New Roman" w:cs="Times New Roman" w:eastAsia="Times New Roman" w:hAnsi="Times New Roman"/>
          <w:b/>
          <w:bCs/>
          <w:color w:val="000000"/>
          <w:sz w:val="26"/>
          <w:szCs w:val="26"/>
        </w:rPr>
        <w:t xml:space="preserve">5.5 Synthesis Using the Structure-Conduct-Performance Framework</w:t>
      </w:r>
      <w:bookmarkEnd w:id="52109"/>
    </w:p>
    <w:p>
      <w:pPr>
        <w:spacing w:after="120" w:before="0" w:line="360"/>
        <w:jc w:val="both"/>
      </w:pPr>
      <w:r>
        <w:rPr>
          <w:rFonts w:ascii="Times New Roman" w:cs="Times New Roman" w:eastAsia="Times New Roman" w:hAnsi="Times New Roman"/>
          <w:color w:val="000000"/>
          <w:sz w:val="24"/>
          <w:szCs w:val="24"/>
        </w:rPr>
        <w:t xml:space="preserve">Set against the structure-conduct-performance framework that guided this study, the three objectives describe a single system. The structure is concentrated at the point of first sale, and Table 41 puts a number on it: an HHI of 2,371 across the four BMUs and 8,580 at the tightest of them, with 76.9% of harvesters selling to a single buyer and 2.95 harvesters for every trader sampled. Many small, unorganised sellers face a smaller number of better-capitalised buyers; entry downstream requires licences, capital and buyer contacts that upstream actors do not have; and no collective body exists at any node to pool bargaining power.</w:t>
      </w:r>
    </w:p>
    <w:p>
      <w:pPr>
        <w:spacing w:after="120" w:before="0" w:line="360"/>
        <w:jc w:val="both"/>
      </w:pPr>
      <w:r>
        <w:rPr>
          <w:rFonts w:ascii="Times New Roman" w:cs="Times New Roman" w:eastAsia="Times New Roman" w:hAnsi="Times New Roman"/>
          <w:color w:val="000000"/>
          <w:sz w:val="24"/>
          <w:szCs w:val="24"/>
        </w:rPr>
        <w:t xml:space="preserve">Conduct follows from that structure. Buyers set prices and every fisher in the sample accepted them as fixed. Grading runs on a rule only the buyer fully controls. Credit advances tie sellers to particular buyers. Nobody conducts market research, so information travels through the same commercial relationships that set the prices in the first place.</w:t>
      </w:r>
    </w:p>
    <w:p>
      <w:pPr>
        <w:spacing w:after="120" w:before="0" w:line="360"/>
        <w:jc w:val="both"/>
      </w:pPr>
      <w:r>
        <w:rPr>
          <w:rFonts w:ascii="Times New Roman" w:cs="Times New Roman" w:eastAsia="Times New Roman" w:hAnsi="Times New Roman"/>
          <w:color w:val="000000"/>
          <w:sz w:val="24"/>
          <w:szCs w:val="24"/>
        </w:rPr>
        <w:t xml:space="preserve">Performance is what that structure and conduct would predict. Reported monthly income ran from KSh 8,969 among fishers to KSh 90,000 among exporters. The fisher’s share of the end-of-chain price ran between 27.5% and 39.6%, and the largest single share in every chain accrued at the node furthest from the water. The total marketing margin ran from 60.4% to 72.5% of the final price, and price dispersion was wide at the harvesting node and narrow after aggregation, a coefficient of variation of 31.8% against 6.8% for the large grade, which Green and Clark (2021) treat as a signature of weak integration at the first point of sale. Losses were reported everywhere and measured nowhere against a common standard. Value addition happened almost entirely downstream, and the actors doing it were the same ones defining the grades and setting the prices.</w:t>
      </w:r>
    </w:p>
    <w:p>
      <w:pPr>
        <w:spacing w:after="120" w:before="0" w:line="360"/>
        <w:jc w:val="both"/>
      </w:pPr>
      <w:r>
        <w:rPr>
          <w:rFonts w:ascii="Times New Roman" w:cs="Times New Roman" w:eastAsia="Times New Roman" w:hAnsi="Times New Roman"/>
          <w:color w:val="000000"/>
          <w:sz w:val="24"/>
          <w:szCs w:val="24"/>
        </w:rPr>
        <w:t xml:space="preserve">This has a practical edge. Interventions aimed only at production, better gear or bigger catches, are unlikely to shift how value is distributed here, because the binding constraint is not how many crabs come ashore but the terms on which they change hands. Three things decide those terms: the grading rule, whether a fisher has any independent price information, and the credit relationship. All three operate in the moment a fisher hands his catch to a first-level middleman.</w:t>
      </w:r>
    </w:p>
    <w:p>
      <w:pPr>
        <w:pStyle w:val="Heading2"/>
        <w:spacing w:after="140" w:before="280" w:line="360"/>
        <w:outlineLvl w:val="1"/>
      </w:pPr>
      <w:bookmarkStart w:id="52110" w:name="_Toc_110"/>
      <w:r>
        <w:rPr>
          <w:rFonts w:ascii="Times New Roman" w:cs="Times New Roman" w:eastAsia="Times New Roman" w:hAnsi="Times New Roman"/>
          <w:b/>
          <w:bCs/>
          <w:color w:val="000000"/>
          <w:sz w:val="26"/>
          <w:szCs w:val="26"/>
        </w:rPr>
        <w:t xml:space="preserve">5.6 What the Structure Measures Do and Do Not Capture</w:t>
      </w:r>
      <w:bookmarkEnd w:id="52110"/>
    </w:p>
    <w:p>
      <w:pPr>
        <w:spacing w:after="120" w:before="0" w:line="360"/>
        <w:jc w:val="both"/>
      </w:pPr>
      <w:r>
        <w:rPr>
          <w:rFonts w:ascii="Times New Roman" w:cs="Times New Roman" w:eastAsia="Times New Roman" w:hAnsi="Times New Roman"/>
          <w:color w:val="000000"/>
          <w:sz w:val="24"/>
          <w:szCs w:val="24"/>
        </w:rPr>
        <w:t xml:space="preserve">Three dimensions of market structure that the literature treats as standard cannot be computed here the way a transaction survey would compute them. Each has a counterpart these data do support, reported in Chapter Four, and setting out what each one is and is not measuring matters more than either claiming the full measure or leaving the gap unexplained.</w:t>
      </w:r>
    </w:p>
    <w:p>
      <w:pPr>
        <w:spacing w:after="120" w:before="0" w:line="360"/>
        <w:jc w:val="both"/>
      </w:pPr>
      <w:r>
        <w:rPr>
          <w:rFonts w:ascii="Times New Roman" w:cs="Times New Roman" w:eastAsia="Times New Roman" w:hAnsi="Times New Roman"/>
          <w:color w:val="000000"/>
          <w:sz w:val="24"/>
          <w:szCs w:val="24"/>
        </w:rPr>
        <w:t xml:space="preserve">Concentration is measured, but over harvesters rather than volume. A textbook concentration ratio needs a census of buyers and the quantity each handles, and the survey recorded neither. It did record where every fisher took his catch, so Table 41 reports concentration over buying points weighted by the share of harvesters attached to each. The result is unambiguous: an HHI of 2,371 across the four BMUs and 8,580 at Majoreni, where the numbers-equivalent of 1.17 outlets means the harvesters there face what is in practice a single buying point. Every BMU exceeds the 2,500 mark conventionally treated as high concentration. What these figures cannot say is how much crab passes through each point, so a buyer many fishers name but that takes little from each is overweighted. A volume-weighted index remains out of reach.</w:t>
      </w:r>
    </w:p>
    <w:p>
      <w:pPr>
        <w:spacing w:after="120" w:before="0" w:line="360"/>
        <w:jc w:val="both"/>
      </w:pPr>
      <w:r>
        <w:rPr>
          <w:rFonts w:ascii="Times New Roman" w:cs="Times New Roman" w:eastAsia="Times New Roman" w:hAnsi="Times New Roman"/>
          <w:color w:val="000000"/>
          <w:sz w:val="24"/>
          <w:szCs w:val="24"/>
        </w:rPr>
        <w:t xml:space="preserve">Margins are measured gross, and net of one cost. Table 43 reports the gross marketing margin at each node, the total marketing margin, which ran from 60.4% to 72.5% of the final price depending on the chain, and the producer’s share, which ran from 27.5% to 39.6%. The survey priced no transport, holding, ice, packaging or cost of capital, so none of these is a profit. It did measure physical mortality, and carrying that through cuts the producer’s share by roughly a tenth, to between 24.6% and 35.5%. A net margin in the accounting sense would still require the cost side of every transaction, which this instrument did not collect.</w:t>
      </w:r>
    </w:p>
    <w:p>
      <w:pPr>
        <w:spacing w:after="120" w:before="0" w:line="360"/>
        <w:jc w:val="both"/>
      </w:pPr>
      <w:r>
        <w:rPr>
          <w:rFonts w:ascii="Times New Roman" w:cs="Times New Roman" w:eastAsia="Times New Roman" w:hAnsi="Times New Roman"/>
          <w:color w:val="000000"/>
          <w:sz w:val="24"/>
          <w:szCs w:val="24"/>
        </w:rPr>
        <w:t xml:space="preserve">Efficiency is approached through dispersion rather than cost. A full efficiency measure weighs the value added at a node against the cost of the services performed there, and again the cost side is missing. Two indicators that do not need it are reported in Table 44. Price dispersion falls steadily down the chain, from a coefficient of variation of 31.8% among fishers to 14.9% among middlemen and 6.8% among exporters for the large grade, which says that price uncertainty is carried almost entirely at the harvesting node. Price transmission, the share of the local middleman price reaching the fisher, ran from 53.6% at Vanga to 91.7% at Majoreni. Both bear directly on how well the market moves information and value, without pretending to be a cost-based efficiency ratio.</w:t>
      </w:r>
    </w:p>
    <w:p>
      <w:pPr>
        <w:spacing w:after="120" w:before="0" w:line="360"/>
        <w:jc w:val="both"/>
      </w:pPr>
      <w:r>
        <w:rPr>
          <w:rFonts w:ascii="Times New Roman" w:cs="Times New Roman" w:eastAsia="Times New Roman" w:hAnsi="Times New Roman"/>
          <w:color w:val="000000"/>
          <w:sz w:val="24"/>
          <w:szCs w:val="24"/>
        </w:rPr>
        <w:t xml:space="preserve">What remains genuinely unmeasured is narrower than it first appears: the volume behind each transaction, and the costs each actor carries. Both follow from an instrument designed as an actor inventory rather than a transaction survey, which is the right design for Objectives One and Three and a limiting one for the value-distribution part of Objective Two. Section 6.5 sets out the data collection that would close them.</w:t>
      </w:r>
    </w:p>
    <w:p>
      <w:pPr>
        <w:pStyle w:val="Heading2"/>
        <w:spacing w:after="140" w:before="280" w:line="360"/>
        <w:outlineLvl w:val="1"/>
      </w:pPr>
      <w:bookmarkStart w:id="52111" w:name="_Toc_111"/>
      <w:r>
        <w:rPr>
          <w:rFonts w:ascii="Times New Roman" w:cs="Times New Roman" w:eastAsia="Times New Roman" w:hAnsi="Times New Roman"/>
          <w:b/>
          <w:bCs/>
          <w:color w:val="000000"/>
          <w:sz w:val="26"/>
          <w:szCs w:val="26"/>
        </w:rPr>
        <w:t xml:space="preserve">5.7 Study Limitations</w:t>
      </w:r>
      <w:bookmarkEnd w:id="52111"/>
    </w:p>
    <w:p>
      <w:pPr>
        <w:spacing w:after="120" w:before="0" w:line="360"/>
        <w:jc w:val="both"/>
      </w:pPr>
      <w:r>
        <w:rPr>
          <w:rFonts w:ascii="Times New Roman" w:cs="Times New Roman" w:eastAsia="Times New Roman" w:hAnsi="Times New Roman"/>
          <w:color w:val="000000"/>
          <w:sz w:val="24"/>
          <w:szCs w:val="24"/>
        </w:rPr>
        <w:t xml:space="preserve">The sample was not fully probabilistic. Reliable lists were unavailable for middlemen, hoteliers and exporters, so referral and convenience procedures were used downstream, and the findings describe the respondents reached rather than population estimates for all Kwale County mud crab actors. The achieved fisher sample of 65 fell short of the calculated target of 83, a coverage rate of 78.3%, and the 18 fishers not reached may differ from those interviewed.</w:t>
      </w:r>
    </w:p>
    <w:p>
      <w:pPr>
        <w:spacing w:after="120" w:before="0" w:line="360"/>
        <w:jc w:val="both"/>
      </w:pPr>
      <w:r>
        <w:rPr>
          <w:rFonts w:ascii="Times New Roman" w:cs="Times New Roman" w:eastAsia="Times New Roman" w:hAnsi="Times New Roman"/>
          <w:color w:val="000000"/>
          <w:sz w:val="24"/>
          <w:szCs w:val="24"/>
        </w:rPr>
        <w:t xml:space="preserve">Snowball sampling may over-represent actors with stronger trading connections and under-represent isolated or informal operators, so the middleman and exporter findings in particular should be read with that in mind. Only five hoteliers and four exporters were sampled, no middleman was sampled at Msambweni, and only three fishers were interviewed there, which limits site-level precision.</w:t>
      </w:r>
    </w:p>
    <w:p>
      <w:pPr>
        <w:spacing w:after="120" w:before="0" w:line="360"/>
        <w:jc w:val="both"/>
      </w:pPr>
      <w:r>
        <w:rPr>
          <w:rFonts w:ascii="Times New Roman" w:cs="Times New Roman" w:eastAsia="Times New Roman" w:hAnsi="Times New Roman"/>
          <w:color w:val="000000"/>
          <w:sz w:val="24"/>
          <w:szCs w:val="24"/>
        </w:rPr>
        <w:t xml:space="preserve">The design was cross-sectional and covered a single survey period, so seasonal variation in price, catch and mortality is not captured and no causal direction can be established. Prices, income and losses were self-reported and were not verified against transaction records. Sixty-eight categorical tests were run without a correction for multiple comparisons, so associations with probabilities close to .05 should be treated as exploratory. Finally, the survey did not collect the transaction-level cost, volume and mortality data needed to convert gross price differences into net margins, which is why this study describes how value is distributed but not how profit is distributed.</w:t>
      </w:r>
    </w:p>
    <w:p>
      <w:pPr>
        <w:pStyle w:val="Heading1"/>
        <w:pageBreakBefore/>
        <w:spacing w:after="240" w:before="240" w:line="360"/>
        <w:jc w:val="center"/>
        <w:outlineLvl w:val="0"/>
      </w:pPr>
      <w:bookmarkStart w:id="52112" w:name="_Toc_112"/>
      <w:r>
        <w:rPr>
          <w:rFonts w:ascii="Times New Roman" w:cs="Times New Roman" w:eastAsia="Times New Roman" w:hAnsi="Times New Roman"/>
          <w:b/>
          <w:bCs/>
          <w:color w:val="000000"/>
          <w:sz w:val="28"/>
          <w:szCs w:val="28"/>
        </w:rPr>
        <w:t xml:space="preserve">CHAPTER SIX: CONCLUSIONS AND RECOMMENDATIONS</w:t>
      </w:r>
      <w:bookmarkEnd w:id="52112"/>
    </w:p>
    <w:p>
      <w:pPr>
        <w:pStyle w:val="Heading2"/>
        <w:spacing w:after="140" w:before="280" w:line="360"/>
        <w:outlineLvl w:val="1"/>
      </w:pPr>
      <w:bookmarkStart w:id="52113" w:name="_Toc_113"/>
      <w:r>
        <w:rPr>
          <w:rFonts w:ascii="Times New Roman" w:cs="Times New Roman" w:eastAsia="Times New Roman" w:hAnsi="Times New Roman"/>
          <w:b/>
          <w:bCs/>
          <w:color w:val="000000"/>
          <w:sz w:val="26"/>
          <w:szCs w:val="26"/>
        </w:rPr>
        <w:t xml:space="preserve">6.1 Introduction</w:t>
      </w:r>
      <w:bookmarkEnd w:id="52113"/>
    </w:p>
    <w:p>
      <w:pPr>
        <w:spacing w:after="120" w:before="0" w:line="360"/>
        <w:jc w:val="both"/>
      </w:pPr>
      <w:r>
        <w:rPr>
          <w:rFonts w:ascii="Times New Roman" w:cs="Times New Roman" w:eastAsia="Times New Roman" w:hAnsi="Times New Roman"/>
          <w:color w:val="000000"/>
          <w:sz w:val="24"/>
          <w:szCs w:val="24"/>
        </w:rPr>
        <w:t xml:space="preserve">This chapter draws conclusions from the three objectives and sets out recommendations. Each recommendation names the problem identified in Chapter Four, the evidence behind it, the body best placed to act and the outcome that would show it had worked. Recommendations that the data cannot support are not made.</w:t>
      </w:r>
    </w:p>
    <w:p>
      <w:pPr>
        <w:pStyle w:val="Heading2"/>
        <w:spacing w:after="140" w:before="280" w:line="360"/>
        <w:outlineLvl w:val="1"/>
      </w:pPr>
      <w:bookmarkStart w:id="52114" w:name="_Toc_114"/>
      <w:r>
        <w:rPr>
          <w:rFonts w:ascii="Times New Roman" w:cs="Times New Roman" w:eastAsia="Times New Roman" w:hAnsi="Times New Roman"/>
          <w:b/>
          <w:bCs/>
          <w:color w:val="000000"/>
          <w:sz w:val="26"/>
          <w:szCs w:val="26"/>
        </w:rPr>
        <w:t xml:space="preserve">6.2 Conclusions</w:t>
      </w:r>
      <w:bookmarkEnd w:id="52114"/>
    </w:p>
    <w:p>
      <w:pPr>
        <w:pStyle w:val="Heading3"/>
        <w:spacing w:after="120" w:before="240" w:line="360"/>
        <w:outlineLvl w:val="2"/>
      </w:pPr>
      <w:bookmarkStart w:id="52115" w:name="_Toc_115"/>
      <w:r>
        <w:rPr>
          <w:rFonts w:ascii="Times New Roman" w:cs="Times New Roman" w:eastAsia="Times New Roman" w:hAnsi="Times New Roman"/>
          <w:b/>
          <w:bCs/>
          <w:color w:val="000000"/>
          <w:sz w:val="24"/>
          <w:szCs w:val="24"/>
        </w:rPr>
        <w:t xml:space="preserve">6.2.1 Conclusion for Objective One</w:t>
      </w:r>
      <w:bookmarkEnd w:id="52115"/>
    </w:p>
    <w:p>
      <w:pPr>
        <w:spacing w:after="120" w:before="0" w:line="360"/>
        <w:jc w:val="both"/>
      </w:pPr>
      <w:r>
        <w:rPr>
          <w:rFonts w:ascii="Times New Roman" w:cs="Times New Roman" w:eastAsia="Times New Roman" w:hAnsi="Times New Roman"/>
          <w:color w:val="000000"/>
          <w:sz w:val="24"/>
          <w:szCs w:val="24"/>
        </w:rPr>
        <w:t xml:space="preserve">The four actor categories differ systematically and in the same direction on almost every characteristic measured. Fishers are younger, schooled to primary level or below, small-scale, minimally licensed, untrained and un-diversified, and they borrow from the same middlemen who buy from them. Middlemen are older, far more experienced and better capitalised. Hoteliers and exporters are formally qualified, fully licensed and operating at a scale upstream actors do not reach. No respondent in any category belonged to a cooperative, an association or a self-help group. Study site mattered for the age of the fishing population, for marital status and for training, but the larger and more consistent differences were between actor categories.</w:t>
      </w:r>
    </w:p>
    <w:p>
      <w:pPr>
        <w:pStyle w:val="Heading3"/>
        <w:spacing w:after="120" w:before="240" w:line="360"/>
        <w:outlineLvl w:val="2"/>
      </w:pPr>
      <w:bookmarkStart w:id="52116" w:name="_Toc_116"/>
      <w:r>
        <w:rPr>
          <w:rFonts w:ascii="Times New Roman" w:cs="Times New Roman" w:eastAsia="Times New Roman" w:hAnsi="Times New Roman"/>
          <w:b/>
          <w:bCs/>
          <w:color w:val="000000"/>
          <w:sz w:val="24"/>
          <w:szCs w:val="24"/>
        </w:rPr>
        <w:t xml:space="preserve">6.2.2 Conclusion for Objective Two</w:t>
      </w:r>
      <w:bookmarkEnd w:id="52116"/>
    </w:p>
    <w:p>
      <w:pPr>
        <w:spacing w:after="120" w:before="0" w:line="360"/>
        <w:jc w:val="both"/>
      </w:pPr>
      <w:r>
        <w:rPr>
          <w:rFonts w:ascii="Times New Roman" w:cs="Times New Roman" w:eastAsia="Times New Roman" w:hAnsi="Times New Roman"/>
          <w:color w:val="000000"/>
          <w:sz w:val="24"/>
          <w:szCs w:val="24"/>
        </w:rPr>
        <w:t xml:space="preserve">The chain runs as a clear functional sequence from harvesting through aggregation to processing and export, and the information used to assign value is concentrated downstream. Fishers graded on weight alone while every other category used a four-criterion rule; formal quality control and contact with the final buyer sat entirely downstream. Reported prices rose significantly at each node. Expressed as shares of the price the crab eventually fetched, the fisher retained between 27.5% and 39.6%, the middleman added between 15.5% and 20.0%, and between 44.4% and 57.0% was added at the final buyer. The size of the first-sale gap was set locally: Majoreni fishers held 91.7% of the middleman price for large crabs where Shimoni and Vanga fishers held close to 54%, and that difference came from variation in what fishers were paid rather than from what traders charged. What determines the price of a crab in this fishery is position in the chain, control of the grading rule and access to alternative buyers, not harvesting effort.</w:t>
      </w:r>
    </w:p>
    <w:p>
      <w:pPr>
        <w:pStyle w:val="Heading3"/>
        <w:spacing w:after="120" w:before="240" w:line="360"/>
        <w:outlineLvl w:val="2"/>
      </w:pPr>
      <w:bookmarkStart w:id="52117" w:name="_Toc_117"/>
      <w:r>
        <w:rPr>
          <w:rFonts w:ascii="Times New Roman" w:cs="Times New Roman" w:eastAsia="Times New Roman" w:hAnsi="Times New Roman"/>
          <w:b/>
          <w:bCs/>
          <w:color w:val="000000"/>
          <w:sz w:val="24"/>
          <w:szCs w:val="24"/>
        </w:rPr>
        <w:t xml:space="preserve">6.2.3 Conclusion for Objective Three</w:t>
      </w:r>
      <w:bookmarkEnd w:id="52117"/>
    </w:p>
    <w:p>
      <w:pPr>
        <w:spacing w:after="120" w:before="0" w:line="360"/>
        <w:jc w:val="both"/>
      </w:pPr>
      <w:r>
        <w:rPr>
          <w:rFonts w:ascii="Times New Roman" w:cs="Times New Roman" w:eastAsia="Times New Roman" w:hAnsi="Times New Roman"/>
          <w:color w:val="000000"/>
          <w:sz w:val="24"/>
          <w:szCs w:val="24"/>
        </w:rPr>
        <w:t xml:space="preserve">Constraints arise at different points in the chain and follow the work each actor does: unstable prices and poor roads for fishers, mortality and inadequate aggregation facilities for middlemen, seasonality for hoteliers, freight cost and flight risk for exporters. Barriers to market access were close to universal, no actor had adopted new equipment or conducted market research, and most respondents regarded the market as poorly structured. Management-plan awareness reached traders and exporters while missing fishers and hoteliers. Improvement therefore requires coordinated but actor-specific measures rather than one intervention applied uniformly across all nodes.</w:t>
      </w:r>
    </w:p>
    <w:p>
      <w:pPr>
        <w:pStyle w:val="Heading2"/>
        <w:spacing w:after="140" w:before="280" w:line="360"/>
        <w:outlineLvl w:val="1"/>
      </w:pPr>
      <w:bookmarkStart w:id="52118" w:name="_Toc_118"/>
      <w:r>
        <w:rPr>
          <w:rFonts w:ascii="Times New Roman" w:cs="Times New Roman" w:eastAsia="Times New Roman" w:hAnsi="Times New Roman"/>
          <w:b/>
          <w:bCs/>
          <w:color w:val="000000"/>
          <w:sz w:val="26"/>
          <w:szCs w:val="26"/>
        </w:rPr>
        <w:t xml:space="preserve">6.3 Overall Conclusion</w:t>
      </w:r>
      <w:bookmarkEnd w:id="52118"/>
    </w:p>
    <w:p>
      <w:pPr>
        <w:spacing w:after="120" w:before="0" w:line="360"/>
        <w:jc w:val="both"/>
      </w:pPr>
      <w:r>
        <w:rPr>
          <w:rFonts w:ascii="Times New Roman" w:cs="Times New Roman" w:eastAsia="Times New Roman" w:hAnsi="Times New Roman"/>
          <w:color w:val="000000"/>
          <w:sz w:val="24"/>
          <w:szCs w:val="24"/>
        </w:rPr>
        <w:t xml:space="preserve">The South Coast mud crab market is commercially active and institutionally uneven. Fishers supply the product with almost no institutional support behind them, while middlemen and downstream actors hold the grading, the logistics and the connection to high-value buyers. Study site matters for the age of the fishing population, for the words used to describe grades, for the price fishers receive and for the constraint middlemen name, but the larger and steadier divide runs between market nodes rather than between places. Improvement should start where the terms of exchange are set: a shared grading standard, a price record that is reliable and public, better live-crab handling, infrastructure aimed at both ends of the chain, licensing people can actually obtain, and communication that reaches harvesters as dependably as it now reaches traders.</w:t>
      </w:r>
    </w:p>
    <w:p>
      <w:pPr>
        <w:pStyle w:val="Heading2"/>
        <w:spacing w:after="140" w:before="280" w:line="360"/>
        <w:outlineLvl w:val="1"/>
      </w:pPr>
      <w:bookmarkStart w:id="52119" w:name="_Toc_119"/>
      <w:r>
        <w:rPr>
          <w:rFonts w:ascii="Times New Roman" w:cs="Times New Roman" w:eastAsia="Times New Roman" w:hAnsi="Times New Roman"/>
          <w:b/>
          <w:bCs/>
          <w:color w:val="000000"/>
          <w:sz w:val="26"/>
          <w:szCs w:val="26"/>
        </w:rPr>
        <w:t xml:space="preserve">6.4 Recommendations</w:t>
      </w:r>
      <w:bookmarkEnd w:id="52119"/>
    </w:p>
    <w:p>
      <w:pPr>
        <w:spacing w:after="120" w:before="0" w:line="360"/>
        <w:jc w:val="both"/>
      </w:pPr>
      <w:r>
        <w:rPr>
          <w:rFonts w:ascii="Times New Roman" w:cs="Times New Roman" w:eastAsia="Times New Roman" w:hAnsi="Times New Roman"/>
          <w:color w:val="000000"/>
          <w:sz w:val="24"/>
          <w:szCs w:val="24"/>
        </w:rPr>
        <w:t xml:space="preserve">Each recommendation below states the problem, the evidence from Chapter Four, the actor responsible and the outcome that would demonstrate success.</w:t>
      </w:r>
    </w:p>
    <w:p>
      <w:pPr>
        <w:pStyle w:val="Heading3"/>
        <w:spacing w:after="120" w:before="240" w:line="360"/>
        <w:outlineLvl w:val="2"/>
      </w:pPr>
      <w:bookmarkStart w:id="52120" w:name="_Toc_120"/>
      <w:r>
        <w:rPr>
          <w:rFonts w:ascii="Times New Roman" w:cs="Times New Roman" w:eastAsia="Times New Roman" w:hAnsi="Times New Roman"/>
          <w:b/>
          <w:bCs/>
          <w:color w:val="000000"/>
          <w:sz w:val="24"/>
          <w:szCs w:val="24"/>
        </w:rPr>
        <w:t xml:space="preserve">6.4.1 Recommendations From Objective One</w:t>
      </w:r>
      <w:bookmarkEnd w:id="52120"/>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upstream actors are largely outside the formal system. Evidence: 12.5% of fishers and 27.3% of middlemen held an operating licence, against every hotelier and exporter. Action: the county fisheries department and BMU committees should run registration and licensing clinics at Shimoni, Majoreni, Vanga and Msambweni, explaining fees, documents, benefits and renewal in plain language and helping applicants complete the forms on the day. Expected outcome: licensed fisher and middleman numbers rise measurably at the four sites within two licensing cycles.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fishers depend on their buyers for working capital. Evidence: no fisher used a formal loan, yet 93.8% named a middleman as their main source of credit, and 38.5% were paid at least partly on credit by the buyer purchasing from them. Action: financial institutions, development partners and buyers should separate formal working-capital lending from buyer advances, and any advance should carry written terms stating amount, repayment method, duration, any deduction and whether exclusive supply is a condition. Expected outcome: fishers can state the terms of their own credit, and the share reporting a middleman as their only source of capital falls.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no collective body exists at any node. Evidence: 0 of 96 respondents belonged to a cooperative, an association or a self-help group. Action: BMUs and the county should support voluntary groups that start from one concrete service, such as a shared price register, a savings facility or bulk purchase of containers, with accountable leadership and records open to members. Expected outcome: at least one functioning group per BMU that members can name a benefit from after twelve months.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training does not reach harvesters. Evidence: 7.7% of fishers had received formal mud crab training, and training differed significantly across sites, χ²(3, N = 63) = 8.48, p = .035. Action: extension officers should deliver practical BMU-level training in grading, live-crab handling, record keeping, simple cost calculation and buyer negotiation, pitched to the younger fisher profile at Shimoni and the older profile at Majoreni. Expected outcome: measurable improvement in grading accuracy and reported handling practice at the trained sites.</w:t>
      </w:r>
    </w:p>
    <w:p>
      <w:pPr>
        <w:pStyle w:val="ListParagraph"/>
        <w:numPr>
          <w:ilvl w:val="0"/>
          <w:numId w:val="21"/>
        </w:numPr>
        <w:spacing w:after="100" w:line="360"/>
        <w:jc w:val="both"/>
      </w:pPr>
      <w:r>
        <w:rPr>
          <w:rFonts w:ascii="Times New Roman" w:cs="Times New Roman" w:eastAsia="Times New Roman" w:hAnsi="Times New Roman"/>
          <w:color w:val="000000"/>
          <w:sz w:val="24"/>
          <w:szCs w:val="24"/>
        </w:rPr>
        <w:t xml:space="preserve">Problem: women and young people are invisible in the evidence base. Evidence: 95 of 96 respondents were men and the sampling frame drew on landing-site registers. Action: future actor mapping by the county and by researchers should deliberately include processing, hospitality procurement, retail and crab fattening, and safeguarding procedures are required wherever respondents younger than 18 participate in harvesting. Expected outcome: a Kwale actor register that records the nodes where women work, and a stated safeguarding policy covering minors in the fishery.</w:t>
      </w:r>
    </w:p>
    <w:p>
      <w:pPr>
        <w:pStyle w:val="Heading3"/>
        <w:spacing w:after="120" w:before="240" w:line="360"/>
        <w:outlineLvl w:val="2"/>
      </w:pPr>
      <w:bookmarkStart w:id="52121" w:name="_Toc_121"/>
      <w:r>
        <w:rPr>
          <w:rFonts w:ascii="Times New Roman" w:cs="Times New Roman" w:eastAsia="Times New Roman" w:hAnsi="Times New Roman"/>
          <w:b/>
          <w:bCs/>
          <w:color w:val="000000"/>
          <w:sz w:val="24"/>
          <w:szCs w:val="24"/>
        </w:rPr>
        <w:t xml:space="preserve">6.4.2 Recommendations From Objective Two</w:t>
      </w:r>
      <w:bookmarkEnd w:id="52121"/>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fishers cannot verify the grade they are offered. Evidence: all 65 fishers graded on weight alone while 95.5% of middlemen and every hotelier and exporter used size, weight, shell condition and claw size. Action: BMUs, fisheries officers and buyers should agree one grading sheet for Grades A, B and C giving weight ranges and visible quality criteria, displayed at the point of sale with the price offered for each grade, and taught with sample crabs. Expected outcome: fishers and buyers describe the same crab with the same grade, and the share of fishers recording mixed grades falls from the current 23.1% for large crabs.</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grading vocabulary is not shared across sites. Evidence: large-crab and small-crab size labels differed significantly across sites among fishers, χ²(3, N = 63) = 16.87, p = .001 and χ²(3, N = 63) = 15.96, p = .002, with 44.0% of Shimoni fishers using mixed labels. Action: the same grading terms should be adopted across all four BMUs rather than left to local usage. Expected outcome: site differences in label use narrow at the next survey round.</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fishers have no independent price reference. Evidence: every fisher described the price as fixed by the buyer, no actor conducted market research, and fisher large-crab prices ranged from KSh 535.7 at Vanga to KSh 785.7 at Majoreni, a spread of 47%. Action: each BMU should keep a weekly price register by grade, buyer and site, publishing the median and the observed range rather than a guaranteed price. Expected outcome: dispersion in first-sale prices across sites narrows, and fishers can quote a reference price when negotiating.</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value is realised where the harvester cannot reach. Evidence: the fisher retained 27.5% to 39.6% of the end-of-chain price while 44.4% to 57.0% was added at the final buyer. Action: BMUs and the county should test one direct-supply arrangement between an organised fisher group and a hotel or exporter, with agreed grades, volumes and payment terms. Expected outcome: participating fishers receive a measurably higher share of the end price than the site baseline recorded here.</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live-crab losses are carried but not measured. Evidence: fishers reported 0.5 to 1 kg of daily mortality, 95.5% of middlemen reported 4 to 5 kg, and no actor kept records against a common standard. Action: BMUs should pilot aggregation and live-holding facilities with shade, ventilation, secure reusable containers, safe loading space and a simple mortality log, and should test reusable ventilated containers against sacks under normal trading conditions. Expected outcome: recorded mortality per consignment falls and the container trial produces a cost per kilogram saved.</w:t>
      </w:r>
    </w:p>
    <w:p>
      <w:pPr>
        <w:pStyle w:val="ListParagraph"/>
        <w:numPr>
          <w:ilvl w:val="0"/>
          <w:numId w:val="22"/>
        </w:numPr>
        <w:spacing w:after="100" w:line="360"/>
        <w:jc w:val="both"/>
      </w:pPr>
      <w:r>
        <w:rPr>
          <w:rFonts w:ascii="Times New Roman" w:cs="Times New Roman" w:eastAsia="Times New Roman" w:hAnsi="Times New Roman"/>
          <w:color w:val="000000"/>
          <w:sz w:val="24"/>
          <w:szCs w:val="24"/>
        </w:rPr>
        <w:t xml:space="preserve">Problem: five hotelier medium-grade price records are inconsistent with every other node. Evidence: a hotelier mean of KSh 380.0 per kilogram sits below the fisher price for the same grade and far below the same respondents’ large-crab mean of KSh 2,200.0. Action: the candidate should check these five records against the original questionnaires and field notes to confirm unit, product form and transaction context. Expected outcome: the records are either corrected or confirmed, and the basis of the hospitality price is documented before any value-addition estimate uses it.</w:t>
      </w:r>
    </w:p>
    <w:p>
      <w:pPr>
        <w:pStyle w:val="Heading3"/>
        <w:spacing w:after="120" w:before="240" w:line="360"/>
        <w:outlineLvl w:val="2"/>
      </w:pPr>
      <w:bookmarkStart w:id="52122" w:name="_Toc_122"/>
      <w:r>
        <w:rPr>
          <w:rFonts w:ascii="Times New Roman" w:cs="Times New Roman" w:eastAsia="Times New Roman" w:hAnsi="Times New Roman"/>
          <w:b/>
          <w:bCs/>
          <w:color w:val="000000"/>
          <w:sz w:val="24"/>
          <w:szCs w:val="24"/>
        </w:rPr>
        <w:t xml:space="preserve">6.4.3 Recommendations From Objective Three</w:t>
      </w:r>
      <w:bookmarkEnd w:id="52122"/>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infrastructure constraints differ by node. Evidence: 98.5% of fishers named poor roads while 90.9% of middlemen named the lack of aggregation facilities. Action: the county should prepare one actor-specific infrastructure plan covering access routes and landing facilities for fishers, aggregation and holding facilities for middlemen, demand coordination for hotels and freight-risk planning for exporters. Expected outcome: a costed plan in which each investment names the actor category it serves and the constraint it removes.</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management information reaches traders and misses harvesters. Evidence: 95.5% of middlemen and every exporter knew of a crab fishery management plan, against 15.4% of fishers and no hotelier. Action: BMUs and fisheries officers should target management-plan communication at fishers and hoteliers first, record who received it and check understanding rather than counting attendance. Expected outcome: fisher awareness rises substantially above the current 15.4% at the next survey round.</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price instability is the dominant complaint but an administered price is not supportable. Evidence: price fluctuation was the main constraint for 90.8% of fishers and half the middlemen, while 95.5% of middlemen named price stability as their priority. Action: county and national agencies should address stability through reliable information, consistent grading, predictable payment terms and buyer competition rather than a guaranteed price, which these data do not support and which no institution in the chain could currently enforce. Expected outcome: reported price uncertainty falls without an administered price being introduced.</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diversification is named as an opportunity but is untested. Evidence: diversification was the only risk-management method reported by fishers, middlemen and hoteliers, yet no respondent had adopted an innovative response and most fishers rated diversification potential negative or unexplored. Action: development partners and the county should run small, costed diversification pilots such as crab fattening, each linked to a confirmed buyer, with participation terms and cost-sharing agreed before investment. Expected outcome: each pilot reports survival, feed and labour costs and a realised price, so the next round can be judged on evidence.</w:t>
      </w:r>
    </w:p>
    <w:p>
      <w:pPr>
        <w:pStyle w:val="ListParagraph"/>
        <w:numPr>
          <w:ilvl w:val="0"/>
          <w:numId w:val="23"/>
        </w:numPr>
        <w:spacing w:after="100" w:line="360"/>
        <w:jc w:val="both"/>
      </w:pPr>
      <w:r>
        <w:rPr>
          <w:rFonts w:ascii="Times New Roman" w:cs="Times New Roman" w:eastAsia="Times New Roman" w:hAnsi="Times New Roman"/>
          <w:color w:val="000000"/>
          <w:sz w:val="24"/>
          <w:szCs w:val="24"/>
        </w:rPr>
        <w:t xml:space="preserve">Problem: youth participation is rated low across the chain while minors work in harvesting. Evidence: every respondent expressing a view rated youth involvement low or very low, yet 53.8% of fishers were aged 18 to 35 and four were under 18. Action: county youth and fisheries programmes should combine technical training with supervised market access, savings or credit and mentorship, define youth participation explicitly in any monitoring tool, and include safeguards for minors. Expected outcome: a defined youth participation measure is reported at the next survey and safeguarding cases are handled under a stated procedure.</w:t>
      </w:r>
    </w:p>
    <w:p>
      <w:pPr>
        <w:pStyle w:val="Heading2"/>
        <w:spacing w:after="140" w:before="280" w:line="360"/>
        <w:outlineLvl w:val="1"/>
      </w:pPr>
      <w:bookmarkStart w:id="52123" w:name="_Toc_123"/>
      <w:r>
        <w:rPr>
          <w:rFonts w:ascii="Times New Roman" w:cs="Times New Roman" w:eastAsia="Times New Roman" w:hAnsi="Times New Roman"/>
          <w:b/>
          <w:bCs/>
          <w:color w:val="000000"/>
          <w:sz w:val="26"/>
          <w:szCs w:val="26"/>
        </w:rPr>
        <w:t xml:space="preserve">6.5 Recommendations for Further Research</w:t>
      </w:r>
      <w:bookmarkEnd w:id="52123"/>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Collect transaction-level price, quantity, grade, cost and mortality data across high and low seasons so that net marketing margins can be estimated rather than the gross price spreads reported here. This is the single most important gap in the present study.</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Repeat the survey with probability sampling wherever reliable actor lists can be built, ensuring that each target BMU contributes both fisher and middleman observations so that site comparisons rest on comparable samples.</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Oversample hoteliers, exporters, women and young people so that downstream functions and under-represented participants can be analysed with the precision the present sample does not allow.</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Measure buyer concentration and onward destination at transaction level, which would separate the two explanations offered here for the narrow first-sale gap recorded at Majoreni.</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Use qualitative interviews to clarify buyer advances, loan terms, tied-supply relationships, grading disputes and the reasons actors regard the market as poorly structured.</w:t>
      </w:r>
    </w:p>
    <w:p>
      <w:pPr>
        <w:pStyle w:val="ListParagraph"/>
        <w:numPr>
          <w:ilvl w:val="0"/>
          <w:numId w:val="24"/>
        </w:numPr>
        <w:spacing w:after="100" w:line="360"/>
        <w:jc w:val="both"/>
      </w:pPr>
      <w:r>
        <w:rPr>
          <w:rFonts w:ascii="Times New Roman" w:cs="Times New Roman" w:eastAsia="Times New Roman" w:hAnsi="Times New Roman"/>
          <w:color w:val="000000"/>
          <w:sz w:val="24"/>
          <w:szCs w:val="24"/>
        </w:rPr>
        <w:t xml:space="preserve">Evaluate the price-register, grading-sheet and container pilots recommended in Section 6.4 with before-and-after measures of price dispersion, mortality and fisher bargaining outcomes, treating them as interventions to be tested rather than improvements to be assumed.</w:t>
      </w:r>
    </w:p>
    <w:p w14:paraId="7EA2968C" w14:textId="77777777" w:rsidR="00221112" w:rsidRPr="00DE5E47" w:rsidRDefault="00C14051">
      <w:pPr>
        <w:pStyle w:val="Heading1"/>
        <w:spacing w:line="480" w:lineRule="auto"/>
        <w:jc w:val="both"/>
        <w:outlineLvl w:val="0"/>
        <w:rPr>
          <w:rFonts w:eastAsia="Times New Roman" w:cs="Times New Roman"/>
          <w:szCs w:val="24"/>
        </w:rPr>
      </w:pPr>
      <w:bookmarkStart w:id="52124" w:name="_Toc_124"/>
      <w:bookmarkStart w:id="262" w:name="_Toc240214163"/>
      <w:bookmarkStart w:id="263" w:name="_Toc241432303"/>
      <w:r w:rsidRPr="00DE5E47">
        <w:rPr>
          <w:rFonts w:eastAsia="Times New Roman" w:cs="Times New Roman"/>
          <w:szCs w:val="24"/>
        </w:rPr>
        <w:t>REFERENCES</w:t>
      </w:r>
      <w:bookmarkEnd w:id="165"/>
      <w:bookmarkEnd w:id="262"/>
      <w:bookmarkEnd w:id="263"/>
      <w:bookmarkEnd w:id="52124"/>
    </w:p>
    <w:p w14:paraId="1B603EB4" w14:textId="77777777" w:rsidR="00221112" w:rsidRPr="00DE5E47" w:rsidRDefault="00221112">
      <w:pPr>
        <w:pStyle w:val="NormalWeb"/>
        <w:spacing w:line="480" w:lineRule="auto"/>
        <w:jc w:val="both"/>
        <w:rPr>
          <w:rFonts w:eastAsia="Calibri"/>
        </w:rPr>
      </w:pPr>
    </w:p>
    <w:p w14:paraId="56524CF1" w14:textId="77777777" w:rsidR="00221112" w:rsidRDefault="00221112">
      <w:pPr>
        <w:pStyle w:val="NormalWeb"/>
        <w:spacing w:line="480" w:lineRule="auto"/>
        <w:jc w:val="both"/>
      </w:pPr>
    </w:p>
    <w:p w14:paraId="2E5E9351" w14:textId="77777777" w:rsidR="00DE5E47" w:rsidRDefault="00DE5E47">
      <w:pPr>
        <w:pStyle w:val="NormalWeb"/>
        <w:spacing w:line="480" w:lineRule="auto"/>
        <w:jc w:val="both"/>
      </w:pPr>
    </w:p>
    <w:p w14:paraId="7D465520" w14:textId="77777777" w:rsidR="00DE5E47" w:rsidRDefault="00DE5E47">
      <w:pPr>
        <w:pStyle w:val="NormalWeb"/>
        <w:spacing w:line="480" w:lineRule="auto"/>
        <w:jc w:val="both"/>
      </w:pPr>
    </w:p>
    <w:p w14:paraId="0E3CB081" w14:textId="77777777" w:rsidR="00DE5E47" w:rsidRDefault="00DE5E47">
      <w:pPr>
        <w:pStyle w:val="NormalWeb"/>
        <w:spacing w:line="480" w:lineRule="auto"/>
        <w:jc w:val="both"/>
      </w:pPr>
    </w:p>
    <w:p w14:paraId="494BEC5A" w14:textId="77777777" w:rsidR="00DE5E47" w:rsidRDefault="00DE5E47">
      <w:pPr>
        <w:pStyle w:val="NormalWeb"/>
        <w:spacing w:line="480" w:lineRule="auto"/>
        <w:jc w:val="both"/>
      </w:pPr>
    </w:p>
    <w:p w14:paraId="00B707F9" w14:textId="77777777" w:rsidR="00DE5E47" w:rsidRPr="00DE5E47" w:rsidRDefault="00DE5E47">
      <w:pPr>
        <w:pStyle w:val="NormalWeb"/>
        <w:spacing w:line="480" w:lineRule="auto"/>
        <w:jc w:val="both"/>
      </w:pPr>
    </w:p>
    <w:p w14:paraId="3E76831A" w14:textId="77777777" w:rsidR="00221112" w:rsidRPr="00DE5E47" w:rsidRDefault="00C14051">
      <w:pPr>
        <w:spacing w:line="480" w:lineRule="auto"/>
        <w:ind w:left="480" w:hangingChars="200" w:hanging="480"/>
        <w:jc w:val="both"/>
        <w:rPr>
          <w:rFonts w:eastAsiaTheme="minorEastAsia" w:cs="Times New Roman"/>
          <w:sz w:val="24"/>
          <w:szCs w:val="24"/>
        </w:rPr>
      </w:pPr>
      <w:r w:rsidRPr="00DE5E47">
        <w:rPr>
          <w:rFonts w:cs="Times New Roman"/>
          <w:sz w:val="24"/>
          <w:szCs w:val="24"/>
          <w:color w:val="000000"/>
        </w:rPr>
        <w:t xml:space="preserve">ACDI/VOCA. (2005). Sub-sector and value chain analysis for mud crabs in the Tanga coastal belt (ACDI/VOCA project report, 58 pp.).</w:t>
      </w:r>
    </w:p>
    <w:p w14:paraId="63905B3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Allan, G., &amp; Fielder, D. (2003). Mud crab aquaculture in Australia and Southeast Asia. In Proceedings of the ACIAR crab aquaculture scoping study and workshop (pp. 28-29). Joondoburri Conference Centre, Bribie Island, Qld, Australia. ACIAR Working Paper No. 54, 70 pp.</w:t>
      </w:r>
    </w:p>
    <w:p w14:paraId="3408B7A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Allison, E. H., &amp; Ellis, F. (2001). The livelihoods approach and management of small-scale fisheries. Marine Policy, 25(5), 377-388.</w:t>
      </w:r>
    </w:p>
    <w:p w14:paraId="4D7A7DF9"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Béné, C., Macfadyen, G., &amp; Allison, E. H. (2007). Increasing the contribution of small-scale fisheries to poverty alleviation and food security. FAO Fisheries Technical Paper, 481.</w:t>
      </w:r>
    </w:p>
    <w:p w14:paraId="6F3FA068"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Bonine, K. M., Bjorkstedt, E. P., Ewel, K. C., &amp; Palik, M. (2008). Population characteristics of the mangrove crab Scylla serrata (Decapoda: Portunidae) in Kosrae, Federated States of Micronesia: Effects of harvest and implications for management. Pacific Science, 62, 1-19.</w:t>
      </w:r>
    </w:p>
    <w:p w14:paraId="76F9A5A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Bowers, R. (2017). Mud Crab Fishers Statistics. Marine Fisheries Journal.</w:t>
      </w:r>
    </w:p>
    <w:p w14:paraId="6254B27C"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Cinner, J. E., Daw, T., &amp; McClanahan, T. R. (2012). Socioeconomic factors that affect artisanal fishers’ readiness to exit a declining fishery. Conservation Biology, 26(5), 830–837.</w:t>
      </w:r>
    </w:p>
    <w:p w14:paraId="2D3BA7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Crona, B., Nyström, M., Folke, C., &amp; Jiddawi, N. (2016). Middlemen, a critical social-ecological link in coastal communities of Kenya and Zanzibar. Marine Policy, 30(3), 251-268.</w:t>
      </w:r>
    </w:p>
    <w:p w14:paraId="6485991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FAO. (2025). Status, technological innovations, and industry development needs of mud crab (Scylla spp.) aquaculture. FAO Fisheries and Aquaculture Proceedings No. 73. Rome: Food and Agriculture Organization of the United Nations.</w:t>
      </w:r>
    </w:p>
    <w:p w14:paraId="744EAD44" w14:textId="77777777" w:rsidR="00221112" w:rsidRPr="00DE5E47" w:rsidRDefault="00C14051">
      <w:pPr>
        <w:pStyle w:val="NormalWeb"/>
        <w:spacing w:line="480" w:lineRule="auto"/>
        <w:ind w:left="480" w:hangingChars="200" w:hanging="480"/>
        <w:jc w:val="both"/>
      </w:pPr>
      <w:r w:rsidRPr="00DE5E47">
        <w:t xml:space="preserve">Fisheries Management and Development Act, No. 35 of 2016 (Kenya). http://faolex.fao.org/docs/pdf/ken160880.pdf</w:t>
      </w:r>
    </w:p>
    <w:p w14:paraId="095A0676" w14:textId="77777777" w:rsidR="00221112" w:rsidRPr="00DE5E47" w:rsidRDefault="00C14051">
      <w:pPr>
        <w:pStyle w:val="NormalWeb"/>
        <w:spacing w:line="480" w:lineRule="auto"/>
        <w:ind w:left="480" w:hangingChars="200" w:hanging="480"/>
        <w:jc w:val="both"/>
      </w:pPr>
      <w:r w:rsidRPr="00DE5E47">
        <w:t xml:space="preserve">Fondo, E. N., &amp; Ogutu, B. (2021). Sustainable crab fishery for Blue Economy in Kenya. Aquatic Ecosystem Health &amp; Management, 24(1), 21–26.</w:t>
      </w:r>
    </w:p>
    <w:p w14:paraId="5DB6A0F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Fondo, E. N., Kimani, E. N., &amp; Odongo, D. O. (2020). The status of mangrove mud crab fishery in Kenya, East Africa. African Journal of Fisheries Science, 8(3), 1–9.</w:t>
      </w:r>
    </w:p>
    <w:p w14:paraId="424A74E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Fulanda, B. C., Munga, C., Ohtomi, J., Osore, M., Mugo, R., &amp; Hossain, M. Y. (2009). The structure and evolution of the coastal migrant fishery of Kenya. Ocean &amp; Coastal Management, 52, 459–466.</w:t>
      </w:r>
    </w:p>
    <w:p w14:paraId="3D74ADB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Green, D. R., &amp; Clark, J. R. (2021). Fisheries Economics and Market Dynamics. Oxford University Press.</w:t>
      </w:r>
    </w:p>
    <w:p w14:paraId="40385A5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Gutiérrez, N. L., Hilborn, R., &amp; Defeo, O. (2011). Leadership, social capital and incentives promote successful fisheries. Nature, 470(7334), 386-389.</w:t>
      </w:r>
    </w:p>
    <w:p w14:paraId="4CEE527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Jacinto, E. R. (2004). A research framework on value chain analysis in small-scale fisheries. Asian Fisheries Society.</w:t>
      </w:r>
    </w:p>
    <w:p w14:paraId="6DDE3BB3"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Kimani, E., Mirera, D., &amp; Wainaina, P. (2018). Mud Crab Fishery in Kenya. Fisheries Research Journal.</w:t>
      </w:r>
    </w:p>
    <w:p w14:paraId="3C0D21A1" w14:textId="77777777" w:rsidR="00221112" w:rsidRPr="00DE5E47" w:rsidRDefault="00C14051">
      <w:pPr>
        <w:spacing w:after="24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Lamm, A. J., &amp; Lamm, D. A. (2019). Understanding Research Populations. Research Methods Journal.</w:t>
      </w:r>
    </w:p>
    <w:p w14:paraId="5ECFF2C2"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Lowe, M. (2019). Pilot Studies in Research. Methodology Journal.</w:t>
      </w:r>
    </w:p>
    <w:p w14:paraId="6AA0D68A"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Mahmud, A. I., &amp; Mamun, A. A. (2013). Marketing of Mud Crab Scylla serrata (Forksal) from Khulna district to international markets. European Journal of Agricultural Sciences, 11, 61-67.</w:t>
      </w:r>
    </w:p>
    <w:p w14:paraId="375352B6" w14:textId="77777777" w:rsidR="00221112" w:rsidRPr="00DE5E47" w:rsidRDefault="00C14051">
      <w:pPr>
        <w:pStyle w:val="NormalWeb"/>
        <w:spacing w:line="480" w:lineRule="auto"/>
        <w:ind w:left="480" w:hangingChars="200" w:hanging="480"/>
        <w:jc w:val="both"/>
      </w:pPr>
      <w:r w:rsidRPr="00DE5E47">
        <w:t xml:space="preserve">Mirera, D. O. (2014a). Social and economic implications of small-scale mud crab (Scylla serrata) aquaculture: The case of organised community groups. Aquaculture International, 22, 1499–1514.</w:t>
      </w:r>
    </w:p>
    <w:p w14:paraId="1298DD26"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Mirera, D. O. (2014b). Capture-based mud crab (Scylla serrata) aquaculture and artisanal fishery in East Africa – Practical and ecological perspective. Ph.D thesis. Linnaeus University Dissertations No 159/2013, ISBN: 978-91-87427-70-1. Written in English</w:t>
      </w:r>
    </w:p>
    <w:p w14:paraId="026063F0" w14:textId="77777777" w:rsidR="00221112" w:rsidRPr="00DE5E47" w:rsidRDefault="00C14051">
      <w:pPr>
        <w:pStyle w:val="NormalWeb"/>
        <w:spacing w:line="480" w:lineRule="auto"/>
        <w:ind w:left="480" w:hangingChars="200" w:hanging="480"/>
        <w:jc w:val="both"/>
      </w:pPr>
      <w:r w:rsidRPr="00DE5E47">
        <w:t xml:space="preserve">Mirera, D. O. (2017a). Status of the mud crab fishery in Kenya: A review. Western Indian Ocean Journal of Marine Science, 16(1), 1–12.</w:t>
      </w:r>
    </w:p>
    <w:p w14:paraId="0D68A3CB" w14:textId="77777777" w:rsidR="00221112" w:rsidRPr="00DE5E47" w:rsidRDefault="00C14051">
      <w:pPr>
        <w:pStyle w:val="NormalWeb"/>
        <w:spacing w:line="480" w:lineRule="auto"/>
        <w:ind w:left="480" w:hangingChars="200" w:hanging="480"/>
        <w:jc w:val="both"/>
      </w:pPr>
      <w:r w:rsidRPr="00DE5E47">
        <w:t xml:space="preserve">Mirera, D. O. (2017b). Intertidal mangrove boundary zones are nursery grounds for the mud crab Scylla serrata (Forsskal-1775). African Journal of Marine Science, 39: pp. 3, 315-325</w:t>
      </w:r>
    </w:p>
    <w:p w14:paraId="46E6A2B6"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Mirera, D. O., &amp; Moksnes, P. O. (2015). Comparative performance of wild juvenile Scylla serrata (Forsskål) in different culture systems: Net cages, mangrove pens and earthen ponds. Aquaculture International, 23, 155–173.</w:t>
      </w:r>
    </w:p>
    <w:p w14:paraId="18FD06A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Mirera, D. O., Ochiewo, J., Munyi, F., &amp; Muriuki, T. (2013). Heredity or traditional knowledge: Fishing tactics and dynamics of artisanal mangrove crab (Scylla serrata) fishery. Ocean &amp; Coastal Management, 84, 119–129.</w:t>
      </w:r>
    </w:p>
    <w:p w14:paraId="4FB80F0E"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Moser, S., Macintosh, D., Laoprasert, S., &amp; Tongdee, N. (2005). Population ecology of the mud crab Scylla olivacea: A study in the Andaman Sea, Satun Province, southern Thailand. Fisheries Research, 71, 27–41.</w:t>
      </w:r>
    </w:p>
    <w:p w14:paraId="55404E53" w14:textId="77777777" w:rsidR="00221112" w:rsidRPr="00DE5E47" w:rsidRDefault="00C14051">
      <w:pPr>
        <w:spacing w:after="200" w:line="480" w:lineRule="auto"/>
        <w:ind w:left="440" w:hangingChars="200" w:hanging="44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Munga, C. N., &amp; Muthumbi, A. W. (2018). Economic analysis of mud crab (Scylla serrata) fisheries in Tana Delta, Kenya. African Journal of Marine Science, 40(1), 101–111.</w:t>
      </w:r>
    </w:p>
    <w:p w14:paraId="1F09BA4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Ndanga, L. Z. B., Quagrainie, K. K. &amp; Dennis, J. H. (2013). Economically feasible options for increased women participation in the Kenyan aquaculture value chain. Aquaculture, pp. 414–415, 183–190.</w:t>
      </w:r>
    </w:p>
    <w:p w14:paraId="533C978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Njiru, J. M., et al. (2021). Socioeconomic factors influencing the participation of fish traders in beach management units in Kenya: A case of Kwale County. International Journal of Fisheries and Aquatic Studies, 9(1), 91-97.</w:t>
      </w:r>
    </w:p>
    <w:p w14:paraId="568EE0ED"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Ochiewo, J., De La Torre-Castro, M., Muthama, C., Munyi, F., &amp; Nthuta, J. M. (2010). Socioeconomic features of sea cucumber fisheries in southern coast of Kenya. Ocean &amp; Coastal Management, 53, 192–202.</w:t>
      </w:r>
    </w:p>
    <w:p w14:paraId="4257C2BB"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Ogawa, C. Y., Hamasaki, K., Dan, S., &amp; Kitada, S. (2011). Fishery biology of mud crabs Scylla spp. at Iriomote Island, Japan: Species composition, catch, growth and size at sexual maturity. Fisheries Science, 77, 915–927.</w:t>
      </w:r>
    </w:p>
    <w:p w14:paraId="3BD66995"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lastRenderedPageBreak/>
        <w:t xml:space="preserve">Pomeroy, R., &amp; Andrew, N. (Eds.). (2011). Small-scale fisheries management: frameworks and approaches for the developing world. CABI.</w:t>
      </w:r>
    </w:p>
    <w:p w14:paraId="2B9D5751"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Richmond, M. D., Mohamed, A., De Villiers, A. K., Esseen, M., &amp; Levay, L. (2006). Smallholder fisheries enterprises trials, Rufiji District, Tanzania. Rufiji Environment Management Project.</w:t>
      </w:r>
    </w:p>
    <w:p w14:paraId="4E2B7E44"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Sultana, A., Raseduzzaman, M., Arafat, S. T., &amp; Begum, S. (2018). Value chain analysis of mud Crab (Scylla spp.) in the southwest region of Bangladesh.</w:t>
      </w:r>
    </w:p>
    <w:p w14:paraId="7597C740" w14:textId="77777777" w:rsidR="00221112" w:rsidRPr="00DE5E47" w:rsidRDefault="00C14051">
      <w:pPr>
        <w:spacing w:line="480" w:lineRule="auto"/>
        <w:ind w:left="480" w:hangingChars="200" w:hanging="480"/>
        <w:jc w:val="both"/>
        <w:rPr>
          <w:rFonts w:cs="Times New Roman"/>
          <w:sz w:val="24"/>
          <w:szCs w:val="24"/>
        </w:rPr>
      </w:pPr>
      <w:r w:rsidRPr="00DE5E47">
        <w:rPr>
          <w:rFonts w:cs="Times New Roman"/>
          <w:sz w:val="24"/>
          <w:szCs w:val="24"/>
          <w:color w:val="000000"/>
        </w:rPr>
        <w:t xml:space="preserve">Webley, J. A. C. (2008). The ecology of the mud crab (Scylla serrata): their colonization of estuaries and role as scavengers in ecosystem processes. PhD thesis, Griffith University, QLD, Australia</w:t>
      </w:r>
    </w:p>
    <w:p w14:paraId="5AC3C634" w14:textId="77777777" w:rsidR="00221112" w:rsidRPr="00DE5E47" w:rsidRDefault="00C14051">
      <w:pPr>
        <w:spacing w:after="200" w:line="480" w:lineRule="auto"/>
        <w:ind w:left="480" w:hangingChars="200" w:hanging="480"/>
        <w:jc w:val="both"/>
        <w:rPr>
          <w:rFonts w:eastAsia="Times New Roman" w:cs="Times New Roman"/>
          <w:kern w:val="0"/>
          <w:sz w:val="24"/>
          <w:szCs w:val="24"/>
          <w14:ligatures w14:val="none"/>
        </w:rPr>
      </w:pPr>
      <w:r w:rsidRPr="00DE5E47">
        <w:rPr>
          <w:rFonts w:eastAsia="Times New Roman" w:cs="Times New Roman"/>
          <w:kern w:val="0"/>
          <w:sz w:val="24"/>
          <w:szCs w:val="24"/>
          <w14:ligatures w14:val="none"/>
          <w:color w:val="000000"/>
        </w:rPr>
        <w:t xml:space="preserve">Yamane, T. (1967). Statistics: An introductory analysis (2nd ed.). Harper and Row.</w:t>
      </w:r>
    </w:p>
    <w:p w14:paraId="08B995AE" w14:textId="77777777" w:rsidR="00221112" w:rsidRPr="00DE5E47" w:rsidRDefault="00C14051">
      <w:pPr>
        <w:pStyle w:val="Heading1"/>
        <w:spacing w:line="480" w:lineRule="auto"/>
        <w:jc w:val="both"/>
        <w:outlineLvl w:val="0"/>
        <w:rPr>
          <w:rFonts w:eastAsia="Times New Roman" w:cs="Times New Roman"/>
          <w:szCs w:val="24"/>
        </w:rPr>
      </w:pPr>
      <w:bookmarkStart w:id="52125" w:name="_Toc_125"/>
      <w:bookmarkStart w:id="264" w:name="_Toc240214164"/>
      <w:bookmarkStart w:id="265" w:name="_Toc241432304"/>
      <w:r w:rsidRPr="00DE5E47">
        <w:rPr>
          <w:rFonts w:eastAsia="Times New Roman" w:cs="Times New Roman"/>
          <w:szCs w:val="24"/>
        </w:rPr>
        <w:lastRenderedPageBreak/>
        <w:t>APPENDICES</w:t>
      </w:r>
      <w:bookmarkEnd w:id="264"/>
      <w:bookmarkEnd w:id="265"/>
      <w:bookmarkEnd w:id="52125"/>
    </w:p>
    <w:p w14:paraId="52AFECDB" w14:textId="77777777" w:rsidR="00221112" w:rsidRPr="00DE5E47" w:rsidRDefault="00221112">
      <w:pPr>
        <w:spacing w:line="360" w:lineRule="auto"/>
        <w:jc w:val="both"/>
        <w:rPr>
          <w:rFonts w:cs="Times New Roman"/>
          <w:b/>
          <w:bCs/>
          <w:sz w:val="24"/>
          <w:szCs w:val="24"/>
        </w:rPr>
      </w:pPr>
    </w:p>
    <w:p w14:paraId="421E7F30"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STUDY QUESTIONNAIRE</w:t>
      </w:r>
    </w:p>
    <w:p w14:paraId="27022CB4"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1312" behindDoc="0" locked="0" layoutInCell="1" allowOverlap="1" wp14:anchorId="16AF07FE" wp14:editId="53D251AC">
                <wp:simplePos x="0" y="0"/>
                <wp:positionH relativeFrom="column">
                  <wp:posOffset>-104775</wp:posOffset>
                </wp:positionH>
                <wp:positionV relativeFrom="paragraph">
                  <wp:posOffset>116840</wp:posOffset>
                </wp:positionV>
                <wp:extent cx="601980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6019800" cy="0"/>
                        </a:xfrm>
                        <a:prstGeom prst="line">
                          <a:avLst/>
                        </a:prstGeom>
                        <a:noFill/>
                        <a:ln w="19050" cap="flat" cmpd="sng" algn="ctr">
                          <a:solidFill>
                            <a:sysClr val="windowText" lastClr="000000"/>
                          </a:solidFill>
                          <a:prstDash val="solid"/>
                          <a:miter lim="800000"/>
                        </a:ln>
                        <a:effectLst/>
                      </wps:spPr>
                      <wps:bodyPr/>
                    </wps:wsp>
                  </a:graphicData>
                </a:graphic>
              </wp:anchor>
            </w:drawing>
          </mc:Choice>
          <mc:Fallback xmlns:wpsCustomData="http://www.wps.cn/officeDocument/2013/wpsCustomData" xmlns:w16cei="http://schemas.microsoft.com/office/word/2026/wordml/cei">
            <w:pict>
              <v:line id="_x0000_s1026" o:spid="_x0000_s1026" o:spt="20" style="position:absolute;left:0pt;margin-left:-8.25pt;margin-top:9.2pt;height:0pt;width:474pt;z-index:251661312;mso-width-relative:page;mso-height-relative:page;" filled="f" stroked="t" coordsize="21600,21600" o:gfxdata="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luOdv2AAA&#10;AAkBAAAPAAAAAAAAAAEAIAAAACIAAABkcnMvZG93bnJldi54bWxQSwECFAAUAAAACACHTuJAOOLj&#10;TOUBAADZAwAADgAAAAAAAAABACAAAAAnAQAAZHJzL2Uyb0RvYy54bWxQSwUGAAAAAAYABgBZAQAA&#10;fgUAAAAA&#10;">
                <v:fill on="f" focussize="0,0"/>
                <v:stroke weight="1.5pt" color="#000000" miterlimit="8" joinstyle="miter"/>
                <v:imagedata o:title=""/>
                <o:lock v:ext="edit" aspectratio="f"/>
              </v:line>
            </w:pict>
          </mc:Fallback>
        </mc:AlternateContent>
      </w:r>
    </w:p>
    <w:p w14:paraId="1979CE2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SECTION A: INTRODUCTION AND INFORMED CONSENT</w:t>
      </w:r>
    </w:p>
    <w:p w14:paraId="70E79DEA" w14:textId="77777777" w:rsidR="00221112" w:rsidRPr="00DE5E47" w:rsidRDefault="00C14051">
      <w:pPr>
        <w:spacing w:line="360" w:lineRule="auto"/>
        <w:jc w:val="both"/>
        <w:rPr>
          <w:rFonts w:cs="Times New Roman"/>
          <w:sz w:val="24"/>
          <w:szCs w:val="24"/>
        </w:rPr>
      </w:pPr>
      <w:r w:rsidRPr="00DE5E47">
        <w:rPr>
          <w:rFonts w:cs="Times New Roman"/>
          <w:sz w:val="24"/>
          <w:szCs w:val="24"/>
        </w:rPr>
        <w:t>My name is__ _______________, a student at Pwani University. I am collecting information to study the marketing structures of mud crabs (Scylla Serrata) in South Coast, Kenya, as a project that will form part of my master's degree. I would like to ask you some questions about your involvement in the crab fishery, specifically as an actor and your role and marketing system, and its dynamic issues.</w:t>
      </w:r>
    </w:p>
    <w:p w14:paraId="00A206BC"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The information that you give during this research will be kept confidential. Information about you collected during the study will be put away, and no one but the researcher (I) will see it. Any information you will have a number on it instead of your name for confidentiality purposes. You can ask any questions regarding the study or your participation in this study</w:t>
      </w:r>
      <w:r w:rsidRPr="00DE5E47">
        <w:rPr>
          <w:rFonts w:cs="Times New Roman"/>
          <w:sz w:val="24"/>
          <w:szCs w:val="24"/>
        </w:rPr>
        <w:t xml:space="preserve"> using this contact- Mercy Sangura on +254-717-588-132</w:t>
      </w:r>
    </w:p>
    <w:p w14:paraId="62E8FCFD" w14:textId="77777777" w:rsidR="00221112" w:rsidRPr="00DE5E47" w:rsidRDefault="00C14051">
      <w:pPr>
        <w:spacing w:line="360" w:lineRule="auto"/>
        <w:jc w:val="both"/>
        <w:rPr>
          <w:rFonts w:cs="Times New Roman"/>
          <w:sz w:val="24"/>
          <w:szCs w:val="24"/>
        </w:rPr>
      </w:pPr>
      <w:r w:rsidRPr="00DE5E47">
        <w:rPr>
          <w:rFonts w:cs="Times New Roman"/>
          <w:sz w:val="24"/>
          <w:szCs w:val="24"/>
          <w:lang w:val="en-GB"/>
        </w:rPr>
        <w:t>I have read the preceding information, or it has been read to me. I have had the opportunity to ask questions about it, and any questions that have been asked have been answered to my satisfaction. I consent voluntarily to participate as a respondent in this research.</w:t>
      </w:r>
    </w:p>
    <w:p w14:paraId="1F3E5393"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Consent given Yes= [   ]   No=0 [  ]                   </w:t>
      </w:r>
    </w:p>
    <w:p w14:paraId="3518EF4B"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 (If yes, proceed to the next question; If no, find out the reason and terminate the interview.)</w:t>
      </w:r>
    </w:p>
    <w:p w14:paraId="18A0CF43" w14:textId="77777777" w:rsidR="00221112" w:rsidRPr="00DE5E47" w:rsidRDefault="00C14051">
      <w:pPr>
        <w:spacing w:line="360" w:lineRule="auto"/>
        <w:jc w:val="both"/>
        <w:rPr>
          <w:rFonts w:cs="Times New Roman"/>
          <w:sz w:val="24"/>
          <w:szCs w:val="24"/>
        </w:rPr>
      </w:pPr>
      <w:r w:rsidRPr="00DE5E47">
        <w:rPr>
          <w:rFonts w:cs="Times New Roman"/>
          <w:sz w:val="24"/>
          <w:szCs w:val="24"/>
        </w:rPr>
        <w:t>Instructions</w:t>
      </w:r>
    </w:p>
    <w:p w14:paraId="6C3C0DF6" w14:textId="77777777" w:rsidR="00221112" w:rsidRPr="00DE5E47" w:rsidRDefault="00C14051">
      <w:pPr>
        <w:spacing w:line="360" w:lineRule="auto"/>
        <w:jc w:val="both"/>
        <w:rPr>
          <w:rFonts w:cs="Times New Roman"/>
          <w:sz w:val="24"/>
          <w:szCs w:val="24"/>
        </w:rPr>
      </w:pPr>
      <w:r w:rsidRPr="00DE5E47">
        <w:rPr>
          <w:rFonts w:cs="Times New Roman"/>
          <w:sz w:val="24"/>
          <w:szCs w:val="24"/>
        </w:rPr>
        <w:t>(a)</w:t>
      </w:r>
      <w:r w:rsidRPr="00DE5E47">
        <w:rPr>
          <w:rFonts w:cs="Times New Roman"/>
          <w:sz w:val="24"/>
          <w:szCs w:val="24"/>
        </w:rPr>
        <w:tab/>
        <w:t>Please tick in the bracket that corresponds to your response.</w:t>
      </w:r>
    </w:p>
    <w:p w14:paraId="56F0814A" w14:textId="77777777" w:rsidR="00221112" w:rsidRPr="00DE5E47" w:rsidRDefault="00C14051">
      <w:pPr>
        <w:spacing w:line="360" w:lineRule="auto"/>
        <w:jc w:val="both"/>
        <w:rPr>
          <w:rFonts w:cs="Times New Roman"/>
          <w:sz w:val="24"/>
          <w:szCs w:val="24"/>
        </w:rPr>
      </w:pPr>
      <w:r w:rsidRPr="00DE5E47">
        <w:rPr>
          <w:rFonts w:cs="Times New Roman"/>
          <w:sz w:val="24"/>
          <w:szCs w:val="24"/>
        </w:rPr>
        <w:t>(b)</w:t>
      </w:r>
      <w:r w:rsidRPr="00DE5E47">
        <w:rPr>
          <w:rFonts w:cs="Times New Roman"/>
          <w:sz w:val="24"/>
          <w:szCs w:val="24"/>
        </w:rPr>
        <w:tab/>
      </w:r>
      <w:r w:rsidRPr="00DE5E47">
        <w:rPr>
          <w:rFonts w:cs="Times New Roman"/>
          <w:sz w:val="24"/>
          <w:szCs w:val="24"/>
        </w:rPr>
        <w:tab/>
        <w:t>In case of multiple responses, tick all applicable responses in their respective brackets.</w:t>
      </w:r>
    </w:p>
    <w:p w14:paraId="639CD583" w14:textId="77777777" w:rsidR="00221112" w:rsidRPr="00DE5E47" w:rsidRDefault="00C14051">
      <w:pPr>
        <w:spacing w:line="360" w:lineRule="auto"/>
        <w:jc w:val="both"/>
        <w:rPr>
          <w:rFonts w:cs="Times New Roman"/>
          <w:sz w:val="24"/>
          <w:szCs w:val="24"/>
        </w:rPr>
      </w:pPr>
      <w:r w:rsidRPr="00DE5E47">
        <w:rPr>
          <w:rFonts w:cs="Times New Roman"/>
          <w:sz w:val="24"/>
          <w:szCs w:val="24"/>
        </w:rPr>
        <w:t>(c)</w:t>
      </w:r>
      <w:r w:rsidRPr="00DE5E47">
        <w:rPr>
          <w:rFonts w:cs="Times New Roman"/>
          <w:sz w:val="24"/>
          <w:szCs w:val="24"/>
        </w:rPr>
        <w:tab/>
      </w:r>
      <w:r w:rsidRPr="00DE5E47">
        <w:rPr>
          <w:rFonts w:cs="Times New Roman"/>
          <w:sz w:val="24"/>
          <w:szCs w:val="24"/>
        </w:rPr>
        <w:tab/>
        <w:t>Use translation to Kiswahili or Local language for respondents who do not speak or understand English.</w:t>
      </w:r>
    </w:p>
    <w:p w14:paraId="12B7F66F" w14:textId="77777777" w:rsidR="00221112" w:rsidRPr="00DE5E47" w:rsidRDefault="00C14051">
      <w:pPr>
        <w:spacing w:line="360" w:lineRule="auto"/>
        <w:jc w:val="both"/>
        <w:rPr>
          <w:rFonts w:cs="Times New Roman"/>
          <w:b/>
          <w:bCs/>
          <w:sz w:val="24"/>
          <w:szCs w:val="24"/>
        </w:rPr>
      </w:pPr>
      <w:r w:rsidRPr="00DE5E47">
        <w:rPr>
          <w:rFonts w:cs="Times New Roman"/>
          <w:b/>
          <w:bCs/>
          <w:noProof/>
          <w:sz w:val="24"/>
          <w:szCs w:val="24"/>
        </w:rPr>
        <mc:AlternateContent>
          <mc:Choice Requires="wps">
            <w:drawing>
              <wp:anchor distT="0" distB="0" distL="114300" distR="114300" simplePos="0" relativeHeight="251662336" behindDoc="0" locked="0" layoutInCell="1" allowOverlap="1" wp14:anchorId="46940861" wp14:editId="3812435C">
                <wp:simplePos x="0" y="0"/>
                <wp:positionH relativeFrom="margin">
                  <wp:align>right</wp:align>
                </wp:positionH>
                <wp:positionV relativeFrom="paragraph">
                  <wp:posOffset>139065</wp:posOffset>
                </wp:positionV>
                <wp:extent cx="5934075" cy="247650"/>
                <wp:effectExtent l="0" t="0" r="9525" b="0"/>
                <wp:wrapNone/>
                <wp:docPr id="19" name="Rectangle 19"/>
                <wp:cNvGraphicFramePr/>
                <a:graphic xmlns:a="http://schemas.openxmlformats.org/drawingml/2006/main">
                  <a:graphicData uri="http://schemas.microsoft.com/office/word/2010/wordprocessingShape">
                    <wps:wsp>
                      <wps:cNvSpPr/>
                      <wps:spPr>
                        <a:xfrm>
                          <a:off x="0" y="0"/>
                          <a:ext cx="5934075" cy="247650"/>
                        </a:xfrm>
                        <a:prstGeom prst="rect">
                          <a:avLst/>
                        </a:prstGeom>
                        <a:gradFill rotWithShape="1">
                          <a:gsLst>
                            <a:gs pos="0">
                              <a:srgbClr val="A5A5A5">
                                <a:lumMod val="110000"/>
                                <a:satMod val="105000"/>
                                <a:tint val="67000"/>
                              </a:srgbClr>
                            </a:gs>
                            <a:gs pos="50000">
                              <a:srgbClr val="A5A5A5">
                                <a:lumMod val="105000"/>
                                <a:satMod val="103000"/>
                                <a:tint val="73000"/>
                              </a:srgbClr>
                            </a:gs>
                            <a:gs pos="100000">
                              <a:srgbClr val="A5A5A5">
                                <a:lumMod val="105000"/>
                                <a:satMod val="109000"/>
                                <a:tint val="81000"/>
                              </a:srgbClr>
                            </a:gs>
                          </a:gsLst>
                          <a:lin ang="5400000" scaled="0"/>
                        </a:gradFill>
                        <a:ln w="12700" cap="flat" cmpd="sng" algn="ctr">
                          <a:solidFill>
                            <a:sysClr val="windowText" lastClr="000000"/>
                          </a:solidFill>
                          <a:prstDash val="solid"/>
                          <a:miter lim="800000"/>
                        </a:ln>
                        <a:effectLst/>
                      </wps:spPr>
                      <wps:txbx>
                        <w:txbxContent>
                          <w:p w14:paraId="411DFDA7" w14:textId="77777777" w:rsidR="00221112" w:rsidRDefault="00C14051">
                            <w:pPr>
                              <w:jc w:val="both"/>
                              <w:rPr>
                                <w:b/>
                                <w:sz w:val="24"/>
                                <w:szCs w:val="24"/>
                              </w:rPr>
                            </w:pPr>
                            <w:r>
                              <w:rPr>
                                <w:b/>
                                <w:sz w:val="24"/>
                                <w:szCs w:val="24"/>
                              </w:rPr>
                              <w:t>SECTION B: PRELIMINARIES</w:t>
                            </w:r>
                          </w:p>
                          <w:p w14:paraId="3698D186" w14:textId="77777777" w:rsidR="00221112" w:rsidRDefault="00221112">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6940861" id="Rectangle 19" o:spid="_x0000_s1026" style="position:absolute;left:0;text-align:left;margin-left:416.05pt;margin-top:10.95pt;width:467.25pt;height:19.5pt;z-index:25166233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" fillcolor="#d2d2d2" strokecolor="windowText" strokeweight="1pt">
                <v:fill color2="silver" rotate="t" colors="0 #d2d2d2;.5 #c8c8c8;1 silver" focus="100%" type="gradient">
                  <o:fill v:ext="view" type="gradientUnscaled"/>
                </v:fill>
                <v:textbox>
                  <w:txbxContent>
                    <w:p w14:paraId="37661DAB" w14:textId="77777777" w:rsidR="00221112" w:rsidRDefault="00C14051">
                      <w:pPr>
                        <w:jc w:val="both"/>
                        <w:rPr>
                          <w:b/>
                          <w:sz w:val="24"/>
                          <w:szCs w:val="24"/>
                        </w:rPr>
                      </w:pPr>
                      <w:r>
                        <w:rPr>
                          <w:b/>
                          <w:sz w:val="24"/>
                          <w:szCs w:val="24"/>
                        </w:rPr>
                        <w:t>SECTION B: PRELIMINARIES</w:t>
                      </w:r>
                    </w:p>
                    <w:p w14:paraId="638CF2EC" w14:textId="77777777" w:rsidR="00221112" w:rsidRDefault="00221112">
                      <w:pPr>
                        <w:jc w:val="center"/>
                      </w:pPr>
                    </w:p>
                  </w:txbxContent>
                </v:textbox>
                <w10:wrap anchorx="margin"/>
              </v:rect>
            </w:pict>
          </mc:Fallback>
        </mc:AlternateContent>
      </w:r>
    </w:p>
    <w:p w14:paraId="3675ACC2" w14:textId="77777777" w:rsidR="00221112" w:rsidRPr="00DE5E47" w:rsidRDefault="00221112">
      <w:pPr>
        <w:spacing w:line="360" w:lineRule="auto"/>
        <w:jc w:val="both"/>
        <w:rPr>
          <w:rFonts w:cs="Times New Roman"/>
          <w:b/>
          <w:bCs/>
          <w:sz w:val="24"/>
          <w:szCs w:val="24"/>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7"/>
        <w:gridCol w:w="4508"/>
      </w:tblGrid>
      <w:tr w:rsidR="00221112" w:rsidRPr="00DE5E47" w14:paraId="72E3738B" w14:textId="77777777">
        <w:trPr>
          <w:trHeight w:val="273"/>
        </w:trPr>
        <w:tc>
          <w:tcPr>
            <w:tcW w:w="4847" w:type="dxa"/>
          </w:tcPr>
          <w:p w14:paraId="5B715D4D"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lastRenderedPageBreak/>
              <w:t>Interview start time (hh: min):</w:t>
            </w:r>
          </w:p>
        </w:tc>
        <w:tc>
          <w:tcPr>
            <w:tcW w:w="4508" w:type="dxa"/>
          </w:tcPr>
          <w:p w14:paraId="2715301C"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Geopoints</w:t>
            </w:r>
          </w:p>
        </w:tc>
      </w:tr>
      <w:tr w:rsidR="00221112" w:rsidRPr="00DE5E47" w14:paraId="334D789E" w14:textId="77777777">
        <w:trPr>
          <w:trHeight w:val="290"/>
        </w:trPr>
        <w:tc>
          <w:tcPr>
            <w:tcW w:w="4847" w:type="dxa"/>
          </w:tcPr>
          <w:p w14:paraId="1AD47F61"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 xml:space="preserve">Interview stop time  (hh: min):            </w:t>
            </w:r>
          </w:p>
        </w:tc>
        <w:tc>
          <w:tcPr>
            <w:tcW w:w="4508" w:type="dxa"/>
          </w:tcPr>
          <w:p w14:paraId="652764A8"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Date of Interview</w:t>
            </w:r>
          </w:p>
        </w:tc>
      </w:tr>
      <w:tr w:rsidR="00221112" w:rsidRPr="00DE5E47" w14:paraId="3CD39A74" w14:textId="77777777">
        <w:trPr>
          <w:trHeight w:val="307"/>
        </w:trPr>
        <w:tc>
          <w:tcPr>
            <w:tcW w:w="4847" w:type="dxa"/>
          </w:tcPr>
          <w:p w14:paraId="3E191B57"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County:</w:t>
            </w:r>
          </w:p>
        </w:tc>
        <w:tc>
          <w:tcPr>
            <w:tcW w:w="4508" w:type="dxa"/>
          </w:tcPr>
          <w:p w14:paraId="643ABF8E"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Name of fish landing beach</w:t>
            </w:r>
          </w:p>
        </w:tc>
      </w:tr>
      <w:tr w:rsidR="00221112" w:rsidRPr="00DE5E47" w14:paraId="513F1557" w14:textId="77777777">
        <w:trPr>
          <w:trHeight w:val="273"/>
        </w:trPr>
        <w:tc>
          <w:tcPr>
            <w:tcW w:w="4847" w:type="dxa"/>
          </w:tcPr>
          <w:p w14:paraId="1CD93540"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Enumerator name:</w:t>
            </w:r>
          </w:p>
        </w:tc>
        <w:tc>
          <w:tcPr>
            <w:tcW w:w="4508" w:type="dxa"/>
          </w:tcPr>
          <w:p w14:paraId="53DC9B4F" w14:textId="77777777" w:rsidR="00221112" w:rsidRPr="00DE5E47" w:rsidRDefault="00C14051">
            <w:pPr>
              <w:spacing w:line="360" w:lineRule="auto"/>
              <w:jc w:val="both"/>
              <w:rPr>
                <w:rFonts w:cs="Times New Roman"/>
                <w:b/>
                <w:bCs/>
                <w:sz w:val="24"/>
                <w:szCs w:val="24"/>
                <w:lang w:val="en-GB"/>
              </w:rPr>
            </w:pPr>
            <w:r w:rsidRPr="00DE5E47">
              <w:rPr>
                <w:rFonts w:cs="Times New Roman"/>
                <w:b/>
                <w:bCs/>
                <w:sz w:val="24"/>
                <w:szCs w:val="24"/>
                <w:lang w:val="en-GB"/>
              </w:rPr>
              <w:t>Enum Tel:</w:t>
            </w:r>
          </w:p>
        </w:tc>
      </w:tr>
    </w:tbl>
    <w:p w14:paraId="7C229D2B" w14:textId="77777777" w:rsidR="00221112" w:rsidRPr="00DE5E47" w:rsidRDefault="00221112">
      <w:pPr>
        <w:spacing w:line="360" w:lineRule="auto"/>
        <w:jc w:val="both"/>
        <w:rPr>
          <w:rFonts w:cs="Times New Roman"/>
          <w:b/>
          <w:bCs/>
          <w:sz w:val="24"/>
          <w:szCs w:val="24"/>
        </w:rPr>
      </w:pPr>
    </w:p>
    <w:p w14:paraId="56F47068"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 To determine the mud crab actors and their characteristics.</w:t>
      </w:r>
    </w:p>
    <w:p w14:paraId="7A89344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Demographic Information:</w:t>
      </w:r>
    </w:p>
    <w:p w14:paraId="7CA844BC"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Age Group?</w:t>
      </w:r>
    </w:p>
    <w:p w14:paraId="5E61EDAF"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18 – 35</w:t>
      </w:r>
    </w:p>
    <w:p w14:paraId="6DE8497C"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36 – 49</w:t>
      </w:r>
    </w:p>
    <w:p w14:paraId="0357FE01"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50 – 60</w:t>
      </w:r>
    </w:p>
    <w:p w14:paraId="61B82BD3" w14:textId="77777777" w:rsidR="00221112" w:rsidRPr="00DE5E47" w:rsidRDefault="00C14051">
      <w:pPr>
        <w:pStyle w:val="ListParagraph"/>
        <w:numPr>
          <w:ilvl w:val="0"/>
          <w:numId w:val="9"/>
        </w:numPr>
        <w:spacing w:line="360" w:lineRule="auto"/>
        <w:jc w:val="both"/>
        <w:rPr>
          <w:rFonts w:cs="Times New Roman"/>
          <w:sz w:val="24"/>
          <w:szCs w:val="24"/>
        </w:rPr>
      </w:pPr>
      <w:r w:rsidRPr="00DE5E47">
        <w:rPr>
          <w:rFonts w:cs="Times New Roman"/>
          <w:sz w:val="24"/>
          <w:szCs w:val="24"/>
        </w:rPr>
        <w:t>Above 60</w:t>
      </w:r>
    </w:p>
    <w:p w14:paraId="71763815"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Gender?</w:t>
      </w:r>
    </w:p>
    <w:p w14:paraId="5F527630" w14:textId="77777777" w:rsidR="00221112" w:rsidRPr="00DE5E47" w:rsidRDefault="00C14051">
      <w:pPr>
        <w:spacing w:line="360" w:lineRule="auto"/>
        <w:jc w:val="both"/>
        <w:rPr>
          <w:rFonts w:cs="Times New Roman"/>
          <w:sz w:val="24"/>
          <w:szCs w:val="24"/>
        </w:rPr>
      </w:pPr>
      <w:r w:rsidRPr="00DE5E47">
        <w:rPr>
          <w:rFonts w:cs="Times New Roman"/>
          <w:sz w:val="24"/>
          <w:szCs w:val="24"/>
        </w:rPr>
        <w:t>[1] Male</w:t>
      </w:r>
      <w:r w:rsidRPr="00DE5E47">
        <w:rPr>
          <w:rFonts w:cs="Times New Roman"/>
          <w:sz w:val="24"/>
          <w:szCs w:val="24"/>
        </w:rPr>
        <w:tab/>
        <w:t xml:space="preserve"> [2] Female</w:t>
      </w:r>
    </w:p>
    <w:p w14:paraId="798CF350"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Educational Background:</w:t>
      </w:r>
    </w:p>
    <w:p w14:paraId="2F5F4923"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None</w:t>
      </w:r>
      <w:r w:rsidRPr="00DE5E47">
        <w:rPr>
          <w:rFonts w:eastAsia="Calibri" w:cs="Times New Roman"/>
          <w:sz w:val="24"/>
          <w:szCs w:val="24"/>
          <w:lang w:val="en-GB"/>
        </w:rPr>
        <w:tab/>
        <w:t xml:space="preserve"> </w:t>
      </w:r>
      <w:r w:rsidRPr="00DE5E47">
        <w:rPr>
          <w:rFonts w:cs="Times New Roman"/>
          <w:sz w:val="24"/>
          <w:szCs w:val="24"/>
        </w:rPr>
        <w:t xml:space="preserve">[2] </w:t>
      </w:r>
      <w:r w:rsidRPr="00DE5E47">
        <w:rPr>
          <w:rFonts w:eastAsia="Calibri" w:cs="Times New Roman"/>
          <w:sz w:val="24"/>
          <w:szCs w:val="24"/>
          <w:lang w:val="en-GB"/>
        </w:rPr>
        <w:t xml:space="preserve">Primary </w:t>
      </w:r>
      <w:r w:rsidRPr="00DE5E47">
        <w:rPr>
          <w:rFonts w:cs="Times New Roman"/>
          <w:sz w:val="24"/>
          <w:szCs w:val="24"/>
        </w:rPr>
        <w:t xml:space="preserve">[3] </w:t>
      </w:r>
      <w:r w:rsidRPr="00DE5E47">
        <w:rPr>
          <w:rFonts w:eastAsia="Calibri" w:cs="Times New Roman"/>
          <w:sz w:val="24"/>
          <w:szCs w:val="24"/>
          <w:lang w:val="en-GB"/>
        </w:rPr>
        <w:t xml:space="preserve">Secondary </w:t>
      </w:r>
      <w:r w:rsidRPr="00DE5E47">
        <w:rPr>
          <w:rFonts w:cs="Times New Roman"/>
          <w:sz w:val="24"/>
          <w:szCs w:val="24"/>
        </w:rPr>
        <w:t xml:space="preserve">[4] </w:t>
      </w:r>
      <w:r w:rsidRPr="00DE5E47">
        <w:rPr>
          <w:rFonts w:eastAsia="Calibri" w:cs="Times New Roman"/>
          <w:sz w:val="24"/>
          <w:szCs w:val="24"/>
          <w:lang w:val="en-GB"/>
        </w:rPr>
        <w:t xml:space="preserve">Certificate </w:t>
      </w:r>
      <w:r w:rsidRPr="00DE5E47">
        <w:rPr>
          <w:rFonts w:cs="Times New Roman"/>
          <w:sz w:val="24"/>
          <w:szCs w:val="24"/>
        </w:rPr>
        <w:t xml:space="preserve">[5] </w:t>
      </w:r>
      <w:r w:rsidRPr="00DE5E47">
        <w:rPr>
          <w:rFonts w:eastAsia="Calibri" w:cs="Times New Roman"/>
          <w:sz w:val="24"/>
          <w:szCs w:val="24"/>
          <w:lang w:val="en-GB"/>
        </w:rPr>
        <w:t xml:space="preserve">Diploma </w:t>
      </w:r>
      <w:r w:rsidRPr="00DE5E47">
        <w:rPr>
          <w:rFonts w:cs="Times New Roman"/>
          <w:sz w:val="24"/>
          <w:szCs w:val="24"/>
        </w:rPr>
        <w:t xml:space="preserve">[6] </w:t>
      </w:r>
      <w:r w:rsidRPr="00DE5E47">
        <w:rPr>
          <w:rFonts w:eastAsia="Calibri" w:cs="Times New Roman"/>
          <w:sz w:val="24"/>
          <w:szCs w:val="24"/>
          <w:lang w:val="en-GB"/>
        </w:rPr>
        <w:t xml:space="preserve">Undergraduate </w:t>
      </w:r>
      <w:r w:rsidRPr="00DE5E47">
        <w:rPr>
          <w:rFonts w:cs="Times New Roman"/>
          <w:sz w:val="24"/>
          <w:szCs w:val="24"/>
        </w:rPr>
        <w:t xml:space="preserve">[7] </w:t>
      </w:r>
      <w:r w:rsidRPr="00DE5E47">
        <w:rPr>
          <w:rFonts w:eastAsia="Calibri" w:cs="Times New Roman"/>
          <w:sz w:val="24"/>
          <w:szCs w:val="24"/>
          <w:lang w:val="en-GB"/>
        </w:rPr>
        <w:t>Postgraduate</w:t>
      </w:r>
    </w:p>
    <w:p w14:paraId="75858DF7" w14:textId="77777777" w:rsidR="00221112" w:rsidRPr="00DE5E47" w:rsidRDefault="00C14051">
      <w:pPr>
        <w:spacing w:line="360" w:lineRule="auto"/>
        <w:jc w:val="both"/>
        <w:rPr>
          <w:rFonts w:eastAsia="Calibri" w:cs="Times New Roman"/>
          <w:sz w:val="24"/>
          <w:szCs w:val="24"/>
          <w:lang w:val="en-GB"/>
        </w:rPr>
      </w:pPr>
      <w:r w:rsidRPr="00DE5E47">
        <w:rPr>
          <w:rFonts w:cs="Times New Roman"/>
          <w:sz w:val="24"/>
          <w:szCs w:val="24"/>
        </w:rPr>
        <w:t>What is your marital status?</w:t>
      </w:r>
      <w:r w:rsidRPr="00DE5E47">
        <w:rPr>
          <w:rFonts w:eastAsia="Calibri" w:cs="Times New Roman"/>
          <w:sz w:val="24"/>
          <w:szCs w:val="24"/>
          <w:lang w:val="en-GB"/>
        </w:rPr>
        <w:t xml:space="preserve"> </w:t>
      </w:r>
    </w:p>
    <w:p w14:paraId="1FA43D29" w14:textId="77777777" w:rsidR="00221112" w:rsidRPr="00DE5E47" w:rsidRDefault="00C14051">
      <w:pPr>
        <w:pStyle w:val="ListParagraph"/>
        <w:numPr>
          <w:ilvl w:val="0"/>
          <w:numId w:val="10"/>
        </w:numPr>
        <w:spacing w:line="360" w:lineRule="auto"/>
        <w:jc w:val="both"/>
        <w:rPr>
          <w:rFonts w:eastAsia="Calibri" w:cs="Times New Roman"/>
          <w:sz w:val="24"/>
          <w:szCs w:val="24"/>
          <w:lang w:val="en-GB"/>
        </w:rPr>
      </w:pPr>
      <w:r w:rsidRPr="00DE5E47">
        <w:rPr>
          <w:rFonts w:eastAsia="Calibri" w:cs="Times New Roman"/>
          <w:sz w:val="24"/>
          <w:szCs w:val="24"/>
          <w:lang w:val="en-GB"/>
        </w:rPr>
        <w:t>single</w:t>
      </w:r>
    </w:p>
    <w:p w14:paraId="7ACB0E41"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married</w:t>
      </w:r>
    </w:p>
    <w:p w14:paraId="5AEED4F0"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Widowed</w:t>
      </w:r>
    </w:p>
    <w:p w14:paraId="176BE8CF" w14:textId="77777777" w:rsidR="00221112" w:rsidRPr="00DE5E47" w:rsidRDefault="00C14051">
      <w:pPr>
        <w:pStyle w:val="ListParagraph"/>
        <w:numPr>
          <w:ilvl w:val="0"/>
          <w:numId w:val="10"/>
        </w:numPr>
        <w:spacing w:line="360" w:lineRule="auto"/>
        <w:jc w:val="both"/>
        <w:rPr>
          <w:rFonts w:cs="Times New Roman"/>
          <w:sz w:val="24"/>
          <w:szCs w:val="24"/>
        </w:rPr>
      </w:pPr>
      <w:r w:rsidRPr="00DE5E47">
        <w:rPr>
          <w:rFonts w:cs="Times New Roman"/>
          <w:sz w:val="24"/>
          <w:szCs w:val="24"/>
        </w:rPr>
        <w:t>Separated/Divorced</w:t>
      </w:r>
    </w:p>
    <w:p w14:paraId="21CF1D13"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cs="Times New Roman"/>
          <w:sz w:val="24"/>
          <w:szCs w:val="24"/>
        </w:rPr>
        <w:t xml:space="preserve">[1] </w:t>
      </w:r>
      <w:r w:rsidRPr="00DE5E47">
        <w:rPr>
          <w:rFonts w:eastAsia="Calibri" w:cs="Times New Roman"/>
          <w:sz w:val="24"/>
          <w:szCs w:val="24"/>
          <w:lang w:val="en-GB"/>
        </w:rPr>
        <w:t xml:space="preserve">Single </w:t>
      </w:r>
      <w:r w:rsidRPr="00DE5E47">
        <w:rPr>
          <w:rFonts w:cs="Times New Roman"/>
          <w:sz w:val="24"/>
          <w:szCs w:val="24"/>
        </w:rPr>
        <w:t xml:space="preserve">[2] </w:t>
      </w:r>
      <w:r w:rsidRPr="00DE5E47">
        <w:rPr>
          <w:rFonts w:eastAsia="Calibri" w:cs="Times New Roman"/>
          <w:sz w:val="24"/>
          <w:szCs w:val="24"/>
          <w:lang w:val="en-GB"/>
        </w:rPr>
        <w:t xml:space="preserve">Married </w:t>
      </w:r>
      <w:r w:rsidRPr="00DE5E47">
        <w:rPr>
          <w:rFonts w:cs="Times New Roman"/>
          <w:sz w:val="24"/>
          <w:szCs w:val="24"/>
        </w:rPr>
        <w:t xml:space="preserve">[3] </w:t>
      </w:r>
      <w:r w:rsidRPr="00DE5E47">
        <w:rPr>
          <w:rFonts w:eastAsia="Calibri" w:cs="Times New Roman"/>
          <w:sz w:val="24"/>
          <w:szCs w:val="24"/>
          <w:lang w:val="en-GB"/>
        </w:rPr>
        <w:t xml:space="preserve">Widowed </w:t>
      </w:r>
      <w:r w:rsidRPr="00DE5E47">
        <w:rPr>
          <w:rFonts w:cs="Times New Roman"/>
          <w:sz w:val="24"/>
          <w:szCs w:val="24"/>
        </w:rPr>
        <w:t xml:space="preserve">[4] </w:t>
      </w:r>
      <w:r w:rsidRPr="00DE5E47">
        <w:rPr>
          <w:rFonts w:eastAsia="Calibri" w:cs="Times New Roman"/>
          <w:sz w:val="24"/>
          <w:szCs w:val="24"/>
          <w:lang w:val="en-GB"/>
        </w:rPr>
        <w:t>Separated/Divorced</w:t>
      </w:r>
    </w:p>
    <w:p w14:paraId="219B2D82" w14:textId="77777777" w:rsidR="00221112" w:rsidRPr="00DE5E47" w:rsidRDefault="00C14051">
      <w:pPr>
        <w:tabs>
          <w:tab w:val="left" w:pos="0"/>
          <w:tab w:val="decimal" w:pos="1152"/>
          <w:tab w:val="left" w:pos="2160"/>
          <w:tab w:val="left" w:pos="2880"/>
        </w:tabs>
        <w:spacing w:after="0" w:line="360" w:lineRule="auto"/>
        <w:jc w:val="both"/>
        <w:rPr>
          <w:rFonts w:eastAsia="Calibri" w:cs="Times New Roman"/>
          <w:sz w:val="24"/>
          <w:szCs w:val="24"/>
          <w:lang w:val="en-GB"/>
        </w:rPr>
      </w:pPr>
      <w:r w:rsidRPr="00DE5E47">
        <w:rPr>
          <w:rFonts w:eastAsia="Calibri" w:cs="Times New Roman"/>
          <w:sz w:val="24"/>
          <w:szCs w:val="24"/>
          <w:lang w:val="en-GB"/>
        </w:rPr>
        <w:t>What is the size of the household?</w:t>
      </w:r>
    </w:p>
    <w:p w14:paraId="592D9244"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What is your stakeholder type?</w:t>
      </w:r>
    </w:p>
    <w:p w14:paraId="445123D4"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7D84FC8" w14:textId="77777777" w:rsidR="00221112" w:rsidRPr="00DE5E47" w:rsidRDefault="00221112">
      <w:pPr>
        <w:spacing w:line="360" w:lineRule="auto"/>
        <w:ind w:left="-720" w:firstLine="720"/>
        <w:jc w:val="both"/>
        <w:rPr>
          <w:rFonts w:cs="Times New Roman"/>
          <w:sz w:val="24"/>
          <w:szCs w:val="24"/>
        </w:rPr>
      </w:pPr>
    </w:p>
    <w:p w14:paraId="4079AEB5" w14:textId="77777777" w:rsidR="00221112" w:rsidRPr="00DE5E47" w:rsidRDefault="00C14051">
      <w:pPr>
        <w:spacing w:after="0" w:line="360" w:lineRule="auto"/>
        <w:jc w:val="both"/>
        <w:rPr>
          <w:rFonts w:eastAsia="Calibri" w:cs="Times New Roman"/>
          <w:sz w:val="24"/>
          <w:szCs w:val="24"/>
          <w:lang w:val="en-GB"/>
        </w:rPr>
      </w:pPr>
      <w:r w:rsidRPr="00DE5E47">
        <w:rPr>
          <w:rFonts w:cs="Times New Roman"/>
          <w:sz w:val="24"/>
          <w:szCs w:val="24"/>
        </w:rPr>
        <w:lastRenderedPageBreak/>
        <w:t xml:space="preserve">[1] </w:t>
      </w:r>
      <w:r w:rsidRPr="00DE5E47">
        <w:rPr>
          <w:rFonts w:eastAsia="Calibri" w:cs="Times New Roman"/>
          <w:sz w:val="24"/>
          <w:szCs w:val="24"/>
          <w:lang w:val="en-GB"/>
        </w:rPr>
        <w:t xml:space="preserve">Fisher </w:t>
      </w:r>
      <w:r w:rsidRPr="00DE5E47">
        <w:rPr>
          <w:rFonts w:cs="Times New Roman"/>
          <w:sz w:val="24"/>
          <w:szCs w:val="24"/>
        </w:rPr>
        <w:t xml:space="preserve">[2] </w:t>
      </w:r>
      <w:r w:rsidRPr="00DE5E47">
        <w:rPr>
          <w:rFonts w:eastAsia="Calibri" w:cs="Times New Roman"/>
          <w:sz w:val="24"/>
          <w:szCs w:val="24"/>
          <w:lang w:val="en-GB"/>
        </w:rPr>
        <w:t xml:space="preserve">Middleman </w:t>
      </w:r>
      <w:r w:rsidRPr="00DE5E47">
        <w:rPr>
          <w:rFonts w:cs="Times New Roman"/>
          <w:sz w:val="24"/>
          <w:szCs w:val="24"/>
        </w:rPr>
        <w:t xml:space="preserve">[3] </w:t>
      </w:r>
      <w:r w:rsidRPr="00DE5E47">
        <w:rPr>
          <w:rFonts w:eastAsia="Calibri" w:cs="Times New Roman"/>
          <w:sz w:val="24"/>
          <w:szCs w:val="24"/>
          <w:lang w:val="en-GB"/>
        </w:rPr>
        <w:t xml:space="preserve">Hotelier </w:t>
      </w:r>
      <w:r w:rsidRPr="00DE5E47">
        <w:rPr>
          <w:rFonts w:cs="Times New Roman"/>
          <w:sz w:val="24"/>
          <w:szCs w:val="24"/>
        </w:rPr>
        <w:t xml:space="preserve">[4] </w:t>
      </w:r>
      <w:r w:rsidRPr="00DE5E47">
        <w:rPr>
          <w:rFonts w:eastAsia="Calibri" w:cs="Times New Roman"/>
          <w:sz w:val="24"/>
          <w:szCs w:val="24"/>
          <w:lang w:val="en-GB"/>
        </w:rPr>
        <w:t xml:space="preserve">Transporter </w:t>
      </w:r>
      <w:r w:rsidRPr="00DE5E47">
        <w:rPr>
          <w:rFonts w:cs="Times New Roman"/>
          <w:sz w:val="24"/>
          <w:szCs w:val="24"/>
        </w:rPr>
        <w:t xml:space="preserve">[5] </w:t>
      </w:r>
      <w:r w:rsidRPr="00DE5E47">
        <w:rPr>
          <w:rFonts w:eastAsia="Calibri" w:cs="Times New Roman"/>
          <w:sz w:val="24"/>
          <w:szCs w:val="24"/>
          <w:lang w:val="en-GB"/>
        </w:rPr>
        <w:t xml:space="preserve">Exporter </w:t>
      </w:r>
      <w:r w:rsidRPr="00DE5E47">
        <w:rPr>
          <w:rFonts w:cs="Times New Roman"/>
          <w:sz w:val="24"/>
          <w:szCs w:val="24"/>
        </w:rPr>
        <w:t xml:space="preserve">[5] </w:t>
      </w:r>
      <w:r w:rsidRPr="00DE5E47">
        <w:rPr>
          <w:rFonts w:eastAsia="Calibri" w:cs="Times New Roman"/>
          <w:sz w:val="24"/>
          <w:szCs w:val="24"/>
          <w:lang w:val="en-GB"/>
        </w:rPr>
        <w:t xml:space="preserve">Deport owner </w:t>
      </w:r>
      <w:r w:rsidRPr="00DE5E47">
        <w:rPr>
          <w:rFonts w:cs="Times New Roman"/>
          <w:sz w:val="24"/>
          <w:szCs w:val="24"/>
        </w:rPr>
        <w:t xml:space="preserve">[6 </w:t>
      </w:r>
      <w:r w:rsidRPr="00DE5E47">
        <w:rPr>
          <w:rFonts w:eastAsia="Calibri" w:cs="Times New Roman"/>
          <w:sz w:val="24"/>
          <w:szCs w:val="24"/>
          <w:lang w:val="en-GB"/>
        </w:rPr>
        <w:t>Other (specify)</w:t>
      </w:r>
    </w:p>
    <w:p w14:paraId="173023C2" w14:textId="77777777" w:rsidR="00221112" w:rsidRPr="00DE5E47" w:rsidRDefault="00C14051">
      <w:pPr>
        <w:spacing w:line="360" w:lineRule="auto"/>
        <w:ind w:left="-720" w:firstLine="720"/>
        <w:jc w:val="both"/>
        <w:rPr>
          <w:rFonts w:cs="Times New Roman"/>
          <w:sz w:val="24"/>
          <w:szCs w:val="24"/>
        </w:rPr>
      </w:pPr>
      <w:r w:rsidRPr="00DE5E47">
        <w:rPr>
          <w:rFonts w:cs="Times New Roman"/>
          <w:sz w:val="24"/>
          <w:szCs w:val="24"/>
        </w:rPr>
        <w:t>How many Years of Experience do you have in the Mud Crab Fishery?</w:t>
      </w:r>
    </w:p>
    <w:p w14:paraId="2CD88053"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5 years [2] 5-10 years [3] 11-20 years [2] Over 20 years</w:t>
      </w:r>
    </w:p>
    <w:p w14:paraId="08BFC87F" w14:textId="77777777" w:rsidR="00221112" w:rsidRPr="00DE5E47" w:rsidRDefault="00221112">
      <w:pPr>
        <w:tabs>
          <w:tab w:val="left" w:pos="0"/>
          <w:tab w:val="decimal" w:pos="1152"/>
          <w:tab w:val="left" w:pos="2160"/>
          <w:tab w:val="left" w:pos="2880"/>
        </w:tabs>
        <w:spacing w:after="0" w:line="360" w:lineRule="auto"/>
        <w:jc w:val="both"/>
        <w:rPr>
          <w:rFonts w:eastAsia="Calibri" w:cs="Times New Roman"/>
          <w:sz w:val="24"/>
          <w:szCs w:val="24"/>
          <w:lang w:val="en-GB"/>
        </w:rPr>
      </w:pPr>
    </w:p>
    <w:p w14:paraId="407B6988"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Role in the Mud Crab Fishery:</w:t>
      </w:r>
      <w:r w:rsidRPr="00DE5E47">
        <w:rPr>
          <w:rFonts w:cs="Times New Roman"/>
          <w:sz w:val="24"/>
          <w:szCs w:val="24"/>
        </w:rPr>
        <w:t xml:space="preserve"> </w:t>
      </w:r>
    </w:p>
    <w:p w14:paraId="598C657D"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primary role in the mud crab fishery?</w:t>
      </w:r>
    </w:p>
    <w:p w14:paraId="7A1E5981" w14:textId="77777777" w:rsidR="00221112" w:rsidRPr="00DE5E47" w:rsidRDefault="00C14051">
      <w:pPr>
        <w:spacing w:line="360" w:lineRule="auto"/>
        <w:jc w:val="both"/>
        <w:rPr>
          <w:rFonts w:cs="Times New Roman"/>
          <w:sz w:val="24"/>
          <w:szCs w:val="24"/>
        </w:rPr>
      </w:pPr>
      <w:r w:rsidRPr="00DE5E47">
        <w:rPr>
          <w:rFonts w:cs="Times New Roman"/>
          <w:sz w:val="24"/>
          <w:szCs w:val="24"/>
        </w:rPr>
        <w:t>[1] Fisher [2] Trader [3] Exporter [4] hotel (5) Other (Specify)</w:t>
      </w:r>
    </w:p>
    <w:p w14:paraId="795C95AF" w14:textId="77777777" w:rsidR="00221112" w:rsidRPr="00DE5E47" w:rsidRDefault="00221112">
      <w:pPr>
        <w:spacing w:line="360" w:lineRule="auto"/>
        <w:jc w:val="both"/>
        <w:rPr>
          <w:rFonts w:cs="Times New Roman"/>
          <w:sz w:val="24"/>
          <w:szCs w:val="24"/>
        </w:rPr>
      </w:pPr>
    </w:p>
    <w:p w14:paraId="6FE74319"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acquire mud crabs?</w:t>
      </w:r>
    </w:p>
    <w:p w14:paraId="1605FEE9"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[2] Purchasing [3] Both</w:t>
      </w:r>
    </w:p>
    <w:p w14:paraId="7F10E8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crabbing, processing, marketing, or other activities related to mud crab fishery?</w:t>
      </w:r>
    </w:p>
    <w:p w14:paraId="46B8C32D"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39245DC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Ownership and Control:</w:t>
      </w:r>
      <w:r w:rsidRPr="00DE5E47">
        <w:rPr>
          <w:rFonts w:cs="Times New Roman"/>
          <w:sz w:val="24"/>
          <w:szCs w:val="24"/>
        </w:rPr>
        <w:t xml:space="preserve"> </w:t>
      </w:r>
    </w:p>
    <w:p w14:paraId="432F741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own or manage any mud crab fishing operations or businesses?</w:t>
      </w:r>
    </w:p>
    <w:p w14:paraId="0E8652EE" w14:textId="77777777" w:rsidR="00221112" w:rsidRPr="00DE5E47" w:rsidRDefault="00C14051">
      <w:pPr>
        <w:spacing w:line="360" w:lineRule="auto"/>
        <w:jc w:val="both"/>
        <w:rPr>
          <w:rFonts w:cs="Times New Roman"/>
          <w:sz w:val="24"/>
          <w:szCs w:val="24"/>
        </w:rPr>
      </w:pPr>
      <w:r w:rsidRPr="00DE5E47">
        <w:rPr>
          <w:rFonts w:cs="Times New Roman"/>
          <w:sz w:val="24"/>
          <w:szCs w:val="24"/>
        </w:rPr>
        <w:t>[1] Yes           [2] No</w:t>
      </w:r>
    </w:p>
    <w:p w14:paraId="5228387F" w14:textId="77777777" w:rsidR="00221112" w:rsidRPr="00DE5E47" w:rsidRDefault="00C14051">
      <w:pPr>
        <w:spacing w:line="360" w:lineRule="auto"/>
        <w:jc w:val="both"/>
        <w:rPr>
          <w:rFonts w:cs="Times New Roman"/>
          <w:sz w:val="24"/>
          <w:szCs w:val="24"/>
        </w:rPr>
      </w:pPr>
      <w:r w:rsidRPr="00DE5E47">
        <w:rPr>
          <w:rFonts w:cs="Times New Roman"/>
          <w:sz w:val="24"/>
          <w:szCs w:val="24"/>
        </w:rPr>
        <w:t>If yes, what is the scale of your operations (small-scale, medium-scale, large-scale)?</w:t>
      </w:r>
    </w:p>
    <w:p w14:paraId="6C0C3747" w14:textId="77777777" w:rsidR="00221112" w:rsidRPr="00DE5E47" w:rsidRDefault="00C14051">
      <w:pPr>
        <w:spacing w:line="360" w:lineRule="auto"/>
        <w:jc w:val="both"/>
        <w:rPr>
          <w:rFonts w:cs="Times New Roman"/>
          <w:sz w:val="24"/>
          <w:szCs w:val="24"/>
        </w:rPr>
      </w:pPr>
      <w:r w:rsidRPr="00DE5E47">
        <w:rPr>
          <w:rFonts w:cs="Times New Roman"/>
          <w:sz w:val="24"/>
          <w:szCs w:val="24"/>
        </w:rPr>
        <w:t>[1] Small-scale</w:t>
      </w:r>
      <w:r w:rsidRPr="00DE5E47">
        <w:rPr>
          <w:rFonts w:cs="Times New Roman"/>
          <w:sz w:val="24"/>
          <w:szCs w:val="24"/>
        </w:rPr>
        <w:tab/>
      </w:r>
      <w:r w:rsidRPr="00DE5E47">
        <w:rPr>
          <w:rFonts w:cs="Times New Roman"/>
          <w:sz w:val="24"/>
          <w:szCs w:val="24"/>
        </w:rPr>
        <w:tab/>
        <w:t>[2] Medium-scale</w:t>
      </w:r>
      <w:r w:rsidRPr="00DE5E47">
        <w:rPr>
          <w:rFonts w:cs="Times New Roman"/>
          <w:sz w:val="24"/>
          <w:szCs w:val="24"/>
        </w:rPr>
        <w:tab/>
      </w:r>
      <w:r w:rsidRPr="00DE5E47">
        <w:rPr>
          <w:rFonts w:cs="Times New Roman"/>
          <w:sz w:val="24"/>
          <w:szCs w:val="24"/>
        </w:rPr>
        <w:tab/>
        <w:t>[3] Large-scale</w:t>
      </w:r>
    </w:p>
    <w:p w14:paraId="2BB18226" w14:textId="77777777" w:rsidR="00221112" w:rsidRPr="00DE5E47" w:rsidRDefault="00C14051">
      <w:pPr>
        <w:spacing w:line="360" w:lineRule="auto"/>
        <w:jc w:val="both"/>
        <w:rPr>
          <w:rFonts w:cs="Times New Roman"/>
          <w:sz w:val="24"/>
          <w:szCs w:val="24"/>
        </w:rPr>
      </w:pPr>
      <w:r w:rsidRPr="00DE5E47">
        <w:rPr>
          <w:rFonts w:cs="Times New Roman"/>
          <w:sz w:val="24"/>
          <w:szCs w:val="24"/>
        </w:rPr>
        <w:t>Are you part of any cooperative or association related to mud crab fishery?</w:t>
      </w:r>
    </w:p>
    <w:p w14:paraId="53DAC03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0A0E25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Engagement:</w:t>
      </w:r>
      <w:r w:rsidRPr="00DE5E47">
        <w:rPr>
          <w:rFonts w:cs="Times New Roman"/>
          <w:sz w:val="24"/>
          <w:szCs w:val="24"/>
        </w:rPr>
        <w:t xml:space="preserve"> </w:t>
      </w:r>
    </w:p>
    <w:p w14:paraId="5BD1C44C" w14:textId="77777777" w:rsidR="00221112" w:rsidRPr="00DE5E47" w:rsidRDefault="00C14051">
      <w:pPr>
        <w:spacing w:line="360" w:lineRule="auto"/>
        <w:jc w:val="both"/>
        <w:rPr>
          <w:rFonts w:cs="Times New Roman"/>
          <w:sz w:val="24"/>
          <w:szCs w:val="24"/>
        </w:rPr>
      </w:pPr>
      <w:r w:rsidRPr="00DE5E47">
        <w:rPr>
          <w:rFonts w:cs="Times New Roman"/>
          <w:sz w:val="24"/>
          <w:szCs w:val="24"/>
        </w:rPr>
        <w:t>Which markets do you primarily supply mud crabs to?</w:t>
      </w:r>
    </w:p>
    <w:p w14:paraId="1964713A"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 xml:space="preserve"> [2] Regional Markets</w:t>
      </w:r>
      <w:r w:rsidRPr="00DE5E47">
        <w:rPr>
          <w:rFonts w:cs="Times New Roman"/>
          <w:sz w:val="24"/>
          <w:szCs w:val="24"/>
        </w:rPr>
        <w:tab/>
      </w:r>
      <w:r w:rsidRPr="00DE5E47">
        <w:rPr>
          <w:rFonts w:cs="Times New Roman"/>
          <w:sz w:val="24"/>
          <w:szCs w:val="24"/>
        </w:rPr>
        <w:tab/>
        <w:t>[3] Export Markets</w:t>
      </w:r>
    </w:p>
    <w:p w14:paraId="3D587AD6"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direct contact with consumers, or do you sell through intermediaries?</w:t>
      </w:r>
    </w:p>
    <w:p w14:paraId="066D4980"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Contact</w:t>
      </w:r>
      <w:r w:rsidRPr="00DE5E47">
        <w:rPr>
          <w:rFonts w:cs="Times New Roman"/>
          <w:sz w:val="24"/>
          <w:szCs w:val="24"/>
        </w:rPr>
        <w:tab/>
        <w:t>[2] Through Intermediaries</w:t>
      </w:r>
    </w:p>
    <w:p w14:paraId="29A95A3D"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your main challenges in selling mud crabs?</w:t>
      </w:r>
    </w:p>
    <w:p w14:paraId="60F7AC7A" w14:textId="77777777" w:rsidR="00221112" w:rsidRPr="00DE5E47" w:rsidRDefault="00C14051">
      <w:pPr>
        <w:spacing w:line="360" w:lineRule="auto"/>
        <w:jc w:val="both"/>
        <w:rPr>
          <w:rFonts w:cs="Times New Roman"/>
          <w:sz w:val="24"/>
          <w:szCs w:val="24"/>
        </w:rPr>
      </w:pPr>
      <w:r w:rsidRPr="00DE5E47">
        <w:rPr>
          <w:rFonts w:cs="Times New Roman"/>
          <w:sz w:val="24"/>
          <w:szCs w:val="24"/>
        </w:rPr>
        <w:t>[1] Price Fluctuations</w:t>
      </w:r>
      <w:r w:rsidRPr="00DE5E47">
        <w:rPr>
          <w:rFonts w:cs="Times New Roman"/>
          <w:sz w:val="24"/>
          <w:szCs w:val="24"/>
        </w:rPr>
        <w:tab/>
      </w:r>
      <w:r w:rsidRPr="00DE5E47">
        <w:rPr>
          <w:rFonts w:cs="Times New Roman"/>
          <w:sz w:val="24"/>
          <w:szCs w:val="24"/>
        </w:rPr>
        <w:tab/>
        <w:t>[2] Quality Control</w:t>
      </w:r>
      <w:r w:rsidRPr="00DE5E47">
        <w:rPr>
          <w:rFonts w:cs="Times New Roman"/>
          <w:sz w:val="24"/>
          <w:szCs w:val="24"/>
        </w:rPr>
        <w:tab/>
        <w:t xml:space="preserve"> [3] Market Access</w:t>
      </w:r>
      <w:r w:rsidRPr="00DE5E47">
        <w:rPr>
          <w:rFonts w:cs="Times New Roman"/>
          <w:sz w:val="24"/>
          <w:szCs w:val="24"/>
        </w:rPr>
        <w:tab/>
        <w:t xml:space="preserve"> [4] Other (Specify)</w:t>
      </w:r>
    </w:p>
    <w:p w14:paraId="18A0A7C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Socio-economic Background:</w:t>
      </w:r>
      <w:r w:rsidRPr="00DE5E47">
        <w:rPr>
          <w:rFonts w:cs="Times New Roman"/>
          <w:sz w:val="24"/>
          <w:szCs w:val="24"/>
        </w:rPr>
        <w:t xml:space="preserve"> </w:t>
      </w:r>
    </w:p>
    <w:p w14:paraId="66504C03"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household size?</w:t>
      </w:r>
    </w:p>
    <w:p w14:paraId="3180F212" w14:textId="77777777" w:rsidR="00221112" w:rsidRPr="00DE5E47" w:rsidRDefault="00C14051">
      <w:pPr>
        <w:spacing w:line="360" w:lineRule="auto"/>
        <w:jc w:val="both"/>
        <w:rPr>
          <w:rFonts w:cs="Times New Roman"/>
          <w:sz w:val="24"/>
          <w:szCs w:val="24"/>
        </w:rPr>
      </w:pPr>
      <w:r w:rsidRPr="00DE5E47">
        <w:rPr>
          <w:rFonts w:cs="Times New Roman"/>
          <w:sz w:val="24"/>
          <w:szCs w:val="24"/>
        </w:rPr>
        <w:t>[1] 1-3</w:t>
      </w:r>
      <w:r w:rsidRPr="00DE5E47">
        <w:rPr>
          <w:rFonts w:cs="Times New Roman"/>
          <w:sz w:val="24"/>
          <w:szCs w:val="24"/>
        </w:rPr>
        <w:tab/>
      </w:r>
      <w:r w:rsidRPr="00DE5E47">
        <w:rPr>
          <w:rFonts w:cs="Times New Roman"/>
          <w:sz w:val="24"/>
          <w:szCs w:val="24"/>
        </w:rPr>
        <w:tab/>
        <w:t>[2] 4-6</w:t>
      </w:r>
      <w:r w:rsidRPr="00DE5E47">
        <w:rPr>
          <w:rFonts w:cs="Times New Roman"/>
          <w:sz w:val="24"/>
          <w:szCs w:val="24"/>
        </w:rPr>
        <w:tab/>
      </w:r>
      <w:r w:rsidRPr="00DE5E47">
        <w:rPr>
          <w:rFonts w:cs="Times New Roman"/>
          <w:sz w:val="24"/>
          <w:szCs w:val="24"/>
        </w:rPr>
        <w:tab/>
        <w:t>[3] 7-10</w:t>
      </w:r>
      <w:r w:rsidRPr="00DE5E47">
        <w:rPr>
          <w:rFonts w:cs="Times New Roman"/>
          <w:sz w:val="24"/>
          <w:szCs w:val="24"/>
        </w:rPr>
        <w:tab/>
      </w:r>
      <w:r w:rsidRPr="00DE5E47">
        <w:rPr>
          <w:rFonts w:cs="Times New Roman"/>
          <w:sz w:val="24"/>
          <w:szCs w:val="24"/>
        </w:rPr>
        <w:tab/>
        <w:t>[4] Over 10</w:t>
      </w:r>
    </w:p>
    <w:p w14:paraId="3AD3745B"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your average monthly income from mud crab-related activities?</w:t>
      </w:r>
    </w:p>
    <w:p w14:paraId="5D239C67" w14:textId="77777777" w:rsidR="00221112" w:rsidRPr="00DE5E47" w:rsidRDefault="00C14051">
      <w:pPr>
        <w:spacing w:line="360" w:lineRule="auto"/>
        <w:jc w:val="both"/>
        <w:rPr>
          <w:rFonts w:cs="Times New Roman"/>
          <w:sz w:val="24"/>
          <w:szCs w:val="24"/>
        </w:rPr>
      </w:pPr>
      <w:r w:rsidRPr="00DE5E47">
        <w:rPr>
          <w:rFonts w:cs="Times New Roman"/>
          <w:sz w:val="24"/>
          <w:szCs w:val="24"/>
        </w:rPr>
        <w:t>[1] Less than $100</w:t>
      </w:r>
      <w:r w:rsidRPr="00DE5E47">
        <w:rPr>
          <w:rFonts w:cs="Times New Roman"/>
          <w:sz w:val="24"/>
          <w:szCs w:val="24"/>
        </w:rPr>
        <w:tab/>
        <w:t>[2] $100-$500</w:t>
      </w:r>
      <w:r w:rsidRPr="00DE5E47">
        <w:rPr>
          <w:rFonts w:cs="Times New Roman"/>
          <w:sz w:val="24"/>
          <w:szCs w:val="24"/>
        </w:rPr>
        <w:tab/>
      </w:r>
      <w:r w:rsidRPr="00DE5E47">
        <w:rPr>
          <w:rFonts w:cs="Times New Roman"/>
          <w:sz w:val="24"/>
          <w:szCs w:val="24"/>
        </w:rPr>
        <w:tab/>
        <w:t>[3] $501-$1000</w:t>
      </w:r>
      <w:r w:rsidRPr="00DE5E47">
        <w:rPr>
          <w:rFonts w:cs="Times New Roman"/>
          <w:sz w:val="24"/>
          <w:szCs w:val="24"/>
        </w:rPr>
        <w:tab/>
      </w:r>
      <w:r w:rsidRPr="00DE5E47">
        <w:rPr>
          <w:rFonts w:cs="Times New Roman"/>
          <w:sz w:val="24"/>
          <w:szCs w:val="24"/>
        </w:rPr>
        <w:tab/>
        <w:t>[4] Over $1000</w:t>
      </w:r>
    </w:p>
    <w:p w14:paraId="3A33F0F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any other sources of income apart from mud crab fishing?</w:t>
      </w:r>
    </w:p>
    <w:p w14:paraId="75B0DE0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1D4243EE"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Knowledge and Skills:</w:t>
      </w:r>
      <w:r w:rsidRPr="00DE5E47">
        <w:rPr>
          <w:rFonts w:cs="Times New Roman"/>
          <w:sz w:val="24"/>
          <w:szCs w:val="24"/>
        </w:rPr>
        <w:t xml:space="preserve"> </w:t>
      </w:r>
    </w:p>
    <w:p w14:paraId="1234BA56" w14:textId="77777777" w:rsidR="00221112" w:rsidRPr="00DE5E47" w:rsidRDefault="00C14051">
      <w:pPr>
        <w:spacing w:line="360" w:lineRule="auto"/>
        <w:jc w:val="both"/>
        <w:rPr>
          <w:rFonts w:cs="Times New Roman"/>
          <w:sz w:val="24"/>
          <w:szCs w:val="24"/>
        </w:rPr>
      </w:pPr>
      <w:r w:rsidRPr="00DE5E47">
        <w:rPr>
          <w:rFonts w:cs="Times New Roman"/>
          <w:sz w:val="24"/>
          <w:szCs w:val="24"/>
        </w:rPr>
        <w:t>How did you acquire your knowledge and skills in mud crab fishing?</w:t>
      </w:r>
    </w:p>
    <w:p w14:paraId="0BDD238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Family Tradition </w:t>
      </w:r>
      <w:r w:rsidRPr="00DE5E47">
        <w:rPr>
          <w:rFonts w:cs="Times New Roman"/>
          <w:sz w:val="24"/>
          <w:szCs w:val="24"/>
        </w:rPr>
        <w:tab/>
        <w:t>[2] Community Training</w:t>
      </w:r>
      <w:r w:rsidRPr="00DE5E47">
        <w:rPr>
          <w:rFonts w:cs="Times New Roman"/>
          <w:sz w:val="24"/>
          <w:szCs w:val="24"/>
        </w:rPr>
        <w:tab/>
        <w:t xml:space="preserve">[3] Formal Education </w:t>
      </w:r>
      <w:r w:rsidRPr="00DE5E47">
        <w:rPr>
          <w:rFonts w:cs="Times New Roman"/>
          <w:sz w:val="24"/>
          <w:szCs w:val="24"/>
        </w:rPr>
        <w:tab/>
      </w:r>
      <w:r w:rsidRPr="00DE5E47">
        <w:rPr>
          <w:rFonts w:cs="Times New Roman"/>
          <w:sz w:val="24"/>
          <w:szCs w:val="24"/>
        </w:rPr>
        <w:tab/>
        <w:t>[4] Other (Specify)</w:t>
      </w:r>
    </w:p>
    <w:p w14:paraId="3DA99571"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undergone any formal training or education related to mud crab fishing?</w:t>
      </w:r>
    </w:p>
    <w:p w14:paraId="2DD6D2E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25652934"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Fishing activities and operations</w:t>
      </w:r>
    </w:p>
    <w:p w14:paraId="34EA8875"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 you catch daily?</w:t>
      </w:r>
    </w:p>
    <w:p w14:paraId="2481BEC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Less than 1KG </w:t>
      </w:r>
      <w:r w:rsidRPr="00DE5E47">
        <w:rPr>
          <w:rFonts w:cs="Times New Roman"/>
          <w:sz w:val="24"/>
          <w:szCs w:val="24"/>
        </w:rPr>
        <w:tab/>
        <w:t>[2] 2 - 3KG</w:t>
      </w:r>
      <w:r w:rsidRPr="00DE5E47">
        <w:rPr>
          <w:rFonts w:cs="Times New Roman"/>
          <w:sz w:val="24"/>
          <w:szCs w:val="24"/>
        </w:rPr>
        <w:tab/>
        <w:t xml:space="preserve">[3] 4 - 5KG </w:t>
      </w:r>
      <w:r w:rsidRPr="00DE5E47">
        <w:rPr>
          <w:rFonts w:cs="Times New Roman"/>
          <w:sz w:val="24"/>
          <w:szCs w:val="24"/>
        </w:rPr>
        <w:tab/>
        <w:t>[4] 5 - 10KG</w:t>
      </w:r>
      <w:r w:rsidRPr="00DE5E47">
        <w:rPr>
          <w:rFonts w:cs="Times New Roman"/>
          <w:sz w:val="24"/>
          <w:szCs w:val="24"/>
        </w:rPr>
        <w:tab/>
        <w:t>[5] Above 10KG</w:t>
      </w:r>
    </w:p>
    <w:p w14:paraId="2081B78F" w14:textId="77777777" w:rsidR="00221112" w:rsidRPr="00DE5E47" w:rsidRDefault="00C14051">
      <w:pPr>
        <w:spacing w:line="360" w:lineRule="auto"/>
        <w:jc w:val="both"/>
        <w:rPr>
          <w:rFonts w:cs="Times New Roman"/>
          <w:sz w:val="24"/>
          <w:szCs w:val="24"/>
        </w:rPr>
      </w:pPr>
      <w:r w:rsidRPr="00DE5E47">
        <w:rPr>
          <w:rFonts w:cs="Times New Roman"/>
          <w:sz w:val="24"/>
          <w:szCs w:val="24"/>
        </w:rPr>
        <w:t>Out of your catch, how much do you sell (not eaten) (proportion)?</w:t>
      </w:r>
    </w:p>
    <w:p w14:paraId="2B6BB0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Whole </w:t>
      </w:r>
      <w:r w:rsidRPr="00DE5E47">
        <w:rPr>
          <w:rFonts w:cs="Times New Roman"/>
          <w:sz w:val="24"/>
          <w:szCs w:val="24"/>
        </w:rPr>
        <w:tab/>
        <w:t xml:space="preserve">[2] Three - Quarters </w:t>
      </w:r>
      <w:r w:rsidRPr="00DE5E47">
        <w:rPr>
          <w:rFonts w:cs="Times New Roman"/>
          <w:sz w:val="24"/>
          <w:szCs w:val="24"/>
        </w:rPr>
        <w:tab/>
        <w:t xml:space="preserve">[3] Half </w:t>
      </w:r>
      <w:r w:rsidRPr="00DE5E47">
        <w:rPr>
          <w:rFonts w:cs="Times New Roman"/>
          <w:sz w:val="24"/>
          <w:szCs w:val="24"/>
        </w:rPr>
        <w:tab/>
        <w:t>[4] Quarter</w:t>
      </w:r>
      <w:r w:rsidRPr="00DE5E47">
        <w:rPr>
          <w:rFonts w:cs="Times New Roman"/>
          <w:sz w:val="24"/>
          <w:szCs w:val="24"/>
        </w:rPr>
        <w:tab/>
        <w:t>[5] None</w:t>
      </w:r>
    </w:p>
    <w:p w14:paraId="5D6AB01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mortality rate per day?</w:t>
      </w:r>
    </w:p>
    <w:p w14:paraId="60F259B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500G - 1KG </w:t>
      </w:r>
      <w:r w:rsidRPr="00DE5E47">
        <w:rPr>
          <w:rFonts w:cs="Times New Roman"/>
          <w:sz w:val="24"/>
          <w:szCs w:val="24"/>
        </w:rPr>
        <w:tab/>
        <w:t>[2] 2 - 3KG</w:t>
      </w:r>
      <w:r w:rsidRPr="00DE5E47">
        <w:rPr>
          <w:rFonts w:cs="Times New Roman"/>
          <w:sz w:val="24"/>
          <w:szCs w:val="24"/>
        </w:rPr>
        <w:tab/>
        <w:t>[3] 4 - 5KG</w:t>
      </w:r>
      <w:r w:rsidRPr="00DE5E47">
        <w:rPr>
          <w:rFonts w:cs="Times New Roman"/>
          <w:sz w:val="24"/>
          <w:szCs w:val="24"/>
        </w:rPr>
        <w:tab/>
        <w:t xml:space="preserve"> [4] 5 - 10KG</w:t>
      </w:r>
      <w:r w:rsidRPr="00DE5E47">
        <w:rPr>
          <w:rFonts w:cs="Times New Roman"/>
          <w:sz w:val="24"/>
          <w:szCs w:val="24"/>
        </w:rPr>
        <w:tab/>
      </w:r>
      <w:r w:rsidRPr="00DE5E47">
        <w:rPr>
          <w:rFonts w:cs="Times New Roman"/>
          <w:sz w:val="24"/>
          <w:szCs w:val="24"/>
        </w:rPr>
        <w:tab/>
        <w:t>[5] Above 10KG  6. Other (specify)</w:t>
      </w:r>
    </w:p>
    <w:p w14:paraId="4C68A8E2"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have licenses for the operation?</w:t>
      </w:r>
    </w:p>
    <w:p w14:paraId="6623B30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0298E879" w14:textId="77777777" w:rsidR="00221112" w:rsidRPr="00DE5E47" w:rsidRDefault="00C14051">
      <w:pPr>
        <w:spacing w:line="360" w:lineRule="auto"/>
        <w:jc w:val="both"/>
        <w:rPr>
          <w:rFonts w:cs="Times New Roman"/>
          <w:sz w:val="24"/>
          <w:szCs w:val="24"/>
        </w:rPr>
      </w:pPr>
      <w:r w:rsidRPr="00DE5E47">
        <w:rPr>
          <w:rFonts w:cs="Times New Roman"/>
          <w:sz w:val="24"/>
          <w:szCs w:val="24"/>
        </w:rPr>
        <w:t>Which gear do you use?</w:t>
      </w:r>
    </w:p>
    <w:p w14:paraId="3F1B08E7" w14:textId="77777777" w:rsidR="00221112" w:rsidRPr="00DE5E47" w:rsidRDefault="00C14051">
      <w:pPr>
        <w:spacing w:line="360" w:lineRule="auto"/>
        <w:jc w:val="both"/>
        <w:rPr>
          <w:rFonts w:cs="Times New Roman"/>
          <w:sz w:val="24"/>
          <w:szCs w:val="24"/>
        </w:rPr>
      </w:pPr>
      <w:r w:rsidRPr="00DE5E47">
        <w:rPr>
          <w:rFonts w:cs="Times New Roman"/>
          <w:sz w:val="24"/>
          <w:szCs w:val="24"/>
        </w:rPr>
        <w:t>[1] Hand Collection</w:t>
      </w:r>
      <w:r w:rsidRPr="00DE5E47">
        <w:rPr>
          <w:rFonts w:cs="Times New Roman"/>
          <w:sz w:val="24"/>
          <w:szCs w:val="24"/>
        </w:rPr>
        <w:tab/>
        <w:t>[2] Hook and stick</w:t>
      </w:r>
      <w:r w:rsidRPr="00DE5E47">
        <w:rPr>
          <w:rFonts w:cs="Times New Roman"/>
          <w:sz w:val="24"/>
          <w:szCs w:val="24"/>
        </w:rPr>
        <w:tab/>
      </w:r>
      <w:r w:rsidRPr="00DE5E47">
        <w:rPr>
          <w:rFonts w:cs="Times New Roman"/>
          <w:sz w:val="24"/>
          <w:szCs w:val="24"/>
        </w:rPr>
        <w:tab/>
        <w:t>[3] scoop net</w:t>
      </w:r>
      <w:r w:rsidRPr="00DE5E47">
        <w:rPr>
          <w:rFonts w:cs="Times New Roman"/>
          <w:sz w:val="24"/>
          <w:szCs w:val="24"/>
        </w:rPr>
        <w:tab/>
        <w:t>[4] Seine nets</w:t>
      </w:r>
      <w:r w:rsidRPr="00DE5E47">
        <w:rPr>
          <w:rFonts w:cs="Times New Roman"/>
          <w:sz w:val="24"/>
          <w:szCs w:val="24"/>
        </w:rPr>
        <w:tab/>
        <w:t>[5] Mosquito nets</w:t>
      </w:r>
    </w:p>
    <w:p w14:paraId="0B316070"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gear cost?</w:t>
      </w:r>
    </w:p>
    <w:p w14:paraId="004D5CFE" w14:textId="77777777" w:rsidR="00221112" w:rsidRPr="00DE5E47" w:rsidRDefault="00C14051">
      <w:pPr>
        <w:spacing w:line="360" w:lineRule="auto"/>
        <w:jc w:val="both"/>
        <w:rPr>
          <w:rFonts w:cs="Times New Roman"/>
          <w:sz w:val="24"/>
          <w:szCs w:val="24"/>
        </w:rPr>
      </w:pPr>
      <w:r w:rsidRPr="00DE5E47">
        <w:rPr>
          <w:rFonts w:cs="Times New Roman"/>
          <w:sz w:val="24"/>
          <w:szCs w:val="24"/>
        </w:rPr>
        <w:t>Where do you buy your fishing gears?</w:t>
      </w:r>
    </w:p>
    <w:p w14:paraId="32F52782" w14:textId="77777777" w:rsidR="00221112" w:rsidRPr="00DE5E47" w:rsidRDefault="00C14051">
      <w:pPr>
        <w:spacing w:line="360" w:lineRule="auto"/>
        <w:jc w:val="both"/>
        <w:rPr>
          <w:rFonts w:cs="Times New Roman"/>
          <w:sz w:val="24"/>
          <w:szCs w:val="24"/>
        </w:rPr>
      </w:pPr>
      <w:r w:rsidRPr="00DE5E47">
        <w:rPr>
          <w:rFonts w:cs="Times New Roman"/>
          <w:sz w:val="24"/>
          <w:szCs w:val="24"/>
        </w:rPr>
        <w:t>[1] Import</w:t>
      </w:r>
      <w:r w:rsidRPr="00DE5E47">
        <w:rPr>
          <w:rFonts w:cs="Times New Roman"/>
          <w:sz w:val="24"/>
          <w:szCs w:val="24"/>
        </w:rPr>
        <w:tab/>
        <w:t xml:space="preserve"> [2] Nairobi</w:t>
      </w:r>
      <w:r w:rsidRPr="00DE5E47">
        <w:rPr>
          <w:rFonts w:cs="Times New Roman"/>
          <w:sz w:val="24"/>
          <w:szCs w:val="24"/>
        </w:rPr>
        <w:tab/>
        <w:t>[3] Mombasa</w:t>
      </w:r>
      <w:r w:rsidRPr="00DE5E47">
        <w:rPr>
          <w:rFonts w:cs="Times New Roman"/>
          <w:sz w:val="24"/>
          <w:szCs w:val="24"/>
        </w:rPr>
        <w:tab/>
        <w:t>[4] Kilifi</w:t>
      </w:r>
      <w:r w:rsidRPr="00DE5E47">
        <w:rPr>
          <w:rFonts w:cs="Times New Roman"/>
          <w:sz w:val="24"/>
          <w:szCs w:val="24"/>
        </w:rPr>
        <w:tab/>
        <w:t>[5] Local Artisans</w:t>
      </w:r>
    </w:p>
    <w:p w14:paraId="01F978A7"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frequency of loss of fishing gear at sea?</w:t>
      </w:r>
    </w:p>
    <w:p w14:paraId="5A965909" w14:textId="77777777" w:rsidR="00221112" w:rsidRPr="00DE5E47" w:rsidRDefault="00C14051">
      <w:pPr>
        <w:spacing w:line="360" w:lineRule="auto"/>
        <w:jc w:val="both"/>
        <w:rPr>
          <w:rFonts w:cs="Times New Roman"/>
          <w:sz w:val="24"/>
          <w:szCs w:val="24"/>
        </w:rPr>
      </w:pPr>
      <w:r w:rsidRPr="00DE5E47">
        <w:rPr>
          <w:rFonts w:cs="Times New Roman"/>
          <w:sz w:val="24"/>
          <w:szCs w:val="24"/>
        </w:rPr>
        <w:t>[1] Daily</w:t>
      </w:r>
      <w:r w:rsidRPr="00DE5E47">
        <w:rPr>
          <w:rFonts w:cs="Times New Roman"/>
          <w:sz w:val="24"/>
          <w:szCs w:val="24"/>
        </w:rPr>
        <w:tab/>
        <w:t xml:space="preserve"> [2] weekly</w:t>
      </w:r>
      <w:r w:rsidRPr="00DE5E47">
        <w:rPr>
          <w:rFonts w:cs="Times New Roman"/>
          <w:sz w:val="24"/>
          <w:szCs w:val="24"/>
        </w:rPr>
        <w:tab/>
        <w:t>[3] monthly</w:t>
      </w:r>
      <w:r w:rsidRPr="00DE5E47">
        <w:rPr>
          <w:rFonts w:cs="Times New Roman"/>
          <w:sz w:val="24"/>
          <w:szCs w:val="24"/>
        </w:rPr>
        <w:tab/>
        <w:t>[4] yearly</w:t>
      </w:r>
      <w:r w:rsidRPr="00DE5E47">
        <w:rPr>
          <w:rFonts w:cs="Times New Roman"/>
          <w:sz w:val="24"/>
          <w:szCs w:val="24"/>
        </w:rPr>
        <w:tab/>
      </w:r>
    </w:p>
    <w:p w14:paraId="54E29B37" w14:textId="77777777" w:rsidR="00221112" w:rsidRPr="00DE5E47" w:rsidRDefault="00C14051">
      <w:pPr>
        <w:spacing w:line="360" w:lineRule="auto"/>
        <w:jc w:val="both"/>
        <w:rPr>
          <w:rFonts w:cs="Times New Roman"/>
          <w:sz w:val="24"/>
          <w:szCs w:val="24"/>
        </w:rPr>
      </w:pPr>
      <w:r w:rsidRPr="00DE5E47">
        <w:rPr>
          <w:rFonts w:cs="Times New Roman"/>
          <w:sz w:val="24"/>
          <w:szCs w:val="24"/>
        </w:rPr>
        <w:t>Which fishing craft do you use?</w:t>
      </w:r>
    </w:p>
    <w:p w14:paraId="146981D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Daily </w:t>
      </w:r>
      <w:r w:rsidRPr="00DE5E47">
        <w:rPr>
          <w:rFonts w:cs="Times New Roman"/>
          <w:sz w:val="24"/>
          <w:szCs w:val="24"/>
        </w:rPr>
        <w:tab/>
        <w:t>[2] weekly</w:t>
      </w:r>
      <w:r w:rsidRPr="00DE5E47">
        <w:rPr>
          <w:rFonts w:cs="Times New Roman"/>
          <w:sz w:val="24"/>
          <w:szCs w:val="24"/>
        </w:rPr>
        <w:tab/>
        <w:t>[3] monthly</w:t>
      </w:r>
      <w:r w:rsidRPr="00DE5E47">
        <w:rPr>
          <w:rFonts w:cs="Times New Roman"/>
          <w:sz w:val="24"/>
          <w:szCs w:val="24"/>
        </w:rPr>
        <w:tab/>
        <w:t>[4] yearly</w:t>
      </w:r>
    </w:p>
    <w:p w14:paraId="2EA80947" w14:textId="77777777" w:rsidR="00221112" w:rsidRPr="00DE5E47" w:rsidRDefault="00C14051">
      <w:pPr>
        <w:spacing w:line="360" w:lineRule="auto"/>
        <w:jc w:val="both"/>
        <w:rPr>
          <w:rFonts w:cs="Times New Roman"/>
          <w:sz w:val="24"/>
          <w:szCs w:val="24"/>
        </w:rPr>
      </w:pPr>
      <w:r w:rsidRPr="00DE5E47">
        <w:rPr>
          <w:rFonts w:cs="Times New Roman"/>
          <w:sz w:val="24"/>
          <w:szCs w:val="24"/>
        </w:rPr>
        <w:t>How much does the fishing craft cost?</w:t>
      </w:r>
    </w:p>
    <w:p w14:paraId="7F78A448"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 [2] 1000-3000</w:t>
      </w:r>
      <w:r w:rsidRPr="00DE5E47">
        <w:rPr>
          <w:rFonts w:cs="Times New Roman"/>
          <w:sz w:val="24"/>
          <w:szCs w:val="24"/>
        </w:rPr>
        <w:tab/>
        <w:t>[3] 3000-5000</w:t>
      </w:r>
      <w:r w:rsidRPr="00DE5E47">
        <w:rPr>
          <w:rFonts w:cs="Times New Roman"/>
          <w:sz w:val="24"/>
          <w:szCs w:val="24"/>
        </w:rPr>
        <w:tab/>
      </w:r>
      <w:r w:rsidRPr="00DE5E47">
        <w:rPr>
          <w:rFonts w:cs="Times New Roman"/>
          <w:sz w:val="24"/>
          <w:szCs w:val="24"/>
        </w:rPr>
        <w:tab/>
        <w:t>[4] 5000-10000</w:t>
      </w:r>
      <w:r w:rsidRPr="00DE5E47">
        <w:rPr>
          <w:rFonts w:cs="Times New Roman"/>
          <w:sz w:val="24"/>
          <w:szCs w:val="24"/>
        </w:rPr>
        <w:tab/>
        <w:t>[5] Above 10000</w:t>
      </w:r>
    </w:p>
    <w:p w14:paraId="524366E6" w14:textId="77777777" w:rsidR="00221112" w:rsidRPr="00DE5E47" w:rsidRDefault="00C14051">
      <w:pPr>
        <w:spacing w:line="360" w:lineRule="auto"/>
        <w:jc w:val="both"/>
        <w:rPr>
          <w:rFonts w:cs="Times New Roman"/>
          <w:sz w:val="24"/>
          <w:szCs w:val="24"/>
        </w:rPr>
      </w:pPr>
      <w:r w:rsidRPr="00DE5E47">
        <w:rPr>
          <w:rFonts w:cs="Times New Roman"/>
          <w:sz w:val="24"/>
          <w:szCs w:val="24"/>
        </w:rPr>
        <w:t>What does the maintenance cost? Explain</w:t>
      </w:r>
    </w:p>
    <w:p w14:paraId="7ECF726C" w14:textId="77777777" w:rsidR="00221112" w:rsidRPr="00DE5E47" w:rsidRDefault="00C14051">
      <w:pPr>
        <w:spacing w:line="360" w:lineRule="auto"/>
        <w:jc w:val="both"/>
        <w:rPr>
          <w:rFonts w:cs="Times New Roman"/>
          <w:sz w:val="24"/>
          <w:szCs w:val="24"/>
        </w:rPr>
      </w:pPr>
      <w:r w:rsidRPr="00DE5E47">
        <w:rPr>
          <w:rFonts w:cs="Times New Roman"/>
          <w:sz w:val="24"/>
          <w:szCs w:val="24"/>
        </w:rPr>
        <w:t>[1] below 1000</w:t>
      </w:r>
      <w:r w:rsidRPr="00DE5E47">
        <w:rPr>
          <w:rFonts w:cs="Times New Roman"/>
          <w:sz w:val="24"/>
          <w:szCs w:val="24"/>
        </w:rPr>
        <w:tab/>
        <w:t xml:space="preserve"> [2] 1000-3000</w:t>
      </w:r>
      <w:r w:rsidRPr="00DE5E47">
        <w:rPr>
          <w:rFonts w:cs="Times New Roman"/>
          <w:sz w:val="24"/>
          <w:szCs w:val="24"/>
        </w:rPr>
        <w:tab/>
      </w:r>
      <w:r w:rsidRPr="00DE5E47">
        <w:rPr>
          <w:rFonts w:cs="Times New Roman"/>
          <w:sz w:val="24"/>
          <w:szCs w:val="24"/>
        </w:rPr>
        <w:tab/>
        <w:t>[3] 3000-5000</w:t>
      </w:r>
      <w:r w:rsidRPr="00DE5E47">
        <w:rPr>
          <w:rFonts w:cs="Times New Roman"/>
          <w:sz w:val="24"/>
          <w:szCs w:val="24"/>
        </w:rPr>
        <w:tab/>
        <w:t>[4] 5000-10000</w:t>
      </w:r>
      <w:r w:rsidRPr="00DE5E47">
        <w:rPr>
          <w:rFonts w:cs="Times New Roman"/>
          <w:sz w:val="24"/>
          <w:szCs w:val="24"/>
        </w:rPr>
        <w:tab/>
        <w:t>[5] Above 10000</w:t>
      </w:r>
    </w:p>
    <w:p w14:paraId="7765968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 crafts equipped to store catch for long periods?</w:t>
      </w:r>
    </w:p>
    <w:p w14:paraId="0F4C146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4B79426"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material of your fishing crafts?</w:t>
      </w:r>
    </w:p>
    <w:p w14:paraId="41BB62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Wood </w:t>
      </w:r>
      <w:r w:rsidRPr="00DE5E47">
        <w:rPr>
          <w:rFonts w:cs="Times New Roman"/>
          <w:sz w:val="24"/>
          <w:szCs w:val="24"/>
        </w:rPr>
        <w:tab/>
        <w:t xml:space="preserve">[2] Iron </w:t>
      </w:r>
      <w:r w:rsidRPr="00DE5E47">
        <w:rPr>
          <w:rFonts w:cs="Times New Roman"/>
          <w:sz w:val="24"/>
          <w:szCs w:val="24"/>
        </w:rPr>
        <w:tab/>
        <w:t>[3] Aluminum</w:t>
      </w:r>
      <w:r w:rsidRPr="00DE5E47">
        <w:rPr>
          <w:rFonts w:cs="Times New Roman"/>
          <w:sz w:val="24"/>
          <w:szCs w:val="24"/>
        </w:rPr>
        <w:tab/>
      </w:r>
      <w:r w:rsidRPr="00DE5E47">
        <w:rPr>
          <w:rFonts w:cs="Times New Roman"/>
          <w:sz w:val="24"/>
          <w:szCs w:val="24"/>
        </w:rPr>
        <w:tab/>
        <w:t xml:space="preserve"> [4] fiberglass</w:t>
      </w:r>
      <w:r w:rsidRPr="00DE5E47">
        <w:rPr>
          <w:rFonts w:cs="Times New Roman"/>
          <w:sz w:val="24"/>
          <w:szCs w:val="24"/>
        </w:rPr>
        <w:tab/>
        <w:t>[5] other (specify)</w:t>
      </w:r>
    </w:p>
    <w:p w14:paraId="4CC83DC9"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mode of propulsion of fishing craft?</w:t>
      </w:r>
    </w:p>
    <w:p w14:paraId="38F72049" w14:textId="77777777" w:rsidR="00221112" w:rsidRPr="00DE5E47" w:rsidRDefault="00C14051">
      <w:pPr>
        <w:spacing w:line="360" w:lineRule="auto"/>
        <w:jc w:val="both"/>
        <w:rPr>
          <w:rFonts w:cs="Times New Roman"/>
          <w:sz w:val="24"/>
          <w:szCs w:val="24"/>
        </w:rPr>
      </w:pPr>
      <w:r w:rsidRPr="00DE5E47">
        <w:rPr>
          <w:rFonts w:cs="Times New Roman"/>
          <w:sz w:val="24"/>
          <w:szCs w:val="24"/>
        </w:rPr>
        <w:t>[1] Pondo</w:t>
      </w:r>
      <w:r w:rsidRPr="00DE5E47">
        <w:rPr>
          <w:rFonts w:cs="Times New Roman"/>
          <w:sz w:val="24"/>
          <w:szCs w:val="24"/>
        </w:rPr>
        <w:tab/>
        <w:t xml:space="preserve"> [2] Iron </w:t>
      </w:r>
      <w:r w:rsidRPr="00DE5E47">
        <w:rPr>
          <w:rFonts w:cs="Times New Roman"/>
          <w:sz w:val="24"/>
          <w:szCs w:val="24"/>
        </w:rPr>
        <w:tab/>
        <w:t>[3] Tanga</w:t>
      </w:r>
      <w:r w:rsidRPr="00DE5E47">
        <w:rPr>
          <w:rFonts w:cs="Times New Roman"/>
          <w:sz w:val="24"/>
          <w:szCs w:val="24"/>
        </w:rPr>
        <w:tab/>
        <w:t xml:space="preserve"> [4] engine</w:t>
      </w:r>
      <w:r w:rsidRPr="00DE5E47">
        <w:rPr>
          <w:rFonts w:cs="Times New Roman"/>
          <w:sz w:val="24"/>
          <w:szCs w:val="24"/>
        </w:rPr>
        <w:tab/>
        <w:t>[5] other (specify)</w:t>
      </w:r>
    </w:p>
    <w:p w14:paraId="7B9E694E" w14:textId="77777777" w:rsidR="00221112" w:rsidRPr="00DE5E47" w:rsidRDefault="00C14051">
      <w:pPr>
        <w:spacing w:line="360" w:lineRule="auto"/>
        <w:jc w:val="both"/>
        <w:rPr>
          <w:rFonts w:cs="Times New Roman"/>
          <w:sz w:val="24"/>
          <w:szCs w:val="24"/>
        </w:rPr>
      </w:pPr>
      <w:r w:rsidRPr="00DE5E47">
        <w:rPr>
          <w:rFonts w:cs="Times New Roman"/>
          <w:sz w:val="24"/>
          <w:szCs w:val="24"/>
        </w:rPr>
        <w:t>How far offshore do the fishing craft go fishing</w:t>
      </w:r>
    </w:p>
    <w:p w14:paraId="073ADEE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Inshore</w:t>
      </w:r>
      <w:r w:rsidRPr="00DE5E47">
        <w:rPr>
          <w:rFonts w:cs="Times New Roman"/>
          <w:sz w:val="24"/>
          <w:szCs w:val="24"/>
        </w:rPr>
        <w:tab/>
        <w:t xml:space="preserve"> [2] tidal region</w:t>
      </w:r>
      <w:r w:rsidRPr="00DE5E47">
        <w:rPr>
          <w:rFonts w:cs="Times New Roman"/>
          <w:sz w:val="24"/>
          <w:szCs w:val="24"/>
        </w:rPr>
        <w:tab/>
        <w:t>[3] open ocean [4] deep seas</w:t>
      </w:r>
      <w:r w:rsidRPr="00DE5E47">
        <w:rPr>
          <w:rFonts w:cs="Times New Roman"/>
          <w:sz w:val="24"/>
          <w:szCs w:val="24"/>
        </w:rPr>
        <w:tab/>
        <w:t>[5] other (specify)</w:t>
      </w:r>
    </w:p>
    <w:p w14:paraId="788630A3" w14:textId="77777777" w:rsidR="00221112" w:rsidRPr="00DE5E47" w:rsidRDefault="00C14051">
      <w:pPr>
        <w:spacing w:line="360" w:lineRule="auto"/>
        <w:jc w:val="both"/>
        <w:rPr>
          <w:rFonts w:cs="Times New Roman"/>
          <w:sz w:val="24"/>
          <w:szCs w:val="24"/>
        </w:rPr>
      </w:pPr>
      <w:r w:rsidRPr="00DE5E47">
        <w:rPr>
          <w:rFonts w:cs="Times New Roman"/>
          <w:sz w:val="24"/>
          <w:szCs w:val="24"/>
        </w:rPr>
        <w:t>Distance between fishing grounds and the market?</w:t>
      </w:r>
    </w:p>
    <w:p w14:paraId="4F04CC8F" w14:textId="77777777" w:rsidR="00221112" w:rsidRPr="00DE5E47" w:rsidRDefault="00C14051">
      <w:pPr>
        <w:spacing w:line="360" w:lineRule="auto"/>
        <w:jc w:val="both"/>
        <w:rPr>
          <w:rFonts w:cs="Times New Roman"/>
          <w:sz w:val="24"/>
          <w:szCs w:val="24"/>
        </w:rPr>
      </w:pPr>
      <w:r w:rsidRPr="00DE5E47">
        <w:rPr>
          <w:rFonts w:cs="Times New Roman"/>
          <w:sz w:val="24"/>
          <w:szCs w:val="24"/>
        </w:rPr>
        <w:t>[1] 1 km</w:t>
      </w:r>
      <w:r w:rsidRPr="00DE5E47">
        <w:rPr>
          <w:rFonts w:cs="Times New Roman"/>
          <w:sz w:val="24"/>
          <w:szCs w:val="24"/>
        </w:rPr>
        <w:tab/>
        <w:t xml:space="preserve"> [2] 3 km </w:t>
      </w:r>
      <w:r w:rsidRPr="00DE5E47">
        <w:rPr>
          <w:rFonts w:cs="Times New Roman"/>
          <w:sz w:val="24"/>
          <w:szCs w:val="24"/>
        </w:rPr>
        <w:tab/>
        <w:t xml:space="preserve">[3] 5 km </w:t>
      </w:r>
      <w:r w:rsidRPr="00DE5E47">
        <w:rPr>
          <w:rFonts w:cs="Times New Roman"/>
          <w:sz w:val="24"/>
          <w:szCs w:val="24"/>
        </w:rPr>
        <w:tab/>
        <w:t xml:space="preserve">[4] 10 km </w:t>
      </w:r>
      <w:r w:rsidRPr="00DE5E47">
        <w:rPr>
          <w:rFonts w:cs="Times New Roman"/>
          <w:sz w:val="24"/>
          <w:szCs w:val="24"/>
        </w:rPr>
        <w:tab/>
        <w:t>[5] 20 km</w:t>
      </w:r>
    </w:p>
    <w:p w14:paraId="062860CC" w14:textId="77777777" w:rsidR="00221112" w:rsidRPr="00DE5E47" w:rsidRDefault="00C14051">
      <w:pPr>
        <w:spacing w:line="360" w:lineRule="auto"/>
        <w:jc w:val="both"/>
        <w:rPr>
          <w:rFonts w:cs="Times New Roman"/>
          <w:sz w:val="24"/>
          <w:szCs w:val="24"/>
        </w:rPr>
      </w:pPr>
      <w:r w:rsidRPr="00DE5E47">
        <w:rPr>
          <w:rFonts w:cs="Times New Roman"/>
          <w:sz w:val="24"/>
          <w:szCs w:val="24"/>
        </w:rPr>
        <w:t>How long does it take between fishing and market?</w:t>
      </w:r>
    </w:p>
    <w:p w14:paraId="5616133A" w14:textId="77777777" w:rsidR="00221112" w:rsidRPr="00DE5E47" w:rsidRDefault="00C14051">
      <w:pPr>
        <w:spacing w:line="360" w:lineRule="auto"/>
        <w:jc w:val="both"/>
        <w:rPr>
          <w:rFonts w:cs="Times New Roman"/>
          <w:sz w:val="24"/>
          <w:szCs w:val="24"/>
        </w:rPr>
      </w:pPr>
      <w:r w:rsidRPr="00DE5E47">
        <w:rPr>
          <w:rFonts w:cs="Times New Roman"/>
          <w:sz w:val="24"/>
          <w:szCs w:val="24"/>
        </w:rPr>
        <w:t>[1] 1 hour</w:t>
      </w:r>
      <w:r w:rsidRPr="00DE5E47">
        <w:rPr>
          <w:rFonts w:cs="Times New Roman"/>
          <w:sz w:val="24"/>
          <w:szCs w:val="24"/>
        </w:rPr>
        <w:tab/>
        <w:t xml:space="preserve"> [2] 6 hour</w:t>
      </w:r>
      <w:r w:rsidRPr="00DE5E47">
        <w:rPr>
          <w:rFonts w:cs="Times New Roman"/>
          <w:sz w:val="24"/>
          <w:szCs w:val="24"/>
        </w:rPr>
        <w:tab/>
        <w:t xml:space="preserve">[3] </w:t>
      </w:r>
      <w:r w:rsidRPr="00DE5E47">
        <w:rPr>
          <w:rFonts w:cs="Times New Roman"/>
          <w:sz w:val="24"/>
          <w:szCs w:val="24"/>
        </w:rPr>
        <w:tab/>
        <w:t xml:space="preserve">12 hours </w:t>
      </w:r>
      <w:r w:rsidRPr="00DE5E47">
        <w:rPr>
          <w:rFonts w:cs="Times New Roman"/>
          <w:sz w:val="24"/>
          <w:szCs w:val="24"/>
        </w:rPr>
        <w:tab/>
        <w:t>[4] 24 hours</w:t>
      </w:r>
      <w:r w:rsidRPr="00DE5E47">
        <w:rPr>
          <w:rFonts w:cs="Times New Roman"/>
          <w:sz w:val="24"/>
          <w:szCs w:val="24"/>
        </w:rPr>
        <w:tab/>
        <w:t>[5] 48 hours</w:t>
      </w:r>
    </w:p>
    <w:p w14:paraId="27EC7CD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 To explore the mud crab fishery actor's functions (at each market node).</w:t>
      </w:r>
    </w:p>
    <w:p w14:paraId="367E767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Supply Chain Functions:</w:t>
      </w:r>
    </w:p>
    <w:p w14:paraId="2C9265D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obtain mud crabs for sale?</w:t>
      </w:r>
    </w:p>
    <w:p w14:paraId="075A3AC2"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w:t>
      </w:r>
      <w:r w:rsidRPr="00DE5E47">
        <w:rPr>
          <w:rFonts w:cs="Times New Roman"/>
          <w:sz w:val="24"/>
          <w:szCs w:val="24"/>
        </w:rPr>
        <w:tab/>
      </w:r>
      <w:r w:rsidRPr="00DE5E47">
        <w:rPr>
          <w:rFonts w:cs="Times New Roman"/>
          <w:sz w:val="24"/>
          <w:szCs w:val="24"/>
        </w:rPr>
        <w:tab/>
        <w:t>[2] Purchasing</w:t>
      </w:r>
      <w:r w:rsidRPr="00DE5E47">
        <w:rPr>
          <w:rFonts w:cs="Times New Roman"/>
          <w:sz w:val="24"/>
          <w:szCs w:val="24"/>
        </w:rPr>
        <w:tab/>
      </w:r>
      <w:r w:rsidRPr="00DE5E47">
        <w:rPr>
          <w:rFonts w:cs="Times New Roman"/>
          <w:sz w:val="24"/>
          <w:szCs w:val="24"/>
        </w:rPr>
        <w:tab/>
        <w:t>[3] Both</w:t>
      </w:r>
    </w:p>
    <w:p w14:paraId="2B8CE0CC"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processes involved in preparing mud crabs for the market?</w:t>
      </w:r>
    </w:p>
    <w:p w14:paraId="5698AE0D" w14:textId="77777777" w:rsidR="00221112" w:rsidRPr="00DE5E47" w:rsidRDefault="00C14051">
      <w:pPr>
        <w:spacing w:line="360" w:lineRule="auto"/>
        <w:jc w:val="both"/>
        <w:rPr>
          <w:rFonts w:cs="Times New Roman"/>
          <w:sz w:val="24"/>
          <w:szCs w:val="24"/>
        </w:rPr>
      </w:pPr>
      <w:r w:rsidRPr="00DE5E47">
        <w:rPr>
          <w:rFonts w:cs="Times New Roman"/>
          <w:sz w:val="24"/>
          <w:szCs w:val="24"/>
        </w:rPr>
        <w:t>[1] Cleaning</w:t>
      </w:r>
      <w:r w:rsidRPr="00DE5E47">
        <w:rPr>
          <w:rFonts w:cs="Times New Roman"/>
          <w:sz w:val="24"/>
          <w:szCs w:val="24"/>
        </w:rPr>
        <w:tab/>
      </w:r>
      <w:r w:rsidRPr="00DE5E47">
        <w:rPr>
          <w:rFonts w:cs="Times New Roman"/>
          <w:sz w:val="24"/>
          <w:szCs w:val="24"/>
        </w:rPr>
        <w:tab/>
        <w:t>[2] Sorting</w:t>
      </w:r>
      <w:r w:rsidRPr="00DE5E47">
        <w:rPr>
          <w:rFonts w:cs="Times New Roman"/>
          <w:sz w:val="24"/>
          <w:szCs w:val="24"/>
        </w:rPr>
        <w:tab/>
        <w:t>[3] Grading</w:t>
      </w:r>
      <w:r w:rsidRPr="00DE5E47">
        <w:rPr>
          <w:rFonts w:cs="Times New Roman"/>
          <w:sz w:val="24"/>
          <w:szCs w:val="24"/>
        </w:rPr>
        <w:tab/>
        <w:t>[4] Other (Specify)</w:t>
      </w:r>
    </w:p>
    <w:p w14:paraId="3A5A0E8D"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transport mud crabs to the market?</w:t>
      </w:r>
    </w:p>
    <w:p w14:paraId="2BED0B4B" w14:textId="77777777" w:rsidR="00221112" w:rsidRPr="00DE5E47" w:rsidRDefault="00C14051">
      <w:pPr>
        <w:spacing w:line="360" w:lineRule="auto"/>
        <w:jc w:val="both"/>
        <w:rPr>
          <w:rFonts w:cs="Times New Roman"/>
          <w:sz w:val="24"/>
          <w:szCs w:val="24"/>
        </w:rPr>
      </w:pPr>
      <w:r w:rsidRPr="00DE5E47">
        <w:rPr>
          <w:rFonts w:cs="Times New Roman"/>
          <w:sz w:val="24"/>
          <w:szCs w:val="24"/>
        </w:rPr>
        <w:t>[1] Boats</w:t>
      </w:r>
      <w:r w:rsidRPr="00DE5E47">
        <w:rPr>
          <w:rFonts w:cs="Times New Roman"/>
          <w:sz w:val="24"/>
          <w:szCs w:val="24"/>
        </w:rPr>
        <w:tab/>
        <w:t xml:space="preserve">[2] Motorcycles </w:t>
      </w:r>
      <w:r w:rsidRPr="00DE5E47">
        <w:rPr>
          <w:rFonts w:cs="Times New Roman"/>
          <w:sz w:val="24"/>
          <w:szCs w:val="24"/>
        </w:rPr>
        <w:tab/>
        <w:t>[3] Vehicles</w:t>
      </w:r>
      <w:r w:rsidRPr="00DE5E47">
        <w:rPr>
          <w:rFonts w:cs="Times New Roman"/>
          <w:sz w:val="24"/>
          <w:szCs w:val="24"/>
        </w:rPr>
        <w:tab/>
        <w:t>[4]  Foot 5 Air plane</w:t>
      </w:r>
    </w:p>
    <w:p w14:paraId="3FD70E71" w14:textId="77777777" w:rsidR="00221112" w:rsidRPr="00DE5E47" w:rsidRDefault="00C14051">
      <w:pPr>
        <w:spacing w:line="360" w:lineRule="auto"/>
        <w:jc w:val="both"/>
        <w:rPr>
          <w:rFonts w:cs="Times New Roman"/>
          <w:sz w:val="24"/>
          <w:szCs w:val="24"/>
        </w:rPr>
      </w:pPr>
      <w:r w:rsidRPr="00DE5E47">
        <w:rPr>
          <w:rFonts w:cs="Times New Roman"/>
          <w:sz w:val="24"/>
          <w:szCs w:val="24"/>
        </w:rPr>
        <w:t>To whom do you sell your crabs?</w:t>
      </w:r>
    </w:p>
    <w:p w14:paraId="3851E8DB" w14:textId="77777777" w:rsidR="00221112" w:rsidRPr="00DE5E47" w:rsidRDefault="00221112">
      <w:pPr>
        <w:spacing w:line="360" w:lineRule="auto"/>
        <w:jc w:val="both"/>
        <w:rPr>
          <w:rFonts w:cs="Times New Roman"/>
          <w:sz w:val="24"/>
          <w:szCs w:val="24"/>
        </w:rPr>
      </w:pPr>
    </w:p>
    <w:p w14:paraId="395EF14D" w14:textId="77777777" w:rsidR="00221112" w:rsidRPr="00DE5E47" w:rsidRDefault="00C14051">
      <w:pPr>
        <w:spacing w:line="360" w:lineRule="auto"/>
        <w:jc w:val="both"/>
        <w:rPr>
          <w:rFonts w:cs="Times New Roman"/>
          <w:sz w:val="24"/>
          <w:szCs w:val="24"/>
        </w:rPr>
      </w:pPr>
      <w:r w:rsidRPr="00DE5E47">
        <w:rPr>
          <w:rFonts w:cs="Times New Roman"/>
          <w:sz w:val="24"/>
          <w:szCs w:val="24"/>
        </w:rPr>
        <w:t>[1] Crab collectors</w:t>
      </w:r>
      <w:r w:rsidRPr="00DE5E47">
        <w:rPr>
          <w:rFonts w:cs="Times New Roman"/>
          <w:sz w:val="24"/>
          <w:szCs w:val="24"/>
        </w:rPr>
        <w:tab/>
        <w:t>[2] Company agents/middlemen (1st level)</w:t>
      </w:r>
      <w:r w:rsidRPr="00DE5E47">
        <w:rPr>
          <w:rFonts w:cs="Times New Roman"/>
          <w:sz w:val="24"/>
          <w:szCs w:val="24"/>
        </w:rPr>
        <w:tab/>
        <w:t>[3] Company agents/middlemen (2nd level)</w:t>
      </w:r>
      <w:r w:rsidRPr="00DE5E47">
        <w:rPr>
          <w:rFonts w:cs="Times New Roman"/>
          <w:sz w:val="24"/>
          <w:szCs w:val="24"/>
        </w:rPr>
        <w:tab/>
        <w:t>[4] Depot owners</w:t>
      </w:r>
      <w:r w:rsidRPr="00DE5E47">
        <w:rPr>
          <w:rFonts w:cs="Times New Roman"/>
          <w:sz w:val="24"/>
          <w:szCs w:val="24"/>
        </w:rPr>
        <w:tab/>
        <w:t>[5] Exporters</w:t>
      </w:r>
      <w:r w:rsidRPr="00DE5E47">
        <w:rPr>
          <w:rFonts w:cs="Times New Roman"/>
          <w:sz w:val="24"/>
          <w:szCs w:val="24"/>
        </w:rPr>
        <w:tab/>
        <w:t xml:space="preserve">[6] Others </w:t>
      </w:r>
    </w:p>
    <w:p w14:paraId="0A5BE55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Trade of Mud Crabs:</w:t>
      </w:r>
    </w:p>
    <w:p w14:paraId="027A6106"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source mud crabs for trade?</w:t>
      </w:r>
    </w:p>
    <w:p w14:paraId="2BE8E6EB" w14:textId="77777777" w:rsidR="00221112" w:rsidRPr="00DE5E47" w:rsidRDefault="00C14051">
      <w:pPr>
        <w:spacing w:line="360" w:lineRule="auto"/>
        <w:jc w:val="both"/>
        <w:rPr>
          <w:rFonts w:cs="Times New Roman"/>
          <w:sz w:val="24"/>
          <w:szCs w:val="24"/>
        </w:rPr>
      </w:pPr>
      <w:r w:rsidRPr="00DE5E47">
        <w:rPr>
          <w:rFonts w:cs="Times New Roman"/>
          <w:sz w:val="24"/>
          <w:szCs w:val="24"/>
        </w:rPr>
        <w:t>[1] Catching them personally</w:t>
      </w:r>
      <w:r w:rsidRPr="00DE5E47">
        <w:rPr>
          <w:rFonts w:cs="Times New Roman"/>
          <w:sz w:val="24"/>
          <w:szCs w:val="24"/>
        </w:rPr>
        <w:tab/>
        <w:t>[2] Purchasing from local fishermen</w:t>
      </w:r>
      <w:r w:rsidRPr="00DE5E47">
        <w:rPr>
          <w:rFonts w:cs="Times New Roman"/>
          <w:sz w:val="24"/>
          <w:szCs w:val="24"/>
        </w:rPr>
        <w:tab/>
        <w:t>[3] Buying from middlemen</w:t>
      </w:r>
      <w:r w:rsidRPr="00DE5E47">
        <w:rPr>
          <w:rFonts w:cs="Times New Roman"/>
          <w:sz w:val="24"/>
          <w:szCs w:val="24"/>
        </w:rPr>
        <w:tab/>
        <w:t>[4] Importing from other regions</w:t>
      </w:r>
      <w:r w:rsidRPr="00DE5E47">
        <w:rPr>
          <w:rFonts w:cs="Times New Roman"/>
          <w:sz w:val="24"/>
          <w:szCs w:val="24"/>
        </w:rPr>
        <w:tab/>
        <w:t>[5] Other (please specify)</w:t>
      </w:r>
    </w:p>
    <w:p w14:paraId="20EF80A5" w14:textId="77777777" w:rsidR="00221112" w:rsidRPr="00DE5E47" w:rsidRDefault="00C14051">
      <w:pPr>
        <w:spacing w:line="360" w:lineRule="auto"/>
        <w:jc w:val="both"/>
        <w:rPr>
          <w:rFonts w:cs="Times New Roman"/>
          <w:sz w:val="24"/>
          <w:szCs w:val="24"/>
        </w:rPr>
      </w:pPr>
      <w:bookmarkStart w:id="266" w:name="OLE_LINK1"/>
      <w:r w:rsidRPr="00DE5E47">
        <w:rPr>
          <w:rFonts w:cs="Times New Roman"/>
          <w:sz w:val="24"/>
          <w:szCs w:val="24"/>
        </w:rPr>
        <w:t>What are the primary channels or markets where you sell mud crabs?</w:t>
      </w:r>
    </w:p>
    <w:bookmarkEnd w:id="266"/>
    <w:p w14:paraId="1F26F80F" w14:textId="77777777" w:rsidR="00221112" w:rsidRPr="00DE5E47" w:rsidRDefault="00C14051">
      <w:pPr>
        <w:spacing w:line="360" w:lineRule="auto"/>
        <w:jc w:val="both"/>
        <w:rPr>
          <w:rFonts w:cs="Times New Roman"/>
          <w:sz w:val="24"/>
          <w:szCs w:val="24"/>
        </w:rPr>
      </w:pPr>
      <w:r w:rsidRPr="00DE5E47">
        <w:rPr>
          <w:rFonts w:cs="Times New Roman"/>
          <w:sz w:val="24"/>
          <w:szCs w:val="24"/>
        </w:rPr>
        <w:t>[1] Local markets</w:t>
      </w:r>
      <w:r w:rsidRPr="00DE5E47">
        <w:rPr>
          <w:rFonts w:cs="Times New Roman"/>
          <w:sz w:val="24"/>
          <w:szCs w:val="24"/>
        </w:rPr>
        <w:tab/>
        <w:t>[2] Export markets</w:t>
      </w:r>
      <w:r w:rsidRPr="00DE5E47">
        <w:rPr>
          <w:rFonts w:cs="Times New Roman"/>
          <w:sz w:val="24"/>
          <w:szCs w:val="24"/>
        </w:rPr>
        <w:tab/>
        <w:t>[3] Restaurants and hotels</w:t>
      </w:r>
      <w:r w:rsidRPr="00DE5E47">
        <w:rPr>
          <w:rFonts w:cs="Times New Roman"/>
          <w:sz w:val="24"/>
          <w:szCs w:val="24"/>
        </w:rPr>
        <w:tab/>
        <w:t>[4] Online platforms</w:t>
      </w:r>
      <w:r w:rsidRPr="00DE5E47">
        <w:rPr>
          <w:rFonts w:cs="Times New Roman"/>
          <w:sz w:val="24"/>
          <w:szCs w:val="24"/>
        </w:rPr>
        <w:tab/>
        <w:t>[5] Other (please specify)</w:t>
      </w:r>
    </w:p>
    <w:p w14:paraId="350721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direct selling or through intermediaries in the trade of mud crabs?</w:t>
      </w:r>
    </w:p>
    <w:p w14:paraId="6D90B15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[1] Direct selling</w:t>
      </w:r>
      <w:r w:rsidRPr="00DE5E47">
        <w:rPr>
          <w:rFonts w:cs="Times New Roman"/>
          <w:sz w:val="24"/>
          <w:szCs w:val="24"/>
        </w:rPr>
        <w:tab/>
        <w:t>[2] Through intermediaries</w:t>
      </w:r>
      <w:r w:rsidRPr="00DE5E47">
        <w:rPr>
          <w:rFonts w:cs="Times New Roman"/>
          <w:sz w:val="24"/>
          <w:szCs w:val="24"/>
        </w:rPr>
        <w:tab/>
        <w:t>[3] Both</w:t>
      </w:r>
      <w:r w:rsidRPr="00DE5E47">
        <w:rPr>
          <w:rFonts w:cs="Times New Roman"/>
          <w:sz w:val="24"/>
          <w:szCs w:val="24"/>
        </w:rPr>
        <w:tab/>
        <w:t>[4] Neither</w:t>
      </w:r>
    </w:p>
    <w:p w14:paraId="62F0F37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ensure the quality and freshness of mud crabs for trade?</w:t>
      </w:r>
    </w:p>
    <w:p w14:paraId="50B9A69A" w14:textId="77777777" w:rsidR="00221112" w:rsidRPr="00DE5E47" w:rsidRDefault="00C14051">
      <w:pPr>
        <w:spacing w:line="360" w:lineRule="auto"/>
        <w:jc w:val="both"/>
        <w:rPr>
          <w:rFonts w:cs="Times New Roman"/>
          <w:sz w:val="24"/>
          <w:szCs w:val="24"/>
        </w:rPr>
      </w:pPr>
      <w:r w:rsidRPr="00DE5E47">
        <w:rPr>
          <w:rFonts w:cs="Times New Roman"/>
          <w:sz w:val="24"/>
          <w:szCs w:val="24"/>
        </w:rPr>
        <w:t>[1] Immediate transportation to market</w:t>
      </w:r>
      <w:r w:rsidRPr="00DE5E47">
        <w:rPr>
          <w:rFonts w:cs="Times New Roman"/>
          <w:sz w:val="24"/>
          <w:szCs w:val="24"/>
        </w:rPr>
        <w:tab/>
      </w:r>
      <w:r w:rsidRPr="00DE5E47">
        <w:rPr>
          <w:rFonts w:cs="Times New Roman"/>
          <w:sz w:val="24"/>
          <w:szCs w:val="24"/>
        </w:rPr>
        <w:tab/>
        <w:t>[2] Proper storage facilities</w:t>
      </w:r>
      <w:r w:rsidRPr="00DE5E47">
        <w:rPr>
          <w:rFonts w:cs="Times New Roman"/>
          <w:sz w:val="24"/>
          <w:szCs w:val="24"/>
        </w:rPr>
        <w:tab/>
        <w:t>[3] Regular quality checks</w:t>
      </w:r>
      <w:r w:rsidRPr="00DE5E47">
        <w:rPr>
          <w:rFonts w:cs="Times New Roman"/>
          <w:sz w:val="24"/>
          <w:szCs w:val="24"/>
        </w:rPr>
        <w:tab/>
      </w:r>
      <w:r w:rsidRPr="00DE5E47">
        <w:rPr>
          <w:rFonts w:cs="Times New Roman"/>
          <w:sz w:val="24"/>
          <w:szCs w:val="24"/>
        </w:rPr>
        <w:tab/>
        <w:t>[4] Quick processing methods</w:t>
      </w:r>
      <w:r w:rsidRPr="00DE5E47">
        <w:rPr>
          <w:rFonts w:cs="Times New Roman"/>
          <w:sz w:val="24"/>
          <w:szCs w:val="24"/>
        </w:rPr>
        <w:tab/>
        <w:t>[5] Other (please specify)</w:t>
      </w:r>
    </w:p>
    <w:p w14:paraId="7D393184"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the trade of mud crabs?</w:t>
      </w:r>
    </w:p>
    <w:p w14:paraId="162D9169"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fluctuations in supply</w:t>
      </w:r>
      <w:r w:rsidRPr="00DE5E47">
        <w:rPr>
          <w:rFonts w:cs="Times New Roman"/>
          <w:sz w:val="24"/>
          <w:szCs w:val="24"/>
        </w:rPr>
        <w:tab/>
        <w:t>[2] Competition from other suppliers</w:t>
      </w:r>
      <w:r w:rsidRPr="00DE5E47">
        <w:rPr>
          <w:rFonts w:cs="Times New Roman"/>
          <w:sz w:val="24"/>
          <w:szCs w:val="24"/>
        </w:rPr>
        <w:tab/>
        <w:t>[3] Transportation logistics</w:t>
      </w:r>
      <w:r w:rsidRPr="00DE5E47">
        <w:rPr>
          <w:rFonts w:cs="Times New Roman"/>
          <w:sz w:val="24"/>
          <w:szCs w:val="24"/>
        </w:rPr>
        <w:tab/>
        <w:t>[4] Price volatility</w:t>
      </w:r>
      <w:r w:rsidRPr="00DE5E47">
        <w:rPr>
          <w:rFonts w:cs="Times New Roman"/>
          <w:sz w:val="24"/>
          <w:szCs w:val="24"/>
        </w:rPr>
        <w:tab/>
        <w:t>[5] Other (please specify)</w:t>
      </w:r>
    </w:p>
    <w:p w14:paraId="6D3037BE"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Grading:</w:t>
      </w:r>
    </w:p>
    <w:p w14:paraId="6DD7629D"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grading mud crabs before sale?</w:t>
      </w:r>
    </w:p>
    <w:p w14:paraId="7AEF252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3706C2F"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grade or quality of mud crabs for different markets?</w:t>
      </w:r>
    </w:p>
    <w:p w14:paraId="4AF31107" w14:textId="77777777" w:rsidR="00221112" w:rsidRPr="00DE5E47" w:rsidRDefault="00C14051">
      <w:pPr>
        <w:spacing w:line="360" w:lineRule="auto"/>
        <w:jc w:val="both"/>
        <w:rPr>
          <w:rFonts w:cs="Times New Roman"/>
          <w:sz w:val="24"/>
          <w:szCs w:val="24"/>
        </w:rPr>
      </w:pPr>
      <w:r w:rsidRPr="00DE5E47">
        <w:rPr>
          <w:rFonts w:cs="Times New Roman"/>
          <w:sz w:val="24"/>
          <w:szCs w:val="24"/>
        </w:rPr>
        <w:t>[1] Size</w:t>
      </w:r>
      <w:r w:rsidRPr="00DE5E47">
        <w:rPr>
          <w:rFonts w:cs="Times New Roman"/>
          <w:sz w:val="24"/>
          <w:szCs w:val="24"/>
        </w:rPr>
        <w:tab/>
      </w:r>
      <w:r w:rsidRPr="00DE5E47">
        <w:rPr>
          <w:rFonts w:cs="Times New Roman"/>
          <w:sz w:val="24"/>
          <w:szCs w:val="24"/>
        </w:rPr>
        <w:tab/>
        <w:t>[2] Weight</w:t>
      </w:r>
      <w:r w:rsidRPr="00DE5E47">
        <w:rPr>
          <w:rFonts w:cs="Times New Roman"/>
          <w:sz w:val="24"/>
          <w:szCs w:val="24"/>
        </w:rPr>
        <w:tab/>
        <w:t>[3] Shell condition</w:t>
      </w:r>
      <w:r w:rsidRPr="00DE5E47">
        <w:rPr>
          <w:rFonts w:cs="Times New Roman"/>
          <w:sz w:val="24"/>
          <w:szCs w:val="24"/>
        </w:rPr>
        <w:tab/>
        <w:t>[4] Claw size</w:t>
      </w:r>
      <w:r w:rsidRPr="00DE5E47">
        <w:rPr>
          <w:rFonts w:cs="Times New Roman"/>
          <w:sz w:val="24"/>
          <w:szCs w:val="24"/>
        </w:rPr>
        <w:tab/>
        <w:t>[5] Other (please specify)</w:t>
      </w:r>
    </w:p>
    <w:p w14:paraId="69E11E18"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your grading process for mud crabs?</w:t>
      </w:r>
    </w:p>
    <w:p w14:paraId="7C4C75C7"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t>[2] Customer preferences</w:t>
      </w:r>
      <w:r w:rsidRPr="00DE5E47">
        <w:rPr>
          <w:rFonts w:cs="Times New Roman"/>
          <w:sz w:val="24"/>
          <w:szCs w:val="24"/>
        </w:rPr>
        <w:tab/>
        <w:t>[3] Regulatory standards</w:t>
      </w:r>
      <w:r w:rsidRPr="00DE5E47">
        <w:rPr>
          <w:rFonts w:cs="Times New Roman"/>
          <w:sz w:val="24"/>
          <w:szCs w:val="24"/>
        </w:rPr>
        <w:tab/>
        <w:t>[4] Appearance</w:t>
      </w:r>
      <w:r w:rsidRPr="00DE5E47">
        <w:rPr>
          <w:rFonts w:cs="Times New Roman"/>
          <w:sz w:val="24"/>
          <w:szCs w:val="24"/>
        </w:rPr>
        <w:tab/>
        <w:t>[5] Other (please specify)</w:t>
      </w:r>
    </w:p>
    <w:p w14:paraId="1C4F4530" w14:textId="77777777" w:rsidR="00221112" w:rsidRPr="00DE5E47" w:rsidRDefault="00C14051">
      <w:pPr>
        <w:spacing w:line="360" w:lineRule="auto"/>
        <w:jc w:val="both"/>
        <w:rPr>
          <w:rFonts w:cs="Times New Roman"/>
          <w:sz w:val="24"/>
          <w:szCs w:val="24"/>
        </w:rPr>
      </w:pPr>
      <w:r w:rsidRPr="00DE5E47">
        <w:rPr>
          <w:rFonts w:cs="Times New Roman"/>
          <w:sz w:val="24"/>
          <w:szCs w:val="24"/>
        </w:rPr>
        <w:t>How many buyers do you sell to</w:t>
      </w:r>
    </w:p>
    <w:tbl>
      <w:tblPr>
        <w:tblStyle w:val="TableGrid"/>
        <w:tblW w:w="0" w:type="auto"/>
        <w:tblLook w:val="04A0" w:firstRow="1" w:lastRow="0" w:firstColumn="1" w:lastColumn="0" w:noHBand="0" w:noVBand="1"/>
      </w:tblPr>
      <w:tblGrid>
        <w:gridCol w:w="2998"/>
        <w:gridCol w:w="3013"/>
        <w:gridCol w:w="3008"/>
      </w:tblGrid>
      <w:tr w:rsidR="00221112" w:rsidRPr="00DE5E47" w14:paraId="4D0EE2E7" w14:textId="77777777">
        <w:tc>
          <w:tcPr>
            <w:tcW w:w="3116" w:type="dxa"/>
          </w:tcPr>
          <w:p w14:paraId="281DF983"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Name</w:t>
            </w:r>
          </w:p>
        </w:tc>
        <w:tc>
          <w:tcPr>
            <w:tcW w:w="3117" w:type="dxa"/>
          </w:tcPr>
          <w:p w14:paraId="20F9DD79"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Location</w:t>
            </w:r>
          </w:p>
        </w:tc>
        <w:tc>
          <w:tcPr>
            <w:tcW w:w="3117" w:type="dxa"/>
          </w:tcPr>
          <w:p w14:paraId="2CB23E5B" w14:textId="77777777" w:rsidR="00221112" w:rsidRPr="00DE5E47" w:rsidRDefault="00C14051">
            <w:pPr>
              <w:spacing w:after="0" w:line="360" w:lineRule="auto"/>
              <w:jc w:val="both"/>
              <w:rPr>
                <w:rFonts w:cs="Times New Roman"/>
                <w:sz w:val="24"/>
                <w:szCs w:val="24"/>
              </w:rPr>
            </w:pPr>
            <w:r w:rsidRPr="00DE5E47">
              <w:rPr>
                <w:rFonts w:cs="Times New Roman"/>
                <w:sz w:val="24"/>
                <w:szCs w:val="24"/>
              </w:rPr>
              <w:t>Contact</w:t>
            </w:r>
          </w:p>
        </w:tc>
      </w:tr>
      <w:tr w:rsidR="00221112" w:rsidRPr="00DE5E47" w14:paraId="6538FBE8" w14:textId="77777777">
        <w:tc>
          <w:tcPr>
            <w:tcW w:w="3116" w:type="dxa"/>
          </w:tcPr>
          <w:p w14:paraId="4F239A73" w14:textId="77777777" w:rsidR="00221112" w:rsidRPr="00DE5E47" w:rsidRDefault="00221112">
            <w:pPr>
              <w:spacing w:after="0" w:line="360" w:lineRule="auto"/>
              <w:jc w:val="both"/>
              <w:rPr>
                <w:rFonts w:cs="Times New Roman"/>
                <w:sz w:val="24"/>
                <w:szCs w:val="24"/>
              </w:rPr>
            </w:pPr>
          </w:p>
        </w:tc>
        <w:tc>
          <w:tcPr>
            <w:tcW w:w="3117" w:type="dxa"/>
          </w:tcPr>
          <w:p w14:paraId="23E90226" w14:textId="77777777" w:rsidR="00221112" w:rsidRPr="00DE5E47" w:rsidRDefault="00221112">
            <w:pPr>
              <w:spacing w:after="0" w:line="360" w:lineRule="auto"/>
              <w:jc w:val="both"/>
              <w:rPr>
                <w:rFonts w:cs="Times New Roman"/>
                <w:sz w:val="24"/>
                <w:szCs w:val="24"/>
              </w:rPr>
            </w:pPr>
          </w:p>
        </w:tc>
        <w:tc>
          <w:tcPr>
            <w:tcW w:w="3117" w:type="dxa"/>
          </w:tcPr>
          <w:p w14:paraId="3D043383" w14:textId="77777777" w:rsidR="00221112" w:rsidRPr="00DE5E47" w:rsidRDefault="00221112">
            <w:pPr>
              <w:spacing w:after="0" w:line="360" w:lineRule="auto"/>
              <w:jc w:val="both"/>
              <w:rPr>
                <w:rFonts w:cs="Times New Roman"/>
                <w:sz w:val="24"/>
                <w:szCs w:val="24"/>
              </w:rPr>
            </w:pPr>
          </w:p>
        </w:tc>
      </w:tr>
      <w:tr w:rsidR="00221112" w:rsidRPr="00DE5E47" w14:paraId="47F05B66" w14:textId="77777777">
        <w:tc>
          <w:tcPr>
            <w:tcW w:w="3116" w:type="dxa"/>
          </w:tcPr>
          <w:p w14:paraId="5624F2E2" w14:textId="77777777" w:rsidR="00221112" w:rsidRPr="00DE5E47" w:rsidRDefault="00221112">
            <w:pPr>
              <w:spacing w:after="0" w:line="360" w:lineRule="auto"/>
              <w:jc w:val="both"/>
              <w:rPr>
                <w:rFonts w:cs="Times New Roman"/>
                <w:sz w:val="24"/>
                <w:szCs w:val="24"/>
              </w:rPr>
            </w:pPr>
          </w:p>
        </w:tc>
        <w:tc>
          <w:tcPr>
            <w:tcW w:w="3117" w:type="dxa"/>
          </w:tcPr>
          <w:p w14:paraId="6286AEC0" w14:textId="77777777" w:rsidR="00221112" w:rsidRPr="00DE5E47" w:rsidRDefault="00221112">
            <w:pPr>
              <w:spacing w:after="0" w:line="360" w:lineRule="auto"/>
              <w:jc w:val="both"/>
              <w:rPr>
                <w:rFonts w:cs="Times New Roman"/>
                <w:sz w:val="24"/>
                <w:szCs w:val="24"/>
              </w:rPr>
            </w:pPr>
          </w:p>
        </w:tc>
        <w:tc>
          <w:tcPr>
            <w:tcW w:w="3117" w:type="dxa"/>
          </w:tcPr>
          <w:p w14:paraId="63EAF61B" w14:textId="77777777" w:rsidR="00221112" w:rsidRPr="00DE5E47" w:rsidRDefault="00221112">
            <w:pPr>
              <w:spacing w:after="0" w:line="360" w:lineRule="auto"/>
              <w:jc w:val="both"/>
              <w:rPr>
                <w:rFonts w:cs="Times New Roman"/>
                <w:sz w:val="24"/>
                <w:szCs w:val="24"/>
              </w:rPr>
            </w:pPr>
          </w:p>
        </w:tc>
      </w:tr>
      <w:tr w:rsidR="00221112" w:rsidRPr="00DE5E47" w14:paraId="13A3C303" w14:textId="77777777">
        <w:tc>
          <w:tcPr>
            <w:tcW w:w="3116" w:type="dxa"/>
          </w:tcPr>
          <w:p w14:paraId="6AEF3FFA" w14:textId="77777777" w:rsidR="00221112" w:rsidRPr="00DE5E47" w:rsidRDefault="00221112">
            <w:pPr>
              <w:spacing w:after="0" w:line="360" w:lineRule="auto"/>
              <w:jc w:val="both"/>
              <w:rPr>
                <w:rFonts w:cs="Times New Roman"/>
                <w:sz w:val="24"/>
                <w:szCs w:val="24"/>
              </w:rPr>
            </w:pPr>
          </w:p>
        </w:tc>
        <w:tc>
          <w:tcPr>
            <w:tcW w:w="3117" w:type="dxa"/>
          </w:tcPr>
          <w:p w14:paraId="7776578C" w14:textId="77777777" w:rsidR="00221112" w:rsidRPr="00DE5E47" w:rsidRDefault="00221112">
            <w:pPr>
              <w:spacing w:after="0" w:line="360" w:lineRule="auto"/>
              <w:jc w:val="both"/>
              <w:rPr>
                <w:rFonts w:cs="Times New Roman"/>
                <w:sz w:val="24"/>
                <w:szCs w:val="24"/>
              </w:rPr>
            </w:pPr>
          </w:p>
        </w:tc>
        <w:tc>
          <w:tcPr>
            <w:tcW w:w="3117" w:type="dxa"/>
          </w:tcPr>
          <w:p w14:paraId="12098E46" w14:textId="77777777" w:rsidR="00221112" w:rsidRPr="00DE5E47" w:rsidRDefault="00221112">
            <w:pPr>
              <w:spacing w:after="0" w:line="360" w:lineRule="auto"/>
              <w:jc w:val="both"/>
              <w:rPr>
                <w:rFonts w:cs="Times New Roman"/>
                <w:sz w:val="24"/>
                <w:szCs w:val="24"/>
              </w:rPr>
            </w:pPr>
          </w:p>
        </w:tc>
      </w:tr>
    </w:tbl>
    <w:p w14:paraId="0C7D0AAE" w14:textId="77777777" w:rsidR="00221112" w:rsidRPr="00DE5E47" w:rsidRDefault="00221112">
      <w:pPr>
        <w:spacing w:line="360" w:lineRule="auto"/>
        <w:jc w:val="both"/>
        <w:rPr>
          <w:rFonts w:cs="Times New Roman"/>
          <w:sz w:val="24"/>
          <w:szCs w:val="24"/>
        </w:rPr>
      </w:pPr>
    </w:p>
    <w:p w14:paraId="340F7EB7" w14:textId="77777777" w:rsidR="00221112" w:rsidRPr="00DE5E47" w:rsidRDefault="00C14051">
      <w:pPr>
        <w:spacing w:line="360" w:lineRule="auto"/>
        <w:jc w:val="both"/>
        <w:rPr>
          <w:rFonts w:cs="Times New Roman"/>
          <w:sz w:val="24"/>
          <w:szCs w:val="24"/>
          <w:highlight w:val="green"/>
        </w:rPr>
      </w:pPr>
      <w:r w:rsidRPr="00DE5E47">
        <w:rPr>
          <w:rFonts w:cs="Times New Roman"/>
          <w:sz w:val="24"/>
          <w:szCs w:val="24"/>
        </w:rPr>
        <w:t xml:space="preserve">How much do you sell your mud crabs for? (Remind that that all answers will be kept confidential, and we will aggregate data). </w:t>
      </w:r>
    </w:p>
    <w:tbl>
      <w:tblPr>
        <w:tblStyle w:val="TableGrid"/>
        <w:tblW w:w="5000" w:type="pct"/>
        <w:jc w:val="center"/>
        <w:tblLayout w:type="fixed"/>
        <w:tblLook w:val="04A0" w:firstRow="1" w:lastRow="0" w:firstColumn="1" w:lastColumn="0" w:noHBand="0" w:noVBand="1"/>
      </w:tblPr>
      <w:tblGrid>
        <w:gridCol w:w="2524"/>
        <w:gridCol w:w="3958"/>
        <w:gridCol w:w="1209"/>
        <w:gridCol w:w="1328"/>
      </w:tblGrid>
      <w:tr w:rsidR="00221112" w:rsidRPr="00DE5E47" w14:paraId="5D91F66F" w14:textId="77777777">
        <w:trPr>
          <w:tblHeader/>
          <w:jc w:val="center"/>
        </w:trPr>
        <w:tc>
          <w:tcPr>
            <w:tcW w:w="3024" w:type="dxa"/>
            <w:tcMar>
              <w:top w:w="20" w:type="dxa"/>
              <w:left w:w="30" w:type="dxa"/>
              <w:bottom w:w="20" w:type="dxa"/>
              <w:right w:w="30" w:type="dxa"/>
            </w:tcMar>
            <w:vAlign w:val="center"/>
          </w:tcPr>
          <w:p w14:paraId="517D1396"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Price (KSh)</w:t>
            </w:r>
          </w:p>
        </w:tc>
        <w:tc>
          <w:tcPr>
            <w:tcW w:w="4752" w:type="dxa"/>
            <w:tcMar>
              <w:top w:w="20" w:type="dxa"/>
              <w:left w:w="30" w:type="dxa"/>
              <w:bottom w:w="20" w:type="dxa"/>
              <w:right w:w="30" w:type="dxa"/>
            </w:tcMar>
            <w:vAlign w:val="center"/>
          </w:tcPr>
          <w:p w14:paraId="46654AEB"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Specify Unit: kg/bundle/individual</w:t>
            </w:r>
          </w:p>
        </w:tc>
        <w:tc>
          <w:tcPr>
            <w:tcW w:w="1440" w:type="dxa"/>
            <w:tcMar>
              <w:top w:w="20" w:type="dxa"/>
              <w:left w:w="30" w:type="dxa"/>
              <w:bottom w:w="20" w:type="dxa"/>
              <w:right w:w="30" w:type="dxa"/>
            </w:tcMar>
            <w:vAlign w:val="center"/>
          </w:tcPr>
          <w:p w14:paraId="36F7E2A7"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Size of crab(s): L, M, S</w:t>
            </w:r>
          </w:p>
        </w:tc>
        <w:tc>
          <w:tcPr>
            <w:tcW w:w="1584" w:type="dxa"/>
            <w:tcMar>
              <w:top w:w="20" w:type="dxa"/>
              <w:left w:w="30" w:type="dxa"/>
              <w:bottom w:w="20" w:type="dxa"/>
              <w:right w:w="30" w:type="dxa"/>
            </w:tcMar>
            <w:vAlign w:val="center"/>
          </w:tcPr>
          <w:p w14:paraId="5EBEECDE" w14:textId="77777777" w:rsidR="00221112" w:rsidRPr="00DE5E47" w:rsidRDefault="00C14051">
            <w:pPr>
              <w:spacing w:after="0" w:line="240" w:lineRule="auto"/>
              <w:jc w:val="both"/>
              <w:rPr>
                <w:rFonts w:cs="Times New Roman"/>
                <w:b/>
                <w:sz w:val="24"/>
                <w:szCs w:val="24"/>
              </w:rPr>
            </w:pPr>
            <w:r w:rsidRPr="00DE5E47">
              <w:rPr>
                <w:rFonts w:cs="Times New Roman"/>
                <w:b/>
                <w:sz w:val="24"/>
                <w:szCs w:val="24"/>
              </w:rPr>
              <w:t>Grade of crab A, B, C</w:t>
            </w:r>
          </w:p>
        </w:tc>
      </w:tr>
      <w:tr w:rsidR="00221112" w:rsidRPr="00DE5E47" w14:paraId="54CC82D4" w14:textId="77777777">
        <w:trPr>
          <w:jc w:val="center"/>
        </w:trPr>
        <w:tc>
          <w:tcPr>
            <w:tcW w:w="3024" w:type="dxa"/>
            <w:tcMar>
              <w:top w:w="20" w:type="dxa"/>
              <w:left w:w="30" w:type="dxa"/>
              <w:bottom w:w="20" w:type="dxa"/>
              <w:right w:w="30" w:type="dxa"/>
            </w:tcMar>
            <w:vAlign w:val="center"/>
          </w:tcPr>
          <w:p w14:paraId="43A7EED8"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1C82AB3D"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5BF003AC"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1C9C663" w14:textId="77777777" w:rsidR="00221112" w:rsidRPr="00DE5E47" w:rsidRDefault="00221112">
            <w:pPr>
              <w:spacing w:after="0" w:line="240" w:lineRule="auto"/>
              <w:jc w:val="both"/>
              <w:rPr>
                <w:rFonts w:cs="Times New Roman"/>
                <w:sz w:val="24"/>
                <w:szCs w:val="24"/>
              </w:rPr>
            </w:pPr>
          </w:p>
        </w:tc>
      </w:tr>
      <w:tr w:rsidR="00221112" w:rsidRPr="00DE5E47" w14:paraId="62E33E78" w14:textId="77777777">
        <w:trPr>
          <w:jc w:val="center"/>
        </w:trPr>
        <w:tc>
          <w:tcPr>
            <w:tcW w:w="3024" w:type="dxa"/>
            <w:tcMar>
              <w:top w:w="20" w:type="dxa"/>
              <w:left w:w="30" w:type="dxa"/>
              <w:bottom w:w="20" w:type="dxa"/>
              <w:right w:w="30" w:type="dxa"/>
            </w:tcMar>
            <w:vAlign w:val="center"/>
          </w:tcPr>
          <w:p w14:paraId="44C3E81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AAAA0FB"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EEE77A0"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D70290A" w14:textId="77777777" w:rsidR="00221112" w:rsidRPr="00DE5E47" w:rsidRDefault="00221112">
            <w:pPr>
              <w:spacing w:after="0" w:line="240" w:lineRule="auto"/>
              <w:jc w:val="both"/>
              <w:rPr>
                <w:rFonts w:cs="Times New Roman"/>
                <w:sz w:val="24"/>
                <w:szCs w:val="24"/>
              </w:rPr>
            </w:pPr>
          </w:p>
        </w:tc>
      </w:tr>
      <w:tr w:rsidR="00221112" w:rsidRPr="00DE5E47" w14:paraId="7ADBA719" w14:textId="77777777">
        <w:trPr>
          <w:jc w:val="center"/>
        </w:trPr>
        <w:tc>
          <w:tcPr>
            <w:tcW w:w="3024" w:type="dxa"/>
            <w:tcMar>
              <w:top w:w="20" w:type="dxa"/>
              <w:left w:w="30" w:type="dxa"/>
              <w:bottom w:w="20" w:type="dxa"/>
              <w:right w:w="30" w:type="dxa"/>
            </w:tcMar>
            <w:vAlign w:val="center"/>
          </w:tcPr>
          <w:p w14:paraId="42E079A1"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38A6EEE1"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7726FBF6"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2D9CFE7C" w14:textId="77777777" w:rsidR="00221112" w:rsidRPr="00DE5E47" w:rsidRDefault="00221112">
            <w:pPr>
              <w:spacing w:after="0" w:line="240" w:lineRule="auto"/>
              <w:jc w:val="both"/>
              <w:rPr>
                <w:rFonts w:cs="Times New Roman"/>
                <w:sz w:val="24"/>
                <w:szCs w:val="24"/>
              </w:rPr>
            </w:pPr>
          </w:p>
        </w:tc>
      </w:tr>
      <w:tr w:rsidR="00221112" w:rsidRPr="00DE5E47" w14:paraId="05FBA8C8" w14:textId="77777777">
        <w:trPr>
          <w:jc w:val="center"/>
        </w:trPr>
        <w:tc>
          <w:tcPr>
            <w:tcW w:w="3024" w:type="dxa"/>
            <w:tcMar>
              <w:top w:w="20" w:type="dxa"/>
              <w:left w:w="30" w:type="dxa"/>
              <w:bottom w:w="20" w:type="dxa"/>
              <w:right w:w="30" w:type="dxa"/>
            </w:tcMar>
            <w:vAlign w:val="center"/>
          </w:tcPr>
          <w:p w14:paraId="57A651EE"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2A20E60"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3E0E3677"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424C58E9" w14:textId="77777777" w:rsidR="00221112" w:rsidRPr="00DE5E47" w:rsidRDefault="00221112">
            <w:pPr>
              <w:spacing w:after="0" w:line="240" w:lineRule="auto"/>
              <w:jc w:val="both"/>
              <w:rPr>
                <w:rFonts w:cs="Times New Roman"/>
                <w:sz w:val="24"/>
                <w:szCs w:val="24"/>
              </w:rPr>
            </w:pPr>
          </w:p>
        </w:tc>
      </w:tr>
      <w:tr w:rsidR="00221112" w:rsidRPr="00DE5E47" w14:paraId="7D0DC767" w14:textId="77777777">
        <w:trPr>
          <w:jc w:val="center"/>
        </w:trPr>
        <w:tc>
          <w:tcPr>
            <w:tcW w:w="3024" w:type="dxa"/>
            <w:tcMar>
              <w:top w:w="20" w:type="dxa"/>
              <w:left w:w="30" w:type="dxa"/>
              <w:bottom w:w="20" w:type="dxa"/>
              <w:right w:w="30" w:type="dxa"/>
            </w:tcMar>
            <w:vAlign w:val="center"/>
          </w:tcPr>
          <w:p w14:paraId="2286B4BC" w14:textId="77777777" w:rsidR="00221112" w:rsidRPr="00DE5E47" w:rsidRDefault="00221112">
            <w:pPr>
              <w:spacing w:after="0" w:line="240" w:lineRule="auto"/>
              <w:jc w:val="both"/>
              <w:rPr>
                <w:rFonts w:cs="Times New Roman"/>
                <w:sz w:val="24"/>
                <w:szCs w:val="24"/>
              </w:rPr>
            </w:pPr>
          </w:p>
        </w:tc>
        <w:tc>
          <w:tcPr>
            <w:tcW w:w="4752" w:type="dxa"/>
            <w:tcMar>
              <w:top w:w="20" w:type="dxa"/>
              <w:left w:w="30" w:type="dxa"/>
              <w:bottom w:w="20" w:type="dxa"/>
              <w:right w:w="30" w:type="dxa"/>
            </w:tcMar>
            <w:vAlign w:val="center"/>
          </w:tcPr>
          <w:p w14:paraId="24D04CFE" w14:textId="77777777" w:rsidR="00221112" w:rsidRPr="00DE5E47" w:rsidRDefault="00221112">
            <w:pPr>
              <w:spacing w:after="0" w:line="240" w:lineRule="auto"/>
              <w:jc w:val="both"/>
              <w:rPr>
                <w:rFonts w:cs="Times New Roman"/>
                <w:sz w:val="24"/>
                <w:szCs w:val="24"/>
              </w:rPr>
            </w:pPr>
          </w:p>
        </w:tc>
        <w:tc>
          <w:tcPr>
            <w:tcW w:w="1440" w:type="dxa"/>
            <w:tcMar>
              <w:top w:w="20" w:type="dxa"/>
              <w:left w:w="30" w:type="dxa"/>
              <w:bottom w:w="20" w:type="dxa"/>
              <w:right w:w="30" w:type="dxa"/>
            </w:tcMar>
            <w:vAlign w:val="center"/>
          </w:tcPr>
          <w:p w14:paraId="662664B1" w14:textId="77777777" w:rsidR="00221112" w:rsidRPr="00DE5E47" w:rsidRDefault="00221112">
            <w:pPr>
              <w:spacing w:after="0" w:line="240" w:lineRule="auto"/>
              <w:jc w:val="both"/>
              <w:rPr>
                <w:rFonts w:cs="Times New Roman"/>
                <w:sz w:val="24"/>
                <w:szCs w:val="24"/>
              </w:rPr>
            </w:pPr>
          </w:p>
        </w:tc>
        <w:tc>
          <w:tcPr>
            <w:tcW w:w="1584" w:type="dxa"/>
            <w:tcMar>
              <w:top w:w="20" w:type="dxa"/>
              <w:left w:w="30" w:type="dxa"/>
              <w:bottom w:w="20" w:type="dxa"/>
              <w:right w:w="30" w:type="dxa"/>
            </w:tcMar>
            <w:vAlign w:val="center"/>
          </w:tcPr>
          <w:p w14:paraId="69F1D1E2" w14:textId="77777777" w:rsidR="00221112" w:rsidRPr="00DE5E47" w:rsidRDefault="00221112">
            <w:pPr>
              <w:spacing w:after="0" w:line="240" w:lineRule="auto"/>
              <w:jc w:val="both"/>
              <w:rPr>
                <w:rFonts w:cs="Times New Roman"/>
                <w:sz w:val="24"/>
                <w:szCs w:val="24"/>
              </w:rPr>
            </w:pPr>
          </w:p>
        </w:tc>
      </w:tr>
    </w:tbl>
    <w:p w14:paraId="14A7C7BC" w14:textId="77777777" w:rsidR="00221112" w:rsidRPr="00DE5E47" w:rsidRDefault="00221112">
      <w:pPr>
        <w:spacing w:line="360" w:lineRule="auto"/>
        <w:jc w:val="both"/>
        <w:rPr>
          <w:rFonts w:cs="Times New Roman"/>
          <w:sz w:val="24"/>
          <w:szCs w:val="24"/>
        </w:rPr>
      </w:pPr>
    </w:p>
    <w:p w14:paraId="03A640F5"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Mud Crab Size:</w:t>
      </w:r>
    </w:p>
    <w:p w14:paraId="1C16995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size of mud crabs before selling them?</w:t>
      </w:r>
    </w:p>
    <w:p w14:paraId="2A04BFF9" w14:textId="77777777" w:rsidR="00221112" w:rsidRPr="00DE5E47" w:rsidRDefault="00C14051">
      <w:pPr>
        <w:spacing w:line="360" w:lineRule="auto"/>
        <w:jc w:val="both"/>
        <w:rPr>
          <w:rFonts w:cs="Times New Roman"/>
          <w:sz w:val="24"/>
          <w:szCs w:val="24"/>
        </w:rPr>
      </w:pPr>
      <w:r w:rsidRPr="00DE5E47">
        <w:rPr>
          <w:rFonts w:cs="Times New Roman"/>
          <w:sz w:val="24"/>
          <w:szCs w:val="24"/>
        </w:rPr>
        <w:t>[1] Weight measurement</w:t>
      </w:r>
      <w:r w:rsidRPr="00DE5E47">
        <w:rPr>
          <w:rFonts w:cs="Times New Roman"/>
          <w:sz w:val="24"/>
          <w:szCs w:val="24"/>
        </w:rPr>
        <w:tab/>
        <w:t>[2] Carapace width measurement</w:t>
      </w:r>
      <w:r w:rsidRPr="00DE5E47">
        <w:rPr>
          <w:rFonts w:cs="Times New Roman"/>
          <w:sz w:val="24"/>
          <w:szCs w:val="24"/>
        </w:rPr>
        <w:tab/>
        <w:t>[3] Visual inspection</w:t>
      </w:r>
      <w:r w:rsidRPr="00DE5E47">
        <w:rPr>
          <w:rFonts w:cs="Times New Roman"/>
          <w:sz w:val="24"/>
          <w:szCs w:val="24"/>
        </w:rPr>
        <w:tab/>
        <w:t>[4] Other (please specify)</w:t>
      </w:r>
    </w:p>
    <w:p w14:paraId="13457D7D"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Pricing for All Actors in Kenya:</w:t>
      </w:r>
    </w:p>
    <w:p w14:paraId="6BEBE991"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determine the price of mud crabs for sale?</w:t>
      </w:r>
    </w:p>
    <w:p w14:paraId="546C529D" w14:textId="77777777" w:rsidR="00221112" w:rsidRPr="00DE5E47" w:rsidRDefault="00C14051">
      <w:pPr>
        <w:spacing w:line="360" w:lineRule="auto"/>
        <w:jc w:val="both"/>
        <w:rPr>
          <w:rFonts w:cs="Times New Roman"/>
          <w:sz w:val="24"/>
          <w:szCs w:val="24"/>
        </w:rPr>
      </w:pPr>
      <w:r w:rsidRPr="00DE5E47">
        <w:rPr>
          <w:rFonts w:cs="Times New Roman"/>
          <w:sz w:val="24"/>
          <w:szCs w:val="24"/>
        </w:rPr>
        <w:t>[1] Market demand</w:t>
      </w:r>
      <w:r w:rsidRPr="00DE5E47">
        <w:rPr>
          <w:rFonts w:cs="Times New Roman"/>
          <w:sz w:val="24"/>
          <w:szCs w:val="24"/>
        </w:rPr>
        <w:tab/>
      </w:r>
      <w:r w:rsidRPr="00DE5E47">
        <w:rPr>
          <w:rFonts w:cs="Times New Roman"/>
          <w:sz w:val="24"/>
          <w:szCs w:val="24"/>
        </w:rPr>
        <w:tab/>
        <w:t>[2] Cost of production</w:t>
      </w:r>
      <w:r w:rsidRPr="00DE5E47">
        <w:rPr>
          <w:rFonts w:cs="Times New Roman"/>
          <w:sz w:val="24"/>
          <w:szCs w:val="24"/>
        </w:rPr>
        <w:tab/>
      </w:r>
      <w:r w:rsidRPr="00DE5E47">
        <w:rPr>
          <w:rFonts w:cs="Times New Roman"/>
          <w:sz w:val="24"/>
          <w:szCs w:val="24"/>
        </w:rPr>
        <w:tab/>
        <w:t>[3] Competition</w:t>
      </w:r>
      <w:r w:rsidRPr="00DE5E47">
        <w:rPr>
          <w:rFonts w:cs="Times New Roman"/>
          <w:sz w:val="24"/>
          <w:szCs w:val="24"/>
        </w:rPr>
        <w:tab/>
      </w:r>
      <w:r w:rsidRPr="00DE5E47">
        <w:rPr>
          <w:rFonts w:cs="Times New Roman"/>
          <w:sz w:val="24"/>
          <w:szCs w:val="24"/>
        </w:rPr>
        <w:tab/>
        <w:t>[4] Quality of crabs</w:t>
      </w:r>
      <w:r w:rsidRPr="00DE5E47">
        <w:rPr>
          <w:rFonts w:cs="Times New Roman"/>
          <w:sz w:val="24"/>
          <w:szCs w:val="24"/>
        </w:rPr>
        <w:tab/>
      </w:r>
      <w:r w:rsidRPr="00DE5E47">
        <w:rPr>
          <w:rFonts w:cs="Times New Roman"/>
          <w:sz w:val="24"/>
          <w:szCs w:val="24"/>
        </w:rPr>
        <w:tab/>
        <w:t>[5] Other (please specify)</w:t>
      </w:r>
    </w:p>
    <w:p w14:paraId="5AAA437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standard pricing mechanisms or guidelines followed by all actors in the mud crab trade?</w:t>
      </w:r>
    </w:p>
    <w:p w14:paraId="50EA7AA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E6F42E3"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influence fluctuations in mud crab prices?</w:t>
      </w:r>
    </w:p>
    <w:p w14:paraId="1D65D47C" w14:textId="77777777" w:rsidR="00221112" w:rsidRPr="00DE5E47" w:rsidRDefault="00C14051">
      <w:pPr>
        <w:spacing w:line="360" w:lineRule="auto"/>
        <w:jc w:val="both"/>
        <w:rPr>
          <w:rFonts w:cs="Times New Roman"/>
          <w:sz w:val="24"/>
          <w:szCs w:val="24"/>
        </w:rPr>
      </w:pPr>
      <w:r w:rsidRPr="00DE5E47">
        <w:rPr>
          <w:rFonts w:cs="Times New Roman"/>
          <w:sz w:val="24"/>
          <w:szCs w:val="24"/>
        </w:rPr>
        <w:t>[1] Seasonal variations</w:t>
      </w:r>
      <w:r w:rsidRPr="00DE5E47">
        <w:rPr>
          <w:rFonts w:cs="Times New Roman"/>
          <w:sz w:val="24"/>
          <w:szCs w:val="24"/>
        </w:rPr>
        <w:tab/>
      </w:r>
      <w:r w:rsidRPr="00DE5E47">
        <w:rPr>
          <w:rFonts w:cs="Times New Roman"/>
          <w:sz w:val="24"/>
          <w:szCs w:val="24"/>
        </w:rPr>
        <w:tab/>
        <w:t>[2] Weather conditions</w:t>
      </w:r>
      <w:r w:rsidRPr="00DE5E47">
        <w:rPr>
          <w:rFonts w:cs="Times New Roman"/>
          <w:sz w:val="24"/>
          <w:szCs w:val="24"/>
        </w:rPr>
        <w:tab/>
      </w:r>
      <w:r w:rsidRPr="00DE5E47">
        <w:rPr>
          <w:rFonts w:cs="Times New Roman"/>
          <w:sz w:val="24"/>
          <w:szCs w:val="24"/>
        </w:rPr>
        <w:tab/>
        <w:t>[3] Economic factors</w:t>
      </w:r>
      <w:r w:rsidRPr="00DE5E47">
        <w:rPr>
          <w:rFonts w:cs="Times New Roman"/>
          <w:sz w:val="24"/>
          <w:szCs w:val="24"/>
        </w:rPr>
        <w:tab/>
      </w:r>
      <w:r w:rsidRPr="00DE5E47">
        <w:rPr>
          <w:rFonts w:cs="Times New Roman"/>
          <w:sz w:val="24"/>
          <w:szCs w:val="24"/>
        </w:rPr>
        <w:tab/>
        <w:t>[4] Regulatory changes</w:t>
      </w:r>
      <w:r w:rsidRPr="00DE5E47">
        <w:rPr>
          <w:rFonts w:cs="Times New Roman"/>
          <w:sz w:val="24"/>
          <w:szCs w:val="24"/>
        </w:rPr>
        <w:tab/>
      </w:r>
      <w:r w:rsidRPr="00DE5E47">
        <w:rPr>
          <w:rFonts w:cs="Times New Roman"/>
          <w:sz w:val="24"/>
          <w:szCs w:val="24"/>
        </w:rPr>
        <w:tab/>
        <w:t>[5] Other (please specify)</w:t>
      </w:r>
    </w:p>
    <w:p w14:paraId="6695609A"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observed any disparities in pricing among different actors in the mud crab trade?</w:t>
      </w:r>
    </w:p>
    <w:p w14:paraId="0BA7DFB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23D6AC8"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market factors that affect pricing consistency in the mud crab trade?</w:t>
      </w:r>
    </w:p>
    <w:p w14:paraId="4936608F"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462328FD"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Marketing Strategies:</w:t>
      </w:r>
      <w:r w:rsidRPr="00DE5E47">
        <w:rPr>
          <w:rFonts w:cs="Times New Roman"/>
          <w:sz w:val="24"/>
          <w:szCs w:val="24"/>
        </w:rPr>
        <w:t xml:space="preserve"> </w:t>
      </w:r>
    </w:p>
    <w:p w14:paraId="4DE83FFC"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promote your mud crabs to potential buyers?</w:t>
      </w:r>
    </w:p>
    <w:p w14:paraId="61EB8AB9" w14:textId="77777777" w:rsidR="00221112" w:rsidRPr="00DE5E47" w:rsidRDefault="00C14051">
      <w:pPr>
        <w:spacing w:line="360" w:lineRule="auto"/>
        <w:jc w:val="both"/>
        <w:rPr>
          <w:rFonts w:cs="Times New Roman"/>
          <w:sz w:val="24"/>
          <w:szCs w:val="24"/>
        </w:rPr>
      </w:pPr>
      <w:r w:rsidRPr="00DE5E47">
        <w:rPr>
          <w:rFonts w:cs="Times New Roman"/>
          <w:sz w:val="24"/>
          <w:szCs w:val="24"/>
        </w:rPr>
        <w:t>[1] Social media</w:t>
      </w:r>
      <w:r w:rsidRPr="00DE5E47">
        <w:rPr>
          <w:rFonts w:cs="Times New Roman"/>
          <w:sz w:val="24"/>
          <w:szCs w:val="24"/>
        </w:rPr>
        <w:tab/>
        <w:t>[2] Local Events</w:t>
      </w:r>
      <w:r w:rsidRPr="00DE5E47">
        <w:rPr>
          <w:rFonts w:cs="Times New Roman"/>
          <w:sz w:val="24"/>
          <w:szCs w:val="24"/>
        </w:rPr>
        <w:tab/>
        <w:t>[3] Flyers/Brochures</w:t>
      </w:r>
      <w:r w:rsidRPr="00DE5E47">
        <w:rPr>
          <w:rFonts w:cs="Times New Roman"/>
          <w:sz w:val="24"/>
          <w:szCs w:val="24"/>
        </w:rPr>
        <w:tab/>
      </w:r>
      <w:r w:rsidRPr="00DE5E47">
        <w:rPr>
          <w:rFonts w:cs="Times New Roman"/>
          <w:sz w:val="24"/>
          <w:szCs w:val="24"/>
        </w:rPr>
        <w:tab/>
        <w:t>[4] Other (Specify)</w:t>
      </w:r>
    </w:p>
    <w:p w14:paraId="2435D5CB"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Do you participate in any marketing events or trade fairs?</w:t>
      </w:r>
    </w:p>
    <w:p w14:paraId="40578684"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78D05183"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set prices for your mud crabs?</w:t>
      </w:r>
    </w:p>
    <w:p w14:paraId="6AD40D71"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Pricing</w:t>
      </w:r>
      <w:r w:rsidRPr="00DE5E47">
        <w:rPr>
          <w:rFonts w:cs="Times New Roman"/>
          <w:sz w:val="24"/>
          <w:szCs w:val="24"/>
        </w:rPr>
        <w:tab/>
        <w:t>[2] Negotiable</w:t>
      </w:r>
      <w:r w:rsidRPr="00DE5E47">
        <w:rPr>
          <w:rFonts w:cs="Times New Roman"/>
          <w:sz w:val="24"/>
          <w:szCs w:val="24"/>
        </w:rPr>
        <w:tab/>
      </w:r>
      <w:r w:rsidRPr="00DE5E47">
        <w:rPr>
          <w:rFonts w:cs="Times New Roman"/>
          <w:sz w:val="24"/>
          <w:szCs w:val="24"/>
        </w:rPr>
        <w:tab/>
        <w:t>[3] Competitive Pricing</w:t>
      </w:r>
      <w:r w:rsidRPr="00DE5E47">
        <w:rPr>
          <w:rFonts w:cs="Times New Roman"/>
          <w:sz w:val="24"/>
          <w:szCs w:val="24"/>
        </w:rPr>
        <w:tab/>
      </w:r>
      <w:r w:rsidRPr="00DE5E47">
        <w:rPr>
          <w:rFonts w:cs="Times New Roman"/>
          <w:sz w:val="24"/>
          <w:szCs w:val="24"/>
        </w:rPr>
        <w:tab/>
        <w:t>[4] Other (Specify)</w:t>
      </w:r>
    </w:p>
    <w:p w14:paraId="641495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Relationships with Intermediaries:</w:t>
      </w:r>
      <w:r w:rsidRPr="00DE5E47">
        <w:rPr>
          <w:rFonts w:cs="Times New Roman"/>
          <w:sz w:val="24"/>
          <w:szCs w:val="24"/>
        </w:rPr>
        <w:t xml:space="preserve">  - same</w:t>
      </w:r>
    </w:p>
    <w:p w14:paraId="04C4772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work with any intermediaries or middlemen in the marketing process?</w:t>
      </w:r>
    </w:p>
    <w:p w14:paraId="001CC3AE"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6A8BA4E1" w14:textId="77777777" w:rsidR="00221112" w:rsidRPr="00DE5E47" w:rsidRDefault="00C14051">
      <w:pPr>
        <w:spacing w:line="360" w:lineRule="auto"/>
        <w:jc w:val="both"/>
        <w:rPr>
          <w:rFonts w:cs="Times New Roman"/>
          <w:sz w:val="24"/>
          <w:szCs w:val="24"/>
        </w:rPr>
      </w:pPr>
      <w:r w:rsidRPr="00DE5E47">
        <w:rPr>
          <w:rFonts w:cs="Times New Roman"/>
          <w:sz w:val="24"/>
          <w:szCs w:val="24"/>
        </w:rPr>
        <w:t>What role do these intermediaries play in your supply chain?</w:t>
      </w:r>
    </w:p>
    <w:p w14:paraId="0A412E33" w14:textId="77777777" w:rsidR="00221112" w:rsidRPr="00DE5E47" w:rsidRDefault="00C14051">
      <w:pPr>
        <w:spacing w:line="360" w:lineRule="auto"/>
        <w:jc w:val="both"/>
        <w:rPr>
          <w:rFonts w:cs="Times New Roman"/>
          <w:sz w:val="24"/>
          <w:szCs w:val="24"/>
        </w:rPr>
      </w:pPr>
      <w:r w:rsidRPr="00DE5E47">
        <w:rPr>
          <w:rFonts w:cs="Times New Roman"/>
          <w:sz w:val="24"/>
          <w:szCs w:val="24"/>
        </w:rPr>
        <w:t>[1] Transportation</w:t>
      </w:r>
      <w:r w:rsidRPr="00DE5E47">
        <w:rPr>
          <w:rFonts w:cs="Times New Roman"/>
          <w:sz w:val="24"/>
          <w:szCs w:val="24"/>
        </w:rPr>
        <w:tab/>
        <w:t>[2] Negotiation</w:t>
      </w:r>
      <w:r w:rsidRPr="00DE5E47">
        <w:rPr>
          <w:rFonts w:cs="Times New Roman"/>
          <w:sz w:val="24"/>
          <w:szCs w:val="24"/>
        </w:rPr>
        <w:tab/>
      </w:r>
      <w:r w:rsidRPr="00DE5E47">
        <w:rPr>
          <w:rFonts w:cs="Times New Roman"/>
          <w:sz w:val="24"/>
          <w:szCs w:val="24"/>
        </w:rPr>
        <w:tab/>
        <w:t>[3] Marketing</w:t>
      </w:r>
      <w:r w:rsidRPr="00DE5E47">
        <w:rPr>
          <w:rFonts w:cs="Times New Roman"/>
          <w:sz w:val="24"/>
          <w:szCs w:val="24"/>
        </w:rPr>
        <w:tab/>
      </w:r>
      <w:r w:rsidRPr="00DE5E47">
        <w:rPr>
          <w:rFonts w:cs="Times New Roman"/>
          <w:sz w:val="24"/>
          <w:szCs w:val="24"/>
        </w:rPr>
        <w:tab/>
        <w:t>[4] Other (Specify)</w:t>
      </w:r>
    </w:p>
    <w:p w14:paraId="01960FF5"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negotiate prices and terms with intermediaries?</w:t>
      </w:r>
    </w:p>
    <w:p w14:paraId="74EECAAB"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Terms</w:t>
      </w:r>
      <w:r w:rsidRPr="00DE5E47">
        <w:rPr>
          <w:rFonts w:cs="Times New Roman"/>
          <w:sz w:val="24"/>
          <w:szCs w:val="24"/>
        </w:rPr>
        <w:tab/>
      </w:r>
      <w:r w:rsidRPr="00DE5E47">
        <w:rPr>
          <w:rFonts w:cs="Times New Roman"/>
          <w:sz w:val="24"/>
          <w:szCs w:val="24"/>
        </w:rPr>
        <w:tab/>
        <w:t>[2] Flexible Terms</w:t>
      </w:r>
      <w:r w:rsidRPr="00DE5E47">
        <w:rPr>
          <w:rFonts w:cs="Times New Roman"/>
          <w:sz w:val="24"/>
          <w:szCs w:val="24"/>
        </w:rPr>
        <w:tab/>
        <w:t>[3] Competitive Bidding</w:t>
      </w:r>
    </w:p>
    <w:p w14:paraId="07E209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Product Quality Control:</w:t>
      </w:r>
      <w:r w:rsidRPr="00DE5E47">
        <w:rPr>
          <w:rFonts w:cs="Times New Roman"/>
          <w:sz w:val="24"/>
          <w:szCs w:val="24"/>
        </w:rPr>
        <w:t xml:space="preserve"> </w:t>
      </w:r>
    </w:p>
    <w:p w14:paraId="059F7A8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ensure the quality of mud crabs before they reach the market? </w:t>
      </w:r>
    </w:p>
    <w:p w14:paraId="522B901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Regular Inspections </w:t>
      </w:r>
      <w:r w:rsidRPr="00DE5E47">
        <w:rPr>
          <w:rFonts w:cs="Times New Roman"/>
          <w:sz w:val="24"/>
          <w:szCs w:val="24"/>
        </w:rPr>
        <w:tab/>
      </w:r>
      <w:r w:rsidRPr="00DE5E47">
        <w:rPr>
          <w:rFonts w:cs="Times New Roman"/>
          <w:sz w:val="24"/>
          <w:szCs w:val="24"/>
        </w:rPr>
        <w:tab/>
        <w:t>[2] Certification</w:t>
      </w:r>
      <w:r w:rsidRPr="00DE5E47">
        <w:rPr>
          <w:rFonts w:cs="Times New Roman"/>
          <w:sz w:val="24"/>
          <w:szCs w:val="24"/>
        </w:rPr>
        <w:tab/>
      </w:r>
      <w:r w:rsidRPr="00DE5E47">
        <w:rPr>
          <w:rFonts w:cs="Times New Roman"/>
          <w:sz w:val="24"/>
          <w:szCs w:val="24"/>
        </w:rPr>
        <w:tab/>
        <w:t xml:space="preserve">[3] Packaging Standards </w:t>
      </w:r>
      <w:r w:rsidRPr="00DE5E47">
        <w:rPr>
          <w:rFonts w:cs="Times New Roman"/>
          <w:sz w:val="24"/>
          <w:szCs w:val="24"/>
        </w:rPr>
        <w:tab/>
        <w:t xml:space="preserve">[4] Other (Specify) </w:t>
      </w:r>
    </w:p>
    <w:p w14:paraId="6C42908C"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implement any quality control measures during processing and handling? </w:t>
      </w:r>
    </w:p>
    <w:p w14:paraId="50B049C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160B98D6"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Research:</w:t>
      </w:r>
      <w:r w:rsidRPr="00DE5E47">
        <w:rPr>
          <w:rFonts w:cs="Times New Roman"/>
          <w:sz w:val="24"/>
          <w:szCs w:val="24"/>
        </w:rPr>
        <w:t xml:space="preserve"> </w:t>
      </w:r>
    </w:p>
    <w:p w14:paraId="55F3040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conduct any market research to understand consumer preferences and market trends?</w:t>
      </w:r>
    </w:p>
    <w:p w14:paraId="66EEB33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6E5F59E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do you utilize market research findings to improve your marketing strategies? </w:t>
      </w:r>
    </w:p>
    <w:p w14:paraId="5B08702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Adjust Marketing Strategies </w:t>
      </w:r>
      <w:r w:rsidRPr="00DE5E47">
        <w:rPr>
          <w:rFonts w:cs="Times New Roman"/>
          <w:sz w:val="24"/>
          <w:szCs w:val="24"/>
        </w:rPr>
        <w:tab/>
      </w:r>
      <w:r w:rsidRPr="00DE5E47">
        <w:rPr>
          <w:rFonts w:cs="Times New Roman"/>
          <w:sz w:val="24"/>
          <w:szCs w:val="24"/>
        </w:rPr>
        <w:tab/>
        <w:t xml:space="preserve">[2] Improve Product Quality </w:t>
      </w:r>
      <w:r w:rsidRPr="00DE5E47">
        <w:rPr>
          <w:rFonts w:cs="Times New Roman"/>
          <w:sz w:val="24"/>
          <w:szCs w:val="24"/>
        </w:rPr>
        <w:tab/>
        <w:t xml:space="preserve">[3] Explore New Markets </w:t>
      </w:r>
      <w:r w:rsidRPr="00DE5E47">
        <w:rPr>
          <w:rFonts w:cs="Times New Roman"/>
          <w:sz w:val="24"/>
          <w:szCs w:val="24"/>
        </w:rPr>
        <w:tab/>
        <w:t>[4] Other (Specify)</w:t>
      </w:r>
    </w:p>
    <w:p w14:paraId="6DC32011"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Technology Adoption:</w:t>
      </w:r>
    </w:p>
    <w:p w14:paraId="71B22A34"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Have you adopted any technology or modern equipment to enhance your mud crab fishing and marketing activities?</w:t>
      </w:r>
    </w:p>
    <w:p w14:paraId="5B09FAC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 xml:space="preserve">[2] No </w:t>
      </w:r>
    </w:p>
    <w:p w14:paraId="28E7C306"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How has technology adoption influenced your efficiency and productivity in the mud crab fishery? </w:t>
      </w:r>
    </w:p>
    <w:p w14:paraId="5E317F44"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Increased Efficiency </w:t>
      </w:r>
      <w:r w:rsidRPr="00DE5E47">
        <w:rPr>
          <w:rFonts w:cs="Times New Roman"/>
          <w:sz w:val="24"/>
          <w:szCs w:val="24"/>
        </w:rPr>
        <w:tab/>
        <w:t xml:space="preserve">[2] No Significant Change </w:t>
      </w:r>
      <w:r w:rsidRPr="00DE5E47">
        <w:rPr>
          <w:rFonts w:cs="Times New Roman"/>
          <w:sz w:val="24"/>
          <w:szCs w:val="24"/>
        </w:rPr>
        <w:tab/>
        <w:t>[3] Decreased Efficiency</w:t>
      </w:r>
    </w:p>
    <w:p w14:paraId="2BEC357C" w14:textId="77777777" w:rsidR="00221112" w:rsidRPr="00DE5E47" w:rsidRDefault="00C14051">
      <w:pPr>
        <w:autoSpaceDE w:val="0"/>
        <w:autoSpaceDN w:val="0"/>
        <w:adjustRightInd w:val="0"/>
        <w:spacing w:line="360" w:lineRule="auto"/>
        <w:jc w:val="both"/>
        <w:rPr>
          <w:rFonts w:eastAsia="Calibri" w:cs="Times New Roman"/>
          <w:b/>
          <w:bCs/>
          <w:spacing w:val="-3"/>
          <w:sz w:val="24"/>
          <w:szCs w:val="24"/>
          <w:lang w:bidi="en-US"/>
        </w:rPr>
      </w:pPr>
      <w:r w:rsidRPr="00DE5E47">
        <w:rPr>
          <w:rFonts w:eastAsia="Calibri" w:cs="Times New Roman"/>
          <w:b/>
          <w:bCs/>
          <w:spacing w:val="-3"/>
          <w:sz w:val="24"/>
          <w:szCs w:val="24"/>
          <w:lang w:bidi="en-US"/>
        </w:rPr>
        <w:t>Consumer Behavior and Preferences</w:t>
      </w:r>
    </w:p>
    <w:p w14:paraId="1FCCB176" w14:textId="77777777" w:rsidR="00221112" w:rsidRPr="00DE5E47" w:rsidRDefault="00C14051">
      <w:pPr>
        <w:autoSpaceDE w:val="0"/>
        <w:autoSpaceDN w:val="0"/>
        <w:adjustRightInd w:val="0"/>
        <w:spacing w:after="0" w:line="360" w:lineRule="auto"/>
        <w:jc w:val="both"/>
        <w:rPr>
          <w:rFonts w:cs="Times New Roman"/>
          <w:w w:val="110"/>
          <w:sz w:val="24"/>
          <w:szCs w:val="24"/>
          <w:lang w:bidi="en-US"/>
        </w:rPr>
      </w:pPr>
      <w:r w:rsidRPr="00DE5E47">
        <w:rPr>
          <w:rFonts w:cs="Times New Roman"/>
          <w:w w:val="110"/>
          <w:sz w:val="24"/>
          <w:szCs w:val="24"/>
          <w:lang w:bidi="en-US"/>
        </w:rPr>
        <w:t>What</w:t>
      </w:r>
      <w:r w:rsidRPr="00DE5E47">
        <w:rPr>
          <w:rFonts w:cs="Times New Roman"/>
          <w:spacing w:val="-4"/>
          <w:w w:val="110"/>
          <w:sz w:val="24"/>
          <w:szCs w:val="24"/>
          <w:lang w:bidi="en-US"/>
        </w:rPr>
        <w:t xml:space="preserve"> </w:t>
      </w:r>
      <w:r w:rsidRPr="00DE5E47">
        <w:rPr>
          <w:rFonts w:cs="Times New Roman"/>
          <w:w w:val="110"/>
          <w:sz w:val="24"/>
          <w:szCs w:val="24"/>
          <w:lang w:bidi="en-US"/>
        </w:rPr>
        <w:t>would</w:t>
      </w:r>
      <w:r w:rsidRPr="00DE5E47">
        <w:rPr>
          <w:rFonts w:cs="Times New Roman"/>
          <w:spacing w:val="-3"/>
          <w:w w:val="110"/>
          <w:sz w:val="24"/>
          <w:szCs w:val="24"/>
          <w:lang w:bidi="en-US"/>
        </w:rPr>
        <w:t xml:space="preserve"> </w:t>
      </w:r>
      <w:r w:rsidRPr="00DE5E47">
        <w:rPr>
          <w:rFonts w:cs="Times New Roman"/>
          <w:w w:val="110"/>
          <w:sz w:val="24"/>
          <w:szCs w:val="24"/>
          <w:lang w:bidi="en-US"/>
        </w:rPr>
        <w:t>you</w:t>
      </w:r>
      <w:r w:rsidRPr="00DE5E47">
        <w:rPr>
          <w:rFonts w:cs="Times New Roman"/>
          <w:spacing w:val="-4"/>
          <w:w w:val="110"/>
          <w:sz w:val="24"/>
          <w:szCs w:val="24"/>
          <w:lang w:bidi="en-US"/>
        </w:rPr>
        <w:t xml:space="preserve"> </w:t>
      </w:r>
      <w:r w:rsidRPr="00DE5E47">
        <w:rPr>
          <w:rFonts w:cs="Times New Roman"/>
          <w:w w:val="110"/>
          <w:sz w:val="24"/>
          <w:szCs w:val="24"/>
          <w:lang w:bidi="en-US"/>
        </w:rPr>
        <w:t>say</w:t>
      </w:r>
      <w:r w:rsidRPr="00DE5E47">
        <w:rPr>
          <w:rFonts w:cs="Times New Roman"/>
          <w:spacing w:val="-3"/>
          <w:w w:val="110"/>
          <w:sz w:val="24"/>
          <w:szCs w:val="24"/>
          <w:lang w:bidi="en-US"/>
        </w:rPr>
        <w:t xml:space="preserve"> </w:t>
      </w:r>
      <w:r w:rsidRPr="00DE5E47">
        <w:rPr>
          <w:rFonts w:cs="Times New Roman"/>
          <w:w w:val="110"/>
          <w:sz w:val="24"/>
          <w:szCs w:val="24"/>
          <w:lang w:bidi="en-US"/>
        </w:rPr>
        <w:t>is</w:t>
      </w:r>
      <w:r w:rsidRPr="00DE5E47">
        <w:rPr>
          <w:rFonts w:cs="Times New Roman"/>
          <w:spacing w:val="-3"/>
          <w:w w:val="110"/>
          <w:sz w:val="24"/>
          <w:szCs w:val="24"/>
          <w:lang w:bidi="en-US"/>
        </w:rPr>
        <w:t xml:space="preserve"> </w:t>
      </w:r>
      <w:r w:rsidRPr="00DE5E47">
        <w:rPr>
          <w:rFonts w:cs="Times New Roman"/>
          <w:w w:val="110"/>
          <w:sz w:val="24"/>
          <w:szCs w:val="24"/>
          <w:lang w:bidi="en-US"/>
        </w:rPr>
        <w:t>yours/</w:t>
      </w:r>
      <w:r w:rsidRPr="00DE5E47">
        <w:rPr>
          <w:rFonts w:cs="Times New Roman"/>
          <w:spacing w:val="-4"/>
          <w:w w:val="110"/>
          <w:sz w:val="24"/>
          <w:szCs w:val="24"/>
          <w:lang w:bidi="en-US"/>
        </w:rPr>
        <w:t xml:space="preserve"> </w:t>
      </w:r>
      <w:r w:rsidRPr="00DE5E47">
        <w:rPr>
          <w:rFonts w:cs="Times New Roman"/>
          <w:w w:val="110"/>
          <w:sz w:val="24"/>
          <w:szCs w:val="24"/>
          <w:lang w:bidi="en-US"/>
        </w:rPr>
        <w:t>your</w:t>
      </w:r>
      <w:r w:rsidRPr="00DE5E47">
        <w:rPr>
          <w:rFonts w:cs="Times New Roman"/>
          <w:spacing w:val="-3"/>
          <w:w w:val="110"/>
          <w:sz w:val="24"/>
          <w:szCs w:val="24"/>
          <w:lang w:bidi="en-US"/>
        </w:rPr>
        <w:t xml:space="preserve"> </w:t>
      </w:r>
      <w:r w:rsidRPr="00DE5E47">
        <w:rPr>
          <w:rFonts w:cs="Times New Roman"/>
          <w:w w:val="110"/>
          <w:sz w:val="24"/>
          <w:szCs w:val="24"/>
          <w:lang w:bidi="en-US"/>
        </w:rPr>
        <w:t>household's</w:t>
      </w:r>
      <w:r w:rsidRPr="00DE5E47">
        <w:rPr>
          <w:rFonts w:cs="Times New Roman"/>
          <w:spacing w:val="-3"/>
          <w:w w:val="110"/>
          <w:sz w:val="24"/>
          <w:szCs w:val="24"/>
          <w:lang w:bidi="en-US"/>
        </w:rPr>
        <w:t xml:space="preserve"> </w:t>
      </w:r>
      <w:r w:rsidRPr="00DE5E47">
        <w:rPr>
          <w:rFonts w:cs="Times New Roman"/>
          <w:w w:val="110"/>
          <w:sz w:val="24"/>
          <w:szCs w:val="24"/>
          <w:lang w:bidi="en-US"/>
        </w:rPr>
        <w:t>most</w:t>
      </w:r>
      <w:r w:rsidRPr="00DE5E47">
        <w:rPr>
          <w:rFonts w:cs="Times New Roman"/>
          <w:spacing w:val="-4"/>
          <w:w w:val="110"/>
          <w:sz w:val="24"/>
          <w:szCs w:val="24"/>
          <w:lang w:bidi="en-US"/>
        </w:rPr>
        <w:t xml:space="preserve"> </w:t>
      </w:r>
      <w:r w:rsidRPr="00DE5E47">
        <w:rPr>
          <w:rFonts w:cs="Times New Roman"/>
          <w:w w:val="110"/>
          <w:sz w:val="24"/>
          <w:szCs w:val="24"/>
          <w:lang w:bidi="en-US"/>
        </w:rPr>
        <w:t>important</w:t>
      </w:r>
      <w:r w:rsidRPr="00DE5E47">
        <w:rPr>
          <w:rFonts w:cs="Times New Roman"/>
          <w:spacing w:val="-3"/>
          <w:w w:val="110"/>
          <w:sz w:val="24"/>
          <w:szCs w:val="24"/>
          <w:lang w:bidi="en-US"/>
        </w:rPr>
        <w:t xml:space="preserve"> </w:t>
      </w:r>
      <w:r w:rsidRPr="00DE5E47">
        <w:rPr>
          <w:rFonts w:cs="Times New Roman"/>
          <w:w w:val="110"/>
          <w:sz w:val="24"/>
          <w:szCs w:val="24"/>
          <w:lang w:bidi="en-US"/>
        </w:rPr>
        <w:t>source</w:t>
      </w:r>
      <w:r w:rsidRPr="00DE5E47">
        <w:rPr>
          <w:rFonts w:cs="Times New Roman"/>
          <w:spacing w:val="-4"/>
          <w:w w:val="110"/>
          <w:sz w:val="24"/>
          <w:szCs w:val="24"/>
          <w:lang w:bidi="en-US"/>
        </w:rPr>
        <w:t xml:space="preserve"> </w:t>
      </w:r>
      <w:r w:rsidRPr="00DE5E47">
        <w:rPr>
          <w:rFonts w:cs="Times New Roman"/>
          <w:w w:val="110"/>
          <w:sz w:val="24"/>
          <w:szCs w:val="24"/>
          <w:lang w:bidi="en-US"/>
        </w:rPr>
        <w:t>of</w:t>
      </w:r>
      <w:r w:rsidRPr="00DE5E47">
        <w:rPr>
          <w:rFonts w:cs="Times New Roman"/>
          <w:spacing w:val="-3"/>
          <w:w w:val="110"/>
          <w:sz w:val="24"/>
          <w:szCs w:val="24"/>
          <w:lang w:bidi="en-US"/>
        </w:rPr>
        <w:t xml:space="preserve"> </w:t>
      </w:r>
      <w:r w:rsidRPr="00DE5E47">
        <w:rPr>
          <w:rFonts w:cs="Times New Roman"/>
          <w:w w:val="110"/>
          <w:sz w:val="24"/>
          <w:szCs w:val="24"/>
          <w:lang w:bidi="en-US"/>
        </w:rPr>
        <w:t>protein?</w:t>
      </w:r>
    </w:p>
    <w:p w14:paraId="0AC0C66D" w14:textId="77777777" w:rsidR="00221112" w:rsidRPr="00DE5E47" w:rsidRDefault="00C14051">
      <w:pPr>
        <w:spacing w:line="360" w:lineRule="auto"/>
        <w:jc w:val="both"/>
        <w:rPr>
          <w:rFonts w:cs="Times New Roman"/>
          <w:sz w:val="24"/>
          <w:szCs w:val="24"/>
        </w:rPr>
      </w:pPr>
      <w:r w:rsidRPr="00DE5E47">
        <w:rPr>
          <w:rFonts w:eastAsia="Calibri" w:cs="Times New Roman"/>
          <w:sz w:val="24"/>
          <w:szCs w:val="24"/>
        </w:rPr>
        <w:t>[1]</w:t>
      </w:r>
      <w:r w:rsidRPr="00DE5E47">
        <w:rPr>
          <w:rFonts w:cs="Times New Roman"/>
          <w:sz w:val="24"/>
          <w:szCs w:val="24"/>
        </w:rPr>
        <w:t xml:space="preserve"> Mudcrab </w:t>
      </w:r>
      <w:r w:rsidRPr="00DE5E47">
        <w:rPr>
          <w:rFonts w:eastAsia="Calibri" w:cs="Times New Roman"/>
          <w:sz w:val="24"/>
          <w:szCs w:val="24"/>
        </w:rPr>
        <w:tab/>
        <w:t xml:space="preserve">[2] </w:t>
      </w:r>
      <w:r w:rsidRPr="00DE5E47">
        <w:rPr>
          <w:rFonts w:cs="Times New Roman"/>
          <w:sz w:val="24"/>
          <w:szCs w:val="24"/>
        </w:rPr>
        <w:t>Chicken</w:t>
      </w:r>
      <w:r w:rsidRPr="00DE5E47">
        <w:rPr>
          <w:rFonts w:eastAsia="Calibri" w:cs="Times New Roman"/>
          <w:sz w:val="24"/>
          <w:szCs w:val="24"/>
        </w:rPr>
        <w:tab/>
        <w:t xml:space="preserve">[3] </w:t>
      </w:r>
      <w:r w:rsidRPr="00DE5E47">
        <w:rPr>
          <w:rFonts w:cs="Times New Roman"/>
          <w:sz w:val="24"/>
          <w:szCs w:val="24"/>
        </w:rPr>
        <w:t xml:space="preserve">beef </w:t>
      </w:r>
      <w:r w:rsidRPr="00DE5E47">
        <w:rPr>
          <w:rFonts w:eastAsia="Calibri" w:cs="Times New Roman"/>
          <w:sz w:val="24"/>
          <w:szCs w:val="24"/>
        </w:rPr>
        <w:tab/>
        <w:t xml:space="preserve">[4] </w:t>
      </w:r>
      <w:r w:rsidRPr="00DE5E47">
        <w:rPr>
          <w:rFonts w:cs="Times New Roman"/>
          <w:sz w:val="24"/>
          <w:szCs w:val="24"/>
        </w:rPr>
        <w:t xml:space="preserve">Fish </w:t>
      </w:r>
      <w:r w:rsidRPr="00DE5E47">
        <w:rPr>
          <w:rFonts w:cs="Times New Roman"/>
          <w:sz w:val="24"/>
          <w:szCs w:val="24"/>
        </w:rPr>
        <w:tab/>
      </w:r>
      <w:r w:rsidRPr="00DE5E47">
        <w:rPr>
          <w:rFonts w:eastAsia="Calibri" w:cs="Times New Roman"/>
          <w:sz w:val="24"/>
          <w:szCs w:val="24"/>
        </w:rPr>
        <w:t xml:space="preserve">[5] </w:t>
      </w:r>
      <w:r w:rsidRPr="00DE5E47">
        <w:rPr>
          <w:rFonts w:cs="Times New Roman"/>
          <w:sz w:val="24"/>
          <w:szCs w:val="24"/>
        </w:rPr>
        <w:t>Liver</w:t>
      </w:r>
      <w:r w:rsidRPr="00DE5E47">
        <w:rPr>
          <w:rFonts w:cs="Times New Roman"/>
          <w:sz w:val="24"/>
          <w:szCs w:val="24"/>
        </w:rPr>
        <w:tab/>
      </w:r>
      <w:r w:rsidRPr="00DE5E47">
        <w:rPr>
          <w:rFonts w:cs="Times New Roman"/>
          <w:sz w:val="24"/>
          <w:szCs w:val="24"/>
        </w:rPr>
        <w:tab/>
      </w:r>
      <w:r w:rsidRPr="00DE5E47">
        <w:rPr>
          <w:rFonts w:eastAsia="Calibri" w:cs="Times New Roman"/>
          <w:sz w:val="24"/>
          <w:szCs w:val="24"/>
        </w:rPr>
        <w:t xml:space="preserve">[6] </w:t>
      </w:r>
      <w:r w:rsidRPr="00DE5E47">
        <w:rPr>
          <w:rFonts w:cs="Times New Roman"/>
          <w:sz w:val="24"/>
          <w:szCs w:val="24"/>
        </w:rPr>
        <w:t>Goat/sheep meat</w:t>
      </w:r>
    </w:p>
    <w:p w14:paraId="2088ECCF"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Product Handling and Transportation</w:t>
      </w:r>
    </w:p>
    <w:p w14:paraId="3FF1974B"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package crabs for transportation?</w:t>
      </w:r>
    </w:p>
    <w:p w14:paraId="3245E6C6" w14:textId="77777777" w:rsidR="00221112" w:rsidRPr="00DE5E47" w:rsidRDefault="00C14051">
      <w:pPr>
        <w:spacing w:line="360" w:lineRule="auto"/>
        <w:jc w:val="both"/>
        <w:rPr>
          <w:rFonts w:cs="Times New Roman"/>
          <w:sz w:val="24"/>
          <w:szCs w:val="24"/>
        </w:rPr>
      </w:pPr>
      <w:r w:rsidRPr="00DE5E47">
        <w:rPr>
          <w:rFonts w:cs="Times New Roman"/>
          <w:sz w:val="24"/>
          <w:szCs w:val="24"/>
        </w:rPr>
        <w:t>[1] cool boxes</w:t>
      </w:r>
      <w:r w:rsidRPr="00DE5E47">
        <w:rPr>
          <w:rFonts w:cs="Times New Roman"/>
          <w:sz w:val="24"/>
          <w:szCs w:val="24"/>
        </w:rPr>
        <w:tab/>
        <w:t xml:space="preserve"> [2] sacks </w:t>
      </w:r>
      <w:r w:rsidRPr="00DE5E47">
        <w:rPr>
          <w:rFonts w:cs="Times New Roman"/>
          <w:sz w:val="24"/>
          <w:szCs w:val="24"/>
        </w:rPr>
        <w:tab/>
        <w:t xml:space="preserve">[3] </w:t>
      </w:r>
      <w:r w:rsidRPr="00DE5E47">
        <w:rPr>
          <w:rFonts w:cs="Times New Roman"/>
          <w:sz w:val="24"/>
          <w:szCs w:val="24"/>
        </w:rPr>
        <w:tab/>
        <w:t xml:space="preserve">polyethene bags </w:t>
      </w:r>
      <w:r w:rsidRPr="00DE5E47">
        <w:rPr>
          <w:rFonts w:cs="Times New Roman"/>
          <w:sz w:val="24"/>
          <w:szCs w:val="24"/>
        </w:rPr>
        <w:tab/>
        <w:t>[4] plastic containers</w:t>
      </w:r>
      <w:r w:rsidRPr="00DE5E47">
        <w:rPr>
          <w:rFonts w:cs="Times New Roman"/>
          <w:sz w:val="24"/>
          <w:szCs w:val="24"/>
        </w:rPr>
        <w:tab/>
        <w:t>[5] other(specify)</w:t>
      </w:r>
    </w:p>
    <w:p w14:paraId="3EB2FB31"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preserve crab/process your crab? If yes detail</w:t>
      </w:r>
    </w:p>
    <w:p w14:paraId="735B68A8" w14:textId="77777777" w:rsidR="00221112" w:rsidRPr="00DE5E47" w:rsidRDefault="00C14051">
      <w:pPr>
        <w:spacing w:line="360" w:lineRule="auto"/>
        <w:jc w:val="both"/>
        <w:rPr>
          <w:rFonts w:cs="Times New Roman"/>
          <w:sz w:val="24"/>
          <w:szCs w:val="24"/>
        </w:rPr>
      </w:pPr>
      <w:r w:rsidRPr="00DE5E47">
        <w:rPr>
          <w:rFonts w:cs="Times New Roman"/>
          <w:sz w:val="24"/>
          <w:szCs w:val="24"/>
        </w:rPr>
        <w:tab/>
        <w:t xml:space="preserve"> [1] YES (Specify) [2] NO</w:t>
      </w:r>
    </w:p>
    <w:p w14:paraId="14CAD76A" w14:textId="77777777" w:rsidR="00221112" w:rsidRPr="00DE5E47" w:rsidRDefault="00C14051">
      <w:pPr>
        <w:spacing w:line="360" w:lineRule="auto"/>
        <w:jc w:val="both"/>
        <w:rPr>
          <w:rFonts w:cs="Times New Roman"/>
          <w:sz w:val="24"/>
          <w:szCs w:val="24"/>
        </w:rPr>
      </w:pPr>
      <w:r w:rsidRPr="00DE5E47">
        <w:rPr>
          <w:rFonts w:cs="Times New Roman"/>
          <w:sz w:val="24"/>
          <w:szCs w:val="24"/>
        </w:rPr>
        <w:t>What is the approximate income from the fishery?</w:t>
      </w:r>
    </w:p>
    <w:p w14:paraId="44B6C404" w14:textId="77777777" w:rsidR="00221112" w:rsidRPr="00DE5E47" w:rsidRDefault="00C14051">
      <w:pPr>
        <w:spacing w:line="360" w:lineRule="auto"/>
        <w:jc w:val="both"/>
        <w:rPr>
          <w:rFonts w:cs="Times New Roman"/>
          <w:sz w:val="24"/>
          <w:szCs w:val="24"/>
        </w:rPr>
      </w:pPr>
      <w:r w:rsidRPr="00DE5E47">
        <w:rPr>
          <w:rFonts w:cs="Times New Roman"/>
          <w:sz w:val="24"/>
          <w:szCs w:val="24"/>
        </w:rPr>
        <w:t>[1] 1000-5000</w:t>
      </w:r>
      <w:r w:rsidRPr="00DE5E47">
        <w:rPr>
          <w:rFonts w:cs="Times New Roman"/>
          <w:sz w:val="24"/>
          <w:szCs w:val="24"/>
        </w:rPr>
        <w:tab/>
        <w:t xml:space="preserve"> [2] 5000-10000</w:t>
      </w:r>
      <w:r w:rsidRPr="00DE5E47">
        <w:rPr>
          <w:rFonts w:cs="Times New Roman"/>
          <w:sz w:val="24"/>
          <w:szCs w:val="24"/>
        </w:rPr>
        <w:tab/>
        <w:t xml:space="preserve">[3] </w:t>
      </w:r>
      <w:r w:rsidRPr="00DE5E47">
        <w:rPr>
          <w:rFonts w:cs="Times New Roman"/>
          <w:sz w:val="24"/>
          <w:szCs w:val="24"/>
        </w:rPr>
        <w:tab/>
        <w:t>10000-15000</w:t>
      </w:r>
      <w:r w:rsidRPr="00DE5E47">
        <w:rPr>
          <w:rFonts w:cs="Times New Roman"/>
          <w:sz w:val="24"/>
          <w:szCs w:val="24"/>
        </w:rPr>
        <w:tab/>
        <w:t>[4] 15000-20000</w:t>
      </w:r>
    </w:p>
    <w:p w14:paraId="328AA45F" w14:textId="77777777" w:rsidR="00221112" w:rsidRPr="00DE5E47" w:rsidRDefault="00C14051">
      <w:pPr>
        <w:spacing w:line="360" w:lineRule="auto"/>
        <w:jc w:val="both"/>
        <w:rPr>
          <w:rFonts w:cs="Times New Roman"/>
          <w:sz w:val="24"/>
          <w:szCs w:val="24"/>
        </w:rPr>
      </w:pPr>
      <w:r w:rsidRPr="00DE5E47">
        <w:rPr>
          <w:rFonts w:cs="Times New Roman"/>
          <w:sz w:val="24"/>
          <w:szCs w:val="24"/>
        </w:rPr>
        <w:t>Do you practice value addition?</w:t>
      </w:r>
    </w:p>
    <w:p w14:paraId="0BD09EF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w:t>
      </w:r>
    </w:p>
    <w:p w14:paraId="5D6F2406" w14:textId="77777777" w:rsidR="00221112" w:rsidRPr="00DE5E47" w:rsidRDefault="00221112">
      <w:pPr>
        <w:spacing w:line="360" w:lineRule="auto"/>
        <w:jc w:val="both"/>
        <w:rPr>
          <w:rFonts w:cs="Times New Roman"/>
          <w:sz w:val="24"/>
          <w:szCs w:val="24"/>
        </w:rPr>
      </w:pPr>
    </w:p>
    <w:p w14:paraId="0BC5E029" w14:textId="77777777" w:rsidR="00221112" w:rsidRPr="00DE5E47" w:rsidRDefault="00221112">
      <w:pPr>
        <w:spacing w:line="360" w:lineRule="auto"/>
        <w:jc w:val="both"/>
        <w:rPr>
          <w:rFonts w:cs="Times New Roman"/>
          <w:sz w:val="24"/>
          <w:szCs w:val="24"/>
        </w:rPr>
      </w:pPr>
    </w:p>
    <w:p w14:paraId="4135408A"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iii: To determine the link between the characteristics and functions of mud crab actors.</w:t>
      </w:r>
    </w:p>
    <w:p w14:paraId="32F9B817"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Objective iv: To assess the constraints and opportunities prevalent in the mud fishery by crab actor category.</w:t>
      </w:r>
    </w:p>
    <w:p w14:paraId="3118088C"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Constraints in Marketing:</w:t>
      </w:r>
    </w:p>
    <w:p w14:paraId="020CB390" w14:textId="77777777" w:rsidR="00221112" w:rsidRPr="00DE5E47" w:rsidRDefault="00C14051">
      <w:pPr>
        <w:spacing w:line="360" w:lineRule="auto"/>
        <w:jc w:val="both"/>
        <w:rPr>
          <w:rFonts w:cs="Times New Roman"/>
          <w:sz w:val="24"/>
          <w:szCs w:val="24"/>
        </w:rPr>
      </w:pPr>
      <w:r w:rsidRPr="00DE5E47">
        <w:rPr>
          <w:rFonts w:cs="Times New Roman"/>
          <w:sz w:val="24"/>
          <w:szCs w:val="24"/>
        </w:rPr>
        <w:t>What are the main challenges you face in marketing mud crabs?</w:t>
      </w:r>
    </w:p>
    <w:p w14:paraId="3C51407A" w14:textId="77777777" w:rsidR="00221112" w:rsidRPr="00DE5E47" w:rsidRDefault="00C14051">
      <w:pPr>
        <w:spacing w:line="360" w:lineRule="auto"/>
        <w:jc w:val="both"/>
        <w:rPr>
          <w:rFonts w:cs="Times New Roman"/>
          <w:sz w:val="24"/>
          <w:szCs w:val="24"/>
        </w:rPr>
      </w:pPr>
      <w:r w:rsidRPr="00DE5E47">
        <w:rPr>
          <w:rFonts w:cs="Times New Roman"/>
          <w:sz w:val="24"/>
          <w:szCs w:val="24"/>
        </w:rPr>
        <w:t>[1] Limited Market Access</w:t>
      </w:r>
      <w:r w:rsidRPr="00DE5E47">
        <w:rPr>
          <w:rFonts w:cs="Times New Roman"/>
          <w:sz w:val="24"/>
          <w:szCs w:val="24"/>
        </w:rPr>
        <w:tab/>
        <w:t>[2] Quality Control Issues</w:t>
      </w:r>
      <w:r w:rsidRPr="00DE5E47">
        <w:rPr>
          <w:rFonts w:cs="Times New Roman"/>
          <w:sz w:val="24"/>
          <w:szCs w:val="24"/>
        </w:rPr>
        <w:tab/>
        <w:t>[3] Price Fluctuations</w:t>
      </w:r>
      <w:r w:rsidRPr="00DE5E47">
        <w:rPr>
          <w:rFonts w:cs="Times New Roman"/>
          <w:sz w:val="24"/>
          <w:szCs w:val="24"/>
        </w:rPr>
        <w:tab/>
        <w:t>[4] Other (Specify)</w:t>
      </w:r>
    </w:p>
    <w:p w14:paraId="142365C3"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regulatory or legal constraints affecting your marketing activities?</w:t>
      </w:r>
    </w:p>
    <w:p w14:paraId="2D03A15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F52371C"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Market Structure and Integration Assessment</w:t>
      </w:r>
    </w:p>
    <w:p w14:paraId="10193492" w14:textId="77777777" w:rsidR="00221112" w:rsidRPr="00DE5E47" w:rsidRDefault="00C14051">
      <w:pPr>
        <w:spacing w:line="360" w:lineRule="auto"/>
        <w:jc w:val="both"/>
        <w:rPr>
          <w:rFonts w:cs="Times New Roman"/>
          <w:sz w:val="24"/>
          <w:szCs w:val="24"/>
        </w:rPr>
      </w:pPr>
      <w:bookmarkStart w:id="267" w:name="OLE_LINK2"/>
      <w:r w:rsidRPr="00DE5E47">
        <w:rPr>
          <w:rFonts w:cs="Times New Roman"/>
          <w:sz w:val="24"/>
          <w:szCs w:val="24"/>
        </w:rPr>
        <w:t>Do you feel the crab market is well structured (level-ground) for all actors?</w:t>
      </w:r>
    </w:p>
    <w:bookmarkEnd w:id="267"/>
    <w:p w14:paraId="3202813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[4] Agree</w:t>
      </w:r>
      <w:r w:rsidRPr="00DE5E47">
        <w:rPr>
          <w:rFonts w:cs="Times New Roman"/>
          <w:sz w:val="24"/>
          <w:szCs w:val="24"/>
        </w:rPr>
        <w:tab/>
        <w:t xml:space="preserve"> [5] Strongly Agree</w:t>
      </w:r>
    </w:p>
    <w:p w14:paraId="2523A2A0" w14:textId="77777777" w:rsidR="00221112" w:rsidRPr="00DE5E47" w:rsidRDefault="00C14051">
      <w:pPr>
        <w:spacing w:line="360" w:lineRule="auto"/>
        <w:jc w:val="both"/>
        <w:rPr>
          <w:rFonts w:cs="Times New Roman"/>
          <w:sz w:val="24"/>
          <w:szCs w:val="24"/>
        </w:rPr>
      </w:pPr>
      <w:r w:rsidRPr="00DE5E47">
        <w:rPr>
          <w:rFonts w:cs="Times New Roman"/>
          <w:sz w:val="24"/>
          <w:szCs w:val="24"/>
        </w:rPr>
        <w:t>Is the target crab species well integrated into the other species' marketing structures from this area?</w:t>
      </w:r>
    </w:p>
    <w:p w14:paraId="63229BD4" w14:textId="77777777" w:rsidR="00221112" w:rsidRPr="00DE5E47" w:rsidRDefault="00C14051">
      <w:pPr>
        <w:spacing w:line="360" w:lineRule="auto"/>
        <w:jc w:val="both"/>
        <w:rPr>
          <w:rFonts w:cs="Times New Roman"/>
          <w:sz w:val="24"/>
          <w:szCs w:val="24"/>
        </w:rPr>
      </w:pPr>
      <w:r w:rsidRPr="00DE5E47">
        <w:rPr>
          <w:rFonts w:cs="Times New Roman"/>
          <w:sz w:val="24"/>
          <w:szCs w:val="24"/>
        </w:rPr>
        <w:t>[1] Strongly Disagree</w:t>
      </w:r>
      <w:r w:rsidRPr="00DE5E47">
        <w:rPr>
          <w:rFonts w:cs="Times New Roman"/>
          <w:sz w:val="24"/>
          <w:szCs w:val="24"/>
        </w:rPr>
        <w:tab/>
        <w:t xml:space="preserve"> [2] Disagree </w:t>
      </w:r>
      <w:r w:rsidRPr="00DE5E47">
        <w:rPr>
          <w:rFonts w:cs="Times New Roman"/>
          <w:sz w:val="24"/>
          <w:szCs w:val="24"/>
        </w:rPr>
        <w:tab/>
        <w:t>[3] Neutral</w:t>
      </w:r>
      <w:r w:rsidRPr="00DE5E47">
        <w:rPr>
          <w:rFonts w:cs="Times New Roman"/>
          <w:sz w:val="24"/>
          <w:szCs w:val="24"/>
        </w:rPr>
        <w:tab/>
        <w:t xml:space="preserve"> [4] Agree </w:t>
      </w:r>
      <w:r w:rsidRPr="00DE5E47">
        <w:rPr>
          <w:rFonts w:cs="Times New Roman"/>
          <w:sz w:val="24"/>
          <w:szCs w:val="24"/>
        </w:rPr>
        <w:tab/>
        <w:t>[5] Strongly Agree</w:t>
      </w:r>
    </w:p>
    <w:p w14:paraId="41C10DB3" w14:textId="77777777" w:rsidR="00221112" w:rsidRPr="00DE5E47" w:rsidRDefault="00C14051">
      <w:pPr>
        <w:spacing w:line="360" w:lineRule="auto"/>
        <w:jc w:val="both"/>
        <w:rPr>
          <w:rFonts w:cs="Times New Roman"/>
          <w:sz w:val="24"/>
          <w:szCs w:val="24"/>
        </w:rPr>
      </w:pPr>
      <w:r w:rsidRPr="00DE5E47">
        <w:rPr>
          <w:rFonts w:cs="Times New Roman"/>
          <w:sz w:val="24"/>
          <w:szCs w:val="24"/>
        </w:rPr>
        <w:t>Do you know any policy framework for enhancing crab markets in this area currently?</w:t>
      </w:r>
    </w:p>
    <w:p w14:paraId="26376545"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Strongly Disagree </w:t>
      </w:r>
      <w:r w:rsidRPr="00DE5E47">
        <w:rPr>
          <w:rFonts w:cs="Times New Roman"/>
          <w:sz w:val="24"/>
          <w:szCs w:val="24"/>
        </w:rPr>
        <w:tab/>
      </w:r>
      <w:r w:rsidRPr="00DE5E47">
        <w:rPr>
          <w:rFonts w:cs="Times New Roman"/>
          <w:sz w:val="24"/>
          <w:szCs w:val="24"/>
        </w:rPr>
        <w:tab/>
        <w:t xml:space="preserve">[2] Disagree </w:t>
      </w:r>
      <w:r w:rsidRPr="00DE5E47">
        <w:rPr>
          <w:rFonts w:cs="Times New Roman"/>
          <w:sz w:val="24"/>
          <w:szCs w:val="24"/>
        </w:rPr>
        <w:tab/>
        <w:t xml:space="preserve">[3] Neutral </w:t>
      </w:r>
      <w:r w:rsidRPr="00DE5E47">
        <w:rPr>
          <w:rFonts w:cs="Times New Roman"/>
          <w:sz w:val="24"/>
          <w:szCs w:val="24"/>
        </w:rPr>
        <w:tab/>
        <w:t xml:space="preserve">[4] Agree </w:t>
      </w:r>
      <w:r w:rsidRPr="00DE5E47">
        <w:rPr>
          <w:rFonts w:cs="Times New Roman"/>
          <w:sz w:val="24"/>
          <w:szCs w:val="24"/>
        </w:rPr>
        <w:tab/>
        <w:t>[5] Strongly Agree</w:t>
      </w:r>
    </w:p>
    <w:p w14:paraId="3634C85B" w14:textId="77777777" w:rsidR="00221112" w:rsidRPr="00DE5E47" w:rsidRDefault="00C14051">
      <w:pPr>
        <w:spacing w:line="360" w:lineRule="auto"/>
        <w:jc w:val="both"/>
        <w:rPr>
          <w:rFonts w:cs="Times New Roman"/>
          <w:b/>
          <w:bCs/>
          <w:sz w:val="24"/>
          <w:szCs w:val="24"/>
        </w:rPr>
      </w:pPr>
      <w:r w:rsidRPr="00DE5E47">
        <w:rPr>
          <w:rFonts w:cs="Times New Roman"/>
          <w:b/>
          <w:bCs/>
          <w:sz w:val="24"/>
          <w:szCs w:val="24"/>
        </w:rPr>
        <w:t>Access to Credit and Financial Practices</w:t>
      </w:r>
    </w:p>
    <w:p w14:paraId="21F71F0E" w14:textId="77777777" w:rsidR="00221112" w:rsidRPr="00DE5E47" w:rsidRDefault="00C14051">
      <w:pPr>
        <w:spacing w:line="360" w:lineRule="auto"/>
        <w:jc w:val="both"/>
        <w:rPr>
          <w:rFonts w:cs="Times New Roman"/>
          <w:sz w:val="24"/>
          <w:szCs w:val="24"/>
        </w:rPr>
      </w:pPr>
      <w:r w:rsidRPr="00DE5E47">
        <w:rPr>
          <w:rFonts w:cs="Times New Roman"/>
          <w:sz w:val="24"/>
          <w:szCs w:val="24"/>
        </w:rPr>
        <w:t>Do you take loans to facilitate business?</w:t>
      </w:r>
    </w:p>
    <w:p w14:paraId="206F2751"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63440FFC" w14:textId="77777777" w:rsidR="00221112" w:rsidRPr="00DE5E47" w:rsidRDefault="00C14051">
      <w:pPr>
        <w:spacing w:line="360" w:lineRule="auto"/>
        <w:jc w:val="both"/>
        <w:rPr>
          <w:rFonts w:cs="Times New Roman"/>
          <w:sz w:val="24"/>
          <w:szCs w:val="24"/>
        </w:rPr>
      </w:pPr>
      <w:r w:rsidRPr="00DE5E47">
        <w:rPr>
          <w:rFonts w:cs="Times New Roman"/>
          <w:sz w:val="24"/>
          <w:szCs w:val="24"/>
        </w:rPr>
        <w:t>Whom do you borrow loans for crab business?</w:t>
      </w:r>
    </w:p>
    <w:p w14:paraId="45263447"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Borrowing from Money Lenders </w:t>
      </w:r>
      <w:r w:rsidRPr="00DE5E47">
        <w:rPr>
          <w:rFonts w:cs="Times New Roman"/>
          <w:sz w:val="24"/>
          <w:szCs w:val="24"/>
        </w:rPr>
        <w:tab/>
        <w:t xml:space="preserve">[2] Borrow from middlemen </w:t>
      </w:r>
      <w:r w:rsidRPr="00DE5E47">
        <w:rPr>
          <w:rFonts w:cs="Times New Roman"/>
          <w:sz w:val="24"/>
          <w:szCs w:val="24"/>
        </w:rPr>
        <w:tab/>
        <w:t>[3] Borrowing from exporters [4] Formal Institutions – Bank, Cooperatives,Sacco etc</w:t>
      </w:r>
      <w:r w:rsidRPr="00DE5E47">
        <w:rPr>
          <w:rFonts w:cs="Times New Roman"/>
          <w:sz w:val="24"/>
          <w:szCs w:val="24"/>
        </w:rPr>
        <w:tab/>
        <w:t xml:space="preserve"> [5] Combination of above sources and any other source other – specify 6. Other (specify)</w:t>
      </w:r>
    </w:p>
    <w:p w14:paraId="65B059B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Mode of Payment</w:t>
      </w:r>
      <w:r w:rsidRPr="00DE5E47">
        <w:rPr>
          <w:rFonts w:cs="Times New Roman"/>
          <w:sz w:val="24"/>
          <w:szCs w:val="24"/>
        </w:rPr>
        <w:t>: How do you get your payments?</w:t>
      </w:r>
    </w:p>
    <w:p w14:paraId="396DA33C" w14:textId="77777777" w:rsidR="00221112" w:rsidRPr="00DE5E47" w:rsidRDefault="00C14051">
      <w:pPr>
        <w:spacing w:line="360" w:lineRule="auto"/>
        <w:jc w:val="both"/>
        <w:rPr>
          <w:rFonts w:cs="Times New Roman"/>
          <w:sz w:val="24"/>
          <w:szCs w:val="24"/>
        </w:rPr>
      </w:pPr>
      <w:r w:rsidRPr="00DE5E47">
        <w:rPr>
          <w:rFonts w:cs="Times New Roman"/>
          <w:sz w:val="24"/>
          <w:szCs w:val="24"/>
        </w:rPr>
        <w:t>[1] Mpesa</w:t>
      </w:r>
      <w:r w:rsidRPr="00DE5E47">
        <w:rPr>
          <w:rFonts w:cs="Times New Roman"/>
          <w:sz w:val="24"/>
          <w:szCs w:val="24"/>
        </w:rPr>
        <w:tab/>
        <w:t xml:space="preserve"> [2] cash on delivery </w:t>
      </w:r>
      <w:r w:rsidRPr="00DE5E47">
        <w:rPr>
          <w:rFonts w:cs="Times New Roman"/>
          <w:sz w:val="24"/>
          <w:szCs w:val="24"/>
        </w:rPr>
        <w:tab/>
        <w:t xml:space="preserve">[3] Cheque </w:t>
      </w:r>
      <w:r w:rsidRPr="00DE5E47">
        <w:rPr>
          <w:rFonts w:cs="Times New Roman"/>
          <w:sz w:val="24"/>
          <w:szCs w:val="24"/>
        </w:rPr>
        <w:tab/>
        <w:t xml:space="preserve">[4] credit (daily, weekly, monthly) </w:t>
      </w:r>
      <w:r w:rsidRPr="00DE5E47">
        <w:rPr>
          <w:rFonts w:cs="Times New Roman"/>
          <w:sz w:val="24"/>
          <w:szCs w:val="24"/>
        </w:rPr>
        <w:tab/>
        <w:t>[5] Other (specify)</w:t>
      </w:r>
    </w:p>
    <w:p w14:paraId="3E1BF6A9" w14:textId="77777777" w:rsidR="00221112" w:rsidRPr="00DE5E47" w:rsidRDefault="00C14051">
      <w:pPr>
        <w:spacing w:line="360" w:lineRule="auto"/>
        <w:jc w:val="both"/>
        <w:rPr>
          <w:rFonts w:cs="Times New Roman"/>
          <w:sz w:val="24"/>
          <w:szCs w:val="24"/>
        </w:rPr>
      </w:pPr>
      <w:r w:rsidRPr="00DE5E47">
        <w:rPr>
          <w:rFonts w:cs="Times New Roman"/>
          <w:sz w:val="24"/>
          <w:szCs w:val="24"/>
        </w:rPr>
        <w:t>Is your buyer regular?</w:t>
      </w:r>
    </w:p>
    <w:p w14:paraId="51D27E45"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134304D8"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Location/site of sale?</w:t>
      </w:r>
    </w:p>
    <w:p w14:paraId="0D1D9BE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Landing beach </w:t>
      </w:r>
      <w:r w:rsidRPr="00DE5E47">
        <w:rPr>
          <w:rFonts w:cs="Times New Roman"/>
          <w:sz w:val="24"/>
          <w:szCs w:val="24"/>
        </w:rPr>
        <w:tab/>
        <w:t xml:space="preserve">[2] Market </w:t>
      </w:r>
      <w:r w:rsidRPr="00DE5E47">
        <w:rPr>
          <w:rFonts w:cs="Times New Roman"/>
          <w:sz w:val="24"/>
          <w:szCs w:val="24"/>
        </w:rPr>
        <w:tab/>
        <w:t xml:space="preserve">[3] hotels </w:t>
      </w:r>
      <w:r w:rsidRPr="00DE5E47">
        <w:rPr>
          <w:rFonts w:cs="Times New Roman"/>
          <w:sz w:val="24"/>
          <w:szCs w:val="24"/>
        </w:rPr>
        <w:tab/>
        <w:t xml:space="preserve">[4] Hawking </w:t>
      </w:r>
      <w:r w:rsidRPr="00DE5E47">
        <w:rPr>
          <w:rFonts w:cs="Times New Roman"/>
          <w:sz w:val="24"/>
          <w:szCs w:val="24"/>
        </w:rPr>
        <w:tab/>
        <w:t>[5] Other (specify)</w:t>
      </w:r>
    </w:p>
    <w:p w14:paraId="43F2A0B2" w14:textId="77777777" w:rsidR="00221112" w:rsidRPr="00DE5E47" w:rsidRDefault="00C14051">
      <w:pPr>
        <w:spacing w:line="360" w:lineRule="auto"/>
        <w:jc w:val="both"/>
        <w:rPr>
          <w:rFonts w:cs="Times New Roman"/>
          <w:sz w:val="24"/>
          <w:szCs w:val="24"/>
        </w:rPr>
      </w:pPr>
      <w:r w:rsidRPr="00DE5E47">
        <w:rPr>
          <w:rFonts w:cs="Times New Roman"/>
          <w:sz w:val="24"/>
          <w:szCs w:val="24"/>
        </w:rPr>
        <w:t>If you sell to another trader, do you know who they sell to?</w:t>
      </w:r>
    </w:p>
    <w:p w14:paraId="4E0B93D8"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2D33B4BD"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fishers tied to you? </w:t>
      </w:r>
    </w:p>
    <w:p w14:paraId="33A98663"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099541A2"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3E03AA22"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 xml:space="preserve">[2] Supply quantity </w:t>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[4] Frequency supply [5] Credit</w:t>
      </w:r>
    </w:p>
    <w:p w14:paraId="2DA2C2B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traders tied to you? </w:t>
      </w:r>
    </w:p>
    <w:p w14:paraId="58153462"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0877323"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758CFE5" w14:textId="77777777" w:rsidR="00221112" w:rsidRPr="00DE5E47" w:rsidRDefault="00C14051">
      <w:pPr>
        <w:spacing w:line="360" w:lineRule="auto"/>
        <w:jc w:val="both"/>
        <w:rPr>
          <w:rFonts w:cs="Times New Roman"/>
          <w:sz w:val="24"/>
          <w:szCs w:val="24"/>
        </w:rPr>
      </w:pPr>
      <w:r w:rsidRPr="00DE5E47">
        <w:rPr>
          <w:rFonts w:cs="Times New Roman"/>
          <w:sz w:val="24"/>
          <w:szCs w:val="24"/>
        </w:rPr>
        <w:t>[1] Fixed- price</w:t>
      </w:r>
      <w:r w:rsidRPr="00DE5E47">
        <w:rPr>
          <w:rFonts w:cs="Times New Roman"/>
          <w:sz w:val="24"/>
          <w:szCs w:val="24"/>
        </w:rPr>
        <w:tab/>
      </w:r>
      <w:r w:rsidRPr="00DE5E47">
        <w:rPr>
          <w:rFonts w:cs="Times New Roman"/>
          <w:sz w:val="24"/>
          <w:szCs w:val="24"/>
        </w:rPr>
        <w:tab/>
        <w:t xml:space="preserve"> [2] Supply quantity </w:t>
      </w:r>
      <w:r w:rsidRPr="00DE5E47">
        <w:rPr>
          <w:rFonts w:cs="Times New Roman"/>
          <w:sz w:val="24"/>
          <w:szCs w:val="24"/>
        </w:rPr>
        <w:tab/>
      </w:r>
      <w:r w:rsidRPr="00DE5E47">
        <w:rPr>
          <w:rFonts w:cs="Times New Roman"/>
          <w:sz w:val="24"/>
          <w:szCs w:val="24"/>
        </w:rPr>
        <w:tab/>
        <w:t xml:space="preserve">[3] Use their equipment </w:t>
      </w:r>
      <w:r w:rsidRPr="00DE5E47">
        <w:rPr>
          <w:rFonts w:cs="Times New Roman"/>
          <w:sz w:val="24"/>
          <w:szCs w:val="24"/>
        </w:rPr>
        <w:tab/>
      </w:r>
      <w:r w:rsidRPr="00DE5E47">
        <w:rPr>
          <w:rFonts w:cs="Times New Roman"/>
          <w:sz w:val="24"/>
          <w:szCs w:val="24"/>
        </w:rPr>
        <w:tab/>
        <w:t xml:space="preserve">[4] Frequency supply </w:t>
      </w:r>
      <w:r w:rsidRPr="00DE5E47">
        <w:rPr>
          <w:rFonts w:cs="Times New Roman"/>
          <w:sz w:val="24"/>
          <w:szCs w:val="24"/>
        </w:rPr>
        <w:tab/>
      </w:r>
      <w:r w:rsidRPr="00DE5E47">
        <w:rPr>
          <w:rFonts w:cs="Times New Roman"/>
          <w:sz w:val="24"/>
          <w:szCs w:val="24"/>
        </w:rPr>
        <w:tab/>
        <w:t>[5] Credit</w:t>
      </w:r>
    </w:p>
    <w:p w14:paraId="152C574A"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Do you have any depot owner tied to you? </w:t>
      </w:r>
    </w:p>
    <w:p w14:paraId="611D7637"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 xml:space="preserve"> [2] No (specify)</w:t>
      </w:r>
    </w:p>
    <w:p w14:paraId="424D0EFF" w14:textId="77777777" w:rsidR="00221112" w:rsidRPr="00DE5E47" w:rsidRDefault="00C14051">
      <w:pPr>
        <w:spacing w:line="360" w:lineRule="auto"/>
        <w:jc w:val="both"/>
        <w:rPr>
          <w:rFonts w:cs="Times New Roman"/>
          <w:sz w:val="24"/>
          <w:szCs w:val="24"/>
        </w:rPr>
      </w:pPr>
      <w:r w:rsidRPr="00DE5E47">
        <w:rPr>
          <w:rFonts w:cs="Times New Roman"/>
          <w:sz w:val="24"/>
          <w:szCs w:val="24"/>
        </w:rPr>
        <w:t>What arrangements?</w:t>
      </w:r>
    </w:p>
    <w:p w14:paraId="21451F82" w14:textId="77777777" w:rsidR="00221112" w:rsidRPr="00DE5E47" w:rsidRDefault="00C14051">
      <w:pPr>
        <w:spacing w:line="360" w:lineRule="auto"/>
        <w:ind w:left="720" w:hanging="720"/>
        <w:jc w:val="both"/>
        <w:rPr>
          <w:rFonts w:cs="Times New Roman"/>
          <w:sz w:val="24"/>
          <w:szCs w:val="24"/>
        </w:rPr>
      </w:pPr>
      <w:r w:rsidRPr="00DE5E47">
        <w:rPr>
          <w:rFonts w:cs="Times New Roman"/>
          <w:sz w:val="24"/>
          <w:szCs w:val="24"/>
        </w:rPr>
        <w:t xml:space="preserve">[1] Fixed- price </w:t>
      </w:r>
      <w:r w:rsidRPr="00DE5E47">
        <w:rPr>
          <w:rFonts w:cs="Times New Roman"/>
          <w:sz w:val="24"/>
          <w:szCs w:val="24"/>
        </w:rPr>
        <w:tab/>
      </w:r>
      <w:r w:rsidRPr="00DE5E47">
        <w:rPr>
          <w:rFonts w:cs="Times New Roman"/>
          <w:sz w:val="24"/>
          <w:szCs w:val="24"/>
        </w:rPr>
        <w:tab/>
        <w:t>[2] Supply quantity</w:t>
      </w:r>
      <w:r w:rsidRPr="00DE5E47">
        <w:rPr>
          <w:rFonts w:cs="Times New Roman"/>
          <w:sz w:val="24"/>
          <w:szCs w:val="24"/>
        </w:rPr>
        <w:tab/>
        <w:t xml:space="preserve"> [3] Use their equipment </w:t>
      </w:r>
      <w:r w:rsidRPr="00DE5E47">
        <w:rPr>
          <w:rFonts w:cs="Times New Roman"/>
          <w:sz w:val="24"/>
          <w:szCs w:val="24"/>
        </w:rPr>
        <w:tab/>
        <w:t>[4] Frequency supply [5] Credit</w:t>
      </w:r>
    </w:p>
    <w:p w14:paraId="73D69404" w14:textId="77777777" w:rsidR="00221112" w:rsidRPr="00DE5E47" w:rsidRDefault="00C14051">
      <w:pPr>
        <w:spacing w:line="360" w:lineRule="auto"/>
        <w:jc w:val="both"/>
        <w:rPr>
          <w:rFonts w:cs="Times New Roman"/>
          <w:sz w:val="24"/>
          <w:szCs w:val="24"/>
        </w:rPr>
      </w:pPr>
      <w:r w:rsidRPr="00DE5E47">
        <w:rPr>
          <w:rFonts w:cs="Times New Roman"/>
          <w:sz w:val="24"/>
          <w:szCs w:val="24"/>
        </w:rPr>
        <w:t>Do you have formal/informal agreements with another fisher/traders/Depot owners?</w:t>
      </w:r>
    </w:p>
    <w:p w14:paraId="09F95CD6" w14:textId="77777777" w:rsidR="00221112" w:rsidRPr="00DE5E47" w:rsidRDefault="00C14051">
      <w:pPr>
        <w:spacing w:line="360" w:lineRule="auto"/>
        <w:jc w:val="both"/>
        <w:rPr>
          <w:rFonts w:cs="Times New Roman"/>
          <w:sz w:val="24"/>
          <w:szCs w:val="24"/>
        </w:rPr>
      </w:pPr>
      <w:r w:rsidRPr="00DE5E47">
        <w:rPr>
          <w:rFonts w:cs="Times New Roman"/>
          <w:sz w:val="24"/>
          <w:szCs w:val="24"/>
        </w:rPr>
        <w:t>[1] Yes</w:t>
      </w:r>
      <w:r w:rsidRPr="00DE5E47">
        <w:rPr>
          <w:rFonts w:cs="Times New Roman"/>
          <w:sz w:val="24"/>
          <w:szCs w:val="24"/>
        </w:rPr>
        <w:tab/>
      </w:r>
      <w:r w:rsidRPr="00DE5E47">
        <w:rPr>
          <w:rFonts w:cs="Times New Roman"/>
          <w:sz w:val="24"/>
          <w:szCs w:val="24"/>
        </w:rPr>
        <w:tab/>
        <w:t>[2] No (specify)</w:t>
      </w:r>
    </w:p>
    <w:p w14:paraId="3E6B2920"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Opportunities for Improvement:</w:t>
      </w:r>
      <w:r w:rsidRPr="00DE5E47">
        <w:rPr>
          <w:rFonts w:cs="Times New Roman"/>
          <w:sz w:val="24"/>
          <w:szCs w:val="24"/>
        </w:rPr>
        <w:t xml:space="preserve"> </w:t>
      </w:r>
    </w:p>
    <w:p w14:paraId="301590FC" w14:textId="77777777" w:rsidR="00221112" w:rsidRPr="00DE5E47" w:rsidRDefault="00C14051">
      <w:pPr>
        <w:spacing w:line="360" w:lineRule="auto"/>
        <w:jc w:val="both"/>
        <w:rPr>
          <w:rFonts w:cs="Times New Roman"/>
          <w:sz w:val="24"/>
          <w:szCs w:val="24"/>
        </w:rPr>
      </w:pPr>
      <w:r w:rsidRPr="00DE5E47">
        <w:rPr>
          <w:rFonts w:cs="Times New Roman"/>
          <w:sz w:val="24"/>
          <w:szCs w:val="24"/>
        </w:rPr>
        <w:t>What opportunities do you see for improving the marketing of mud crabs?</w:t>
      </w:r>
    </w:p>
    <w:p w14:paraId="4667DDA7"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Market Access Improvement </w:t>
      </w:r>
      <w:r w:rsidRPr="00DE5E47">
        <w:rPr>
          <w:rFonts w:cs="Times New Roman"/>
          <w:sz w:val="24"/>
          <w:szCs w:val="24"/>
        </w:rPr>
        <w:tab/>
        <w:t xml:space="preserve">[2] Quality Enhancement </w:t>
      </w:r>
      <w:r w:rsidRPr="00DE5E47">
        <w:rPr>
          <w:rFonts w:cs="Times New Roman"/>
          <w:sz w:val="24"/>
          <w:szCs w:val="24"/>
        </w:rPr>
        <w:tab/>
        <w:t>[3] Price Stability Measures</w:t>
      </w:r>
      <w:r w:rsidRPr="00DE5E47">
        <w:rPr>
          <w:rFonts w:cs="Times New Roman"/>
          <w:sz w:val="24"/>
          <w:szCs w:val="24"/>
        </w:rPr>
        <w:tab/>
        <w:t>[4] Other (Specify)</w:t>
      </w:r>
    </w:p>
    <w:p w14:paraId="19AF1BCC" w14:textId="77777777" w:rsidR="00221112" w:rsidRPr="00DE5E47" w:rsidRDefault="00C14051">
      <w:pPr>
        <w:spacing w:line="360" w:lineRule="auto"/>
        <w:jc w:val="both"/>
        <w:rPr>
          <w:rFonts w:cs="Times New Roman"/>
          <w:sz w:val="24"/>
          <w:szCs w:val="24"/>
        </w:rPr>
      </w:pPr>
      <w:r w:rsidRPr="00DE5E47">
        <w:rPr>
          <w:rFonts w:cs="Times New Roman"/>
          <w:sz w:val="24"/>
          <w:szCs w:val="24"/>
        </w:rPr>
        <w:lastRenderedPageBreak/>
        <w:t>How can the current marketing system be enhanced to benefit mud crab actors?</w:t>
      </w:r>
    </w:p>
    <w:p w14:paraId="6DCA299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Government Support </w:t>
      </w:r>
      <w:r w:rsidRPr="00DE5E47">
        <w:rPr>
          <w:rFonts w:cs="Times New Roman"/>
          <w:sz w:val="24"/>
          <w:szCs w:val="24"/>
        </w:rPr>
        <w:tab/>
        <w:t xml:space="preserve">[2] Industry Collaboration </w:t>
      </w:r>
      <w:r w:rsidRPr="00DE5E47">
        <w:rPr>
          <w:rFonts w:cs="Times New Roman"/>
          <w:sz w:val="24"/>
          <w:szCs w:val="24"/>
        </w:rPr>
        <w:tab/>
        <w:t>[3] Technology Adoption</w:t>
      </w:r>
      <w:r w:rsidRPr="00DE5E47">
        <w:rPr>
          <w:rFonts w:cs="Times New Roman"/>
          <w:sz w:val="24"/>
          <w:szCs w:val="24"/>
        </w:rPr>
        <w:tab/>
        <w:t>[4] Other (Specify) [5] Access to credit</w:t>
      </w:r>
    </w:p>
    <w:p w14:paraId="7FA96BF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Infrastructure and Logistics:</w:t>
      </w:r>
      <w:r w:rsidRPr="00DE5E47">
        <w:rPr>
          <w:rFonts w:cs="Times New Roman"/>
          <w:sz w:val="24"/>
          <w:szCs w:val="24"/>
        </w:rPr>
        <w:t xml:space="preserve"> </w:t>
      </w:r>
    </w:p>
    <w:p w14:paraId="219F462F" w14:textId="77777777" w:rsidR="00221112" w:rsidRPr="00DE5E47" w:rsidRDefault="00C14051">
      <w:pPr>
        <w:spacing w:line="360" w:lineRule="auto"/>
        <w:jc w:val="both"/>
        <w:rPr>
          <w:rFonts w:cs="Times New Roman"/>
          <w:sz w:val="24"/>
          <w:szCs w:val="24"/>
        </w:rPr>
      </w:pPr>
      <w:r w:rsidRPr="00DE5E47">
        <w:rPr>
          <w:rFonts w:cs="Times New Roman"/>
          <w:sz w:val="24"/>
          <w:szCs w:val="24"/>
        </w:rPr>
        <w:t>What infrastructure or logistical challenges do you face in transporting mud crabs from the fishing grounds to the market?</w:t>
      </w:r>
    </w:p>
    <w:p w14:paraId="76544B1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Poor Road Infrastructure </w:t>
      </w:r>
      <w:r w:rsidRPr="00DE5E47">
        <w:rPr>
          <w:rFonts w:cs="Times New Roman"/>
          <w:sz w:val="24"/>
          <w:szCs w:val="24"/>
        </w:rPr>
        <w:tab/>
        <w:t>[2] Lack of Cold Storage Facilities</w:t>
      </w:r>
      <w:r w:rsidRPr="00DE5E47">
        <w:rPr>
          <w:rFonts w:cs="Times New Roman"/>
          <w:sz w:val="24"/>
          <w:szCs w:val="24"/>
        </w:rPr>
        <w:tab/>
        <w:t xml:space="preserve">[3] Limited Transportation Options </w:t>
      </w:r>
      <w:r w:rsidRPr="00DE5E47">
        <w:rPr>
          <w:rFonts w:cs="Times New Roman"/>
          <w:sz w:val="24"/>
          <w:szCs w:val="24"/>
        </w:rPr>
        <w:tab/>
        <w:t>[4] Other (Specify)</w:t>
      </w:r>
    </w:p>
    <w:p w14:paraId="1AD2BA22" w14:textId="77777777" w:rsidR="00221112" w:rsidRPr="00DE5E47" w:rsidRDefault="00C14051">
      <w:pPr>
        <w:spacing w:line="360" w:lineRule="auto"/>
        <w:jc w:val="both"/>
        <w:rPr>
          <w:rFonts w:cs="Times New Roman"/>
          <w:sz w:val="24"/>
          <w:szCs w:val="24"/>
        </w:rPr>
      </w:pPr>
      <w:r w:rsidRPr="00DE5E47">
        <w:rPr>
          <w:rFonts w:cs="Times New Roman"/>
          <w:sz w:val="24"/>
          <w:szCs w:val="24"/>
        </w:rPr>
        <w:t>Are there any improvements needed in infrastructure to support the mud crab fishery?</w:t>
      </w:r>
    </w:p>
    <w:p w14:paraId="213B642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7E7CD4D2" w14:textId="77777777" w:rsidR="00221112" w:rsidRPr="00DE5E47" w:rsidRDefault="00C14051">
      <w:pPr>
        <w:spacing w:line="360" w:lineRule="auto"/>
        <w:jc w:val="both"/>
        <w:rPr>
          <w:rFonts w:cs="Times New Roman"/>
          <w:sz w:val="24"/>
          <w:szCs w:val="24"/>
        </w:rPr>
      </w:pPr>
      <w:r w:rsidRPr="00DE5E47">
        <w:rPr>
          <w:rFonts w:cs="Times New Roman"/>
          <w:b/>
          <w:bCs/>
          <w:sz w:val="24"/>
          <w:szCs w:val="24"/>
        </w:rPr>
        <w:t>Market Access and Market Entry Barriers:</w:t>
      </w:r>
      <w:r w:rsidRPr="00DE5E47">
        <w:rPr>
          <w:rFonts w:cs="Times New Roman"/>
          <w:sz w:val="24"/>
          <w:szCs w:val="24"/>
        </w:rPr>
        <w:t xml:space="preserve"> </w:t>
      </w:r>
    </w:p>
    <w:p w14:paraId="15FD7B25" w14:textId="77777777" w:rsidR="00221112" w:rsidRPr="00DE5E47" w:rsidRDefault="00C14051">
      <w:pPr>
        <w:spacing w:line="360" w:lineRule="auto"/>
        <w:jc w:val="both"/>
        <w:rPr>
          <w:rFonts w:cs="Times New Roman"/>
          <w:sz w:val="24"/>
          <w:szCs w:val="24"/>
        </w:rPr>
      </w:pPr>
      <w:r w:rsidRPr="00DE5E47">
        <w:rPr>
          <w:rFonts w:cs="Times New Roman"/>
          <w:sz w:val="24"/>
          <w:szCs w:val="24"/>
        </w:rPr>
        <w:t>Have you encountered any barriers to accessing certain markets for selling mud crabs?</w:t>
      </w:r>
    </w:p>
    <w:p w14:paraId="386A01D9"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r>
      <w:r w:rsidRPr="00DE5E47">
        <w:rPr>
          <w:rFonts w:cs="Times New Roman"/>
          <w:sz w:val="24"/>
          <w:szCs w:val="24"/>
        </w:rPr>
        <w:tab/>
        <w:t>[2] No</w:t>
      </w:r>
    </w:p>
    <w:p w14:paraId="55D5BFA4" w14:textId="77777777" w:rsidR="00221112" w:rsidRPr="00DE5E47" w:rsidRDefault="00C14051">
      <w:pPr>
        <w:spacing w:line="360" w:lineRule="auto"/>
        <w:jc w:val="both"/>
        <w:rPr>
          <w:rFonts w:cs="Times New Roman"/>
          <w:sz w:val="24"/>
          <w:szCs w:val="24"/>
        </w:rPr>
      </w:pPr>
      <w:r w:rsidRPr="00DE5E47">
        <w:rPr>
          <w:rFonts w:cs="Times New Roman"/>
          <w:sz w:val="24"/>
          <w:szCs w:val="24"/>
        </w:rPr>
        <w:t>What factors contribute to market entry barriers in the mud crab fishery, particularly for new entrants?</w:t>
      </w:r>
    </w:p>
    <w:p w14:paraId="0425E04E"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Lack of Information </w:t>
      </w:r>
      <w:r w:rsidRPr="00DE5E47">
        <w:rPr>
          <w:rFonts w:cs="Times New Roman"/>
          <w:sz w:val="24"/>
          <w:szCs w:val="24"/>
        </w:rPr>
        <w:tab/>
      </w:r>
      <w:r w:rsidRPr="00DE5E47">
        <w:rPr>
          <w:rFonts w:cs="Times New Roman"/>
          <w:sz w:val="24"/>
          <w:szCs w:val="24"/>
        </w:rPr>
        <w:tab/>
        <w:t>[2] Regulatory Hurdles</w:t>
      </w:r>
      <w:r w:rsidRPr="00DE5E47">
        <w:rPr>
          <w:rFonts w:cs="Times New Roman"/>
          <w:sz w:val="24"/>
          <w:szCs w:val="24"/>
        </w:rPr>
        <w:tab/>
      </w:r>
      <w:r w:rsidRPr="00DE5E47">
        <w:rPr>
          <w:rFonts w:cs="Times New Roman"/>
          <w:sz w:val="24"/>
          <w:szCs w:val="24"/>
        </w:rPr>
        <w:tab/>
        <w:t>[3] Market Competition</w:t>
      </w:r>
      <w:r w:rsidRPr="00DE5E47">
        <w:rPr>
          <w:rFonts w:cs="Times New Roman"/>
          <w:sz w:val="24"/>
          <w:szCs w:val="24"/>
        </w:rPr>
        <w:tab/>
      </w:r>
      <w:r w:rsidRPr="00DE5E47">
        <w:rPr>
          <w:rFonts w:cs="Times New Roman"/>
          <w:sz w:val="24"/>
          <w:szCs w:val="24"/>
        </w:rPr>
        <w:tab/>
        <w:t>[4] Other (Specify)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3"/>
        <w:gridCol w:w="1282"/>
        <w:gridCol w:w="1282"/>
        <w:gridCol w:w="1705"/>
        <w:gridCol w:w="1584"/>
        <w:gridCol w:w="1523"/>
      </w:tblGrid>
      <w:tr w:rsidR="00221112" w:rsidRPr="00DE5E47" w14:paraId="4C1CFFC6" w14:textId="77777777">
        <w:trPr>
          <w:tblHeader/>
          <w:jc w:val="center"/>
        </w:trPr>
        <w:tc>
          <w:tcPr>
            <w:tcW w:w="1944" w:type="dxa"/>
            <w:tcMar>
              <w:top w:w="20" w:type="dxa"/>
              <w:left w:w="30" w:type="dxa"/>
              <w:bottom w:w="20" w:type="dxa"/>
              <w:right w:w="30" w:type="dxa"/>
            </w:tcMar>
            <w:vAlign w:val="center"/>
          </w:tcPr>
          <w:p w14:paraId="3C1ACF2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Attitudinal statements</w:t>
            </w:r>
          </w:p>
        </w:tc>
        <w:tc>
          <w:tcPr>
            <w:tcW w:w="1512" w:type="dxa"/>
            <w:tcMar>
              <w:top w:w="20" w:type="dxa"/>
              <w:left w:w="30" w:type="dxa"/>
              <w:bottom w:w="20" w:type="dxa"/>
              <w:right w:w="30" w:type="dxa"/>
            </w:tcMar>
            <w:vAlign w:val="center"/>
          </w:tcPr>
          <w:p w14:paraId="6B88E0B4"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 xml:space="preserve">Very Low (1) </w:t>
            </w:r>
          </w:p>
        </w:tc>
        <w:tc>
          <w:tcPr>
            <w:tcW w:w="1512" w:type="dxa"/>
            <w:tcMar>
              <w:top w:w="20" w:type="dxa"/>
              <w:left w:w="30" w:type="dxa"/>
              <w:bottom w:w="20" w:type="dxa"/>
              <w:right w:w="30" w:type="dxa"/>
            </w:tcMar>
            <w:vAlign w:val="center"/>
          </w:tcPr>
          <w:p w14:paraId="7D2150AC"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Low (2)</w:t>
            </w:r>
          </w:p>
        </w:tc>
        <w:tc>
          <w:tcPr>
            <w:tcW w:w="2016" w:type="dxa"/>
            <w:tcMar>
              <w:top w:w="20" w:type="dxa"/>
              <w:left w:w="30" w:type="dxa"/>
              <w:bottom w:w="20" w:type="dxa"/>
              <w:right w:w="30" w:type="dxa"/>
            </w:tcMar>
            <w:vAlign w:val="center"/>
          </w:tcPr>
          <w:p w14:paraId="0220DD49"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Neutral (3)</w:t>
            </w:r>
          </w:p>
        </w:tc>
        <w:tc>
          <w:tcPr>
            <w:tcW w:w="1872" w:type="dxa"/>
            <w:tcMar>
              <w:top w:w="20" w:type="dxa"/>
              <w:left w:w="30" w:type="dxa"/>
              <w:bottom w:w="20" w:type="dxa"/>
              <w:right w:w="30" w:type="dxa"/>
            </w:tcMar>
            <w:vAlign w:val="center"/>
          </w:tcPr>
          <w:p w14:paraId="41D5E44E"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Moderately High (4)</w:t>
            </w:r>
          </w:p>
        </w:tc>
        <w:tc>
          <w:tcPr>
            <w:tcW w:w="1800" w:type="dxa"/>
            <w:tcMar>
              <w:top w:w="20" w:type="dxa"/>
              <w:left w:w="30" w:type="dxa"/>
              <w:bottom w:w="20" w:type="dxa"/>
              <w:right w:w="30" w:type="dxa"/>
            </w:tcMar>
            <w:vAlign w:val="center"/>
          </w:tcPr>
          <w:p w14:paraId="45A45350" w14:textId="77777777" w:rsidR="00221112" w:rsidRPr="00DE5E47" w:rsidRDefault="00C14051">
            <w:pPr>
              <w:spacing w:after="0" w:line="240" w:lineRule="auto"/>
              <w:jc w:val="both"/>
              <w:rPr>
                <w:rFonts w:eastAsia="Calibri" w:cs="Times New Roman"/>
                <w:b/>
                <w:bCs/>
                <w:sz w:val="24"/>
                <w:szCs w:val="24"/>
                <w:lang w:val="en-GB"/>
              </w:rPr>
            </w:pPr>
            <w:r w:rsidRPr="00DE5E47">
              <w:rPr>
                <w:rFonts w:eastAsia="Calibri" w:cs="Times New Roman"/>
                <w:b/>
                <w:bCs/>
                <w:sz w:val="24"/>
                <w:szCs w:val="24"/>
                <w:lang w:val="en-GB"/>
              </w:rPr>
              <w:t>Very High (5)</w:t>
            </w:r>
          </w:p>
        </w:tc>
      </w:tr>
      <w:tr w:rsidR="00221112" w:rsidRPr="00DE5E47" w14:paraId="51B60D4D" w14:textId="77777777">
        <w:trPr>
          <w:jc w:val="center"/>
        </w:trPr>
        <w:tc>
          <w:tcPr>
            <w:tcW w:w="1944" w:type="dxa"/>
            <w:tcMar>
              <w:top w:w="20" w:type="dxa"/>
              <w:left w:w="30" w:type="dxa"/>
              <w:bottom w:w="20" w:type="dxa"/>
              <w:right w:w="30" w:type="dxa"/>
            </w:tcMar>
            <w:vAlign w:val="center"/>
          </w:tcPr>
          <w:p w14:paraId="0F8D355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men fishers in your fishing?</w:t>
            </w:r>
          </w:p>
        </w:tc>
        <w:tc>
          <w:tcPr>
            <w:tcW w:w="1512" w:type="dxa"/>
            <w:tcMar>
              <w:top w:w="20" w:type="dxa"/>
              <w:left w:w="30" w:type="dxa"/>
              <w:bottom w:w="20" w:type="dxa"/>
              <w:right w:w="30" w:type="dxa"/>
            </w:tcMar>
            <w:vAlign w:val="center"/>
          </w:tcPr>
          <w:p w14:paraId="3744C983"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64F37E2E"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6C3C918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6AA73085"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2AFD47BE"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480F8B87" w14:textId="77777777">
        <w:trPr>
          <w:jc w:val="center"/>
        </w:trPr>
        <w:tc>
          <w:tcPr>
            <w:tcW w:w="1944" w:type="dxa"/>
            <w:tcMar>
              <w:top w:w="20" w:type="dxa"/>
              <w:left w:w="30" w:type="dxa"/>
              <w:bottom w:w="20" w:type="dxa"/>
              <w:right w:w="30" w:type="dxa"/>
            </w:tcMar>
            <w:vAlign w:val="center"/>
          </w:tcPr>
          <w:p w14:paraId="5029358A"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women fishers in your fishing?</w:t>
            </w:r>
          </w:p>
        </w:tc>
        <w:tc>
          <w:tcPr>
            <w:tcW w:w="1512" w:type="dxa"/>
            <w:tcMar>
              <w:top w:w="20" w:type="dxa"/>
              <w:left w:w="30" w:type="dxa"/>
              <w:bottom w:w="20" w:type="dxa"/>
              <w:right w:w="30" w:type="dxa"/>
            </w:tcMar>
            <w:vAlign w:val="center"/>
          </w:tcPr>
          <w:p w14:paraId="57F7BE8E"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56563C1B"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454CAE93"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29D22448"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7DC6A0B0" w14:textId="77777777" w:rsidR="00221112" w:rsidRPr="00DE5E47" w:rsidRDefault="00221112">
            <w:pPr>
              <w:spacing w:after="0" w:line="240" w:lineRule="auto"/>
              <w:jc w:val="both"/>
              <w:rPr>
                <w:rFonts w:eastAsia="Calibri" w:cs="Times New Roman"/>
                <w:sz w:val="24"/>
                <w:szCs w:val="24"/>
                <w:lang w:val="en-GB"/>
              </w:rPr>
            </w:pPr>
          </w:p>
        </w:tc>
      </w:tr>
      <w:tr w:rsidR="00221112" w:rsidRPr="00DE5E47" w14:paraId="6E2438D3" w14:textId="77777777">
        <w:trPr>
          <w:jc w:val="center"/>
        </w:trPr>
        <w:tc>
          <w:tcPr>
            <w:tcW w:w="1944" w:type="dxa"/>
            <w:tcMar>
              <w:top w:w="20" w:type="dxa"/>
              <w:left w:w="30" w:type="dxa"/>
              <w:bottom w:w="20" w:type="dxa"/>
              <w:right w:w="30" w:type="dxa"/>
            </w:tcMar>
            <w:vAlign w:val="center"/>
          </w:tcPr>
          <w:p w14:paraId="1768A32C" w14:textId="77777777" w:rsidR="00221112" w:rsidRPr="00DE5E47" w:rsidRDefault="00C14051">
            <w:pPr>
              <w:spacing w:after="0" w:line="240" w:lineRule="auto"/>
              <w:jc w:val="both"/>
              <w:rPr>
                <w:rFonts w:eastAsia="Calibri" w:cs="Times New Roman"/>
                <w:sz w:val="24"/>
                <w:szCs w:val="24"/>
                <w:lang w:val="en-GB"/>
              </w:rPr>
            </w:pPr>
            <w:r w:rsidRPr="00DE5E47">
              <w:rPr>
                <w:rFonts w:cs="Times New Roman"/>
                <w:sz w:val="24"/>
                <w:szCs w:val="24"/>
              </w:rPr>
              <w:t>What is the level of involvement of Youth fishers in your fishing?</w:t>
            </w:r>
          </w:p>
        </w:tc>
        <w:tc>
          <w:tcPr>
            <w:tcW w:w="1512" w:type="dxa"/>
            <w:tcMar>
              <w:top w:w="20" w:type="dxa"/>
              <w:left w:w="30" w:type="dxa"/>
              <w:bottom w:w="20" w:type="dxa"/>
              <w:right w:w="30" w:type="dxa"/>
            </w:tcMar>
            <w:vAlign w:val="center"/>
          </w:tcPr>
          <w:p w14:paraId="24487C65" w14:textId="77777777" w:rsidR="00221112" w:rsidRPr="00DE5E47" w:rsidRDefault="00221112">
            <w:pPr>
              <w:spacing w:after="0" w:line="240" w:lineRule="auto"/>
              <w:jc w:val="both"/>
              <w:rPr>
                <w:rFonts w:eastAsia="Calibri" w:cs="Times New Roman"/>
                <w:sz w:val="24"/>
                <w:szCs w:val="24"/>
                <w:lang w:val="en-GB"/>
              </w:rPr>
            </w:pPr>
          </w:p>
        </w:tc>
        <w:tc>
          <w:tcPr>
            <w:tcW w:w="1512" w:type="dxa"/>
            <w:tcMar>
              <w:top w:w="20" w:type="dxa"/>
              <w:left w:w="30" w:type="dxa"/>
              <w:bottom w:w="20" w:type="dxa"/>
              <w:right w:w="30" w:type="dxa"/>
            </w:tcMar>
            <w:vAlign w:val="center"/>
          </w:tcPr>
          <w:p w14:paraId="0BD8E505" w14:textId="77777777" w:rsidR="00221112" w:rsidRPr="00DE5E47" w:rsidRDefault="00221112">
            <w:pPr>
              <w:spacing w:after="0" w:line="240" w:lineRule="auto"/>
              <w:jc w:val="both"/>
              <w:rPr>
                <w:rFonts w:eastAsia="Calibri" w:cs="Times New Roman"/>
                <w:sz w:val="24"/>
                <w:szCs w:val="24"/>
                <w:lang w:val="en-GB"/>
              </w:rPr>
            </w:pPr>
          </w:p>
        </w:tc>
        <w:tc>
          <w:tcPr>
            <w:tcW w:w="2016" w:type="dxa"/>
            <w:tcMar>
              <w:top w:w="20" w:type="dxa"/>
              <w:left w:w="30" w:type="dxa"/>
              <w:bottom w:w="20" w:type="dxa"/>
              <w:right w:w="30" w:type="dxa"/>
            </w:tcMar>
            <w:vAlign w:val="center"/>
          </w:tcPr>
          <w:p w14:paraId="1AD69862" w14:textId="77777777" w:rsidR="00221112" w:rsidRPr="00DE5E47" w:rsidRDefault="00221112">
            <w:pPr>
              <w:spacing w:after="0" w:line="240" w:lineRule="auto"/>
              <w:jc w:val="both"/>
              <w:rPr>
                <w:rFonts w:eastAsia="Calibri" w:cs="Times New Roman"/>
                <w:sz w:val="24"/>
                <w:szCs w:val="24"/>
                <w:lang w:val="en-GB"/>
              </w:rPr>
            </w:pPr>
          </w:p>
        </w:tc>
        <w:tc>
          <w:tcPr>
            <w:tcW w:w="1872" w:type="dxa"/>
            <w:tcMar>
              <w:top w:w="20" w:type="dxa"/>
              <w:left w:w="30" w:type="dxa"/>
              <w:bottom w:w="20" w:type="dxa"/>
              <w:right w:w="30" w:type="dxa"/>
            </w:tcMar>
            <w:vAlign w:val="center"/>
          </w:tcPr>
          <w:p w14:paraId="35A0977B" w14:textId="77777777" w:rsidR="00221112" w:rsidRPr="00DE5E47" w:rsidRDefault="00221112">
            <w:pPr>
              <w:spacing w:after="0" w:line="240" w:lineRule="auto"/>
              <w:jc w:val="both"/>
              <w:rPr>
                <w:rFonts w:eastAsia="Calibri" w:cs="Times New Roman"/>
                <w:sz w:val="24"/>
                <w:szCs w:val="24"/>
                <w:lang w:val="en-GB"/>
              </w:rPr>
            </w:pPr>
          </w:p>
        </w:tc>
        <w:tc>
          <w:tcPr>
            <w:tcW w:w="1800" w:type="dxa"/>
            <w:tcMar>
              <w:top w:w="20" w:type="dxa"/>
              <w:left w:w="30" w:type="dxa"/>
              <w:bottom w:w="20" w:type="dxa"/>
              <w:right w:w="30" w:type="dxa"/>
            </w:tcMar>
            <w:vAlign w:val="center"/>
          </w:tcPr>
          <w:p w14:paraId="6CE02625" w14:textId="77777777" w:rsidR="00221112" w:rsidRPr="00DE5E47" w:rsidRDefault="00221112">
            <w:pPr>
              <w:spacing w:after="0" w:line="240" w:lineRule="auto"/>
              <w:jc w:val="both"/>
              <w:rPr>
                <w:rFonts w:eastAsia="Calibri" w:cs="Times New Roman"/>
                <w:sz w:val="24"/>
                <w:szCs w:val="24"/>
                <w:lang w:val="en-GB"/>
              </w:rPr>
            </w:pPr>
          </w:p>
        </w:tc>
      </w:tr>
    </w:tbl>
    <w:p w14:paraId="7EA4D954" w14:textId="77777777" w:rsidR="00221112" w:rsidRPr="00DE5E47" w:rsidRDefault="00221112">
      <w:pPr>
        <w:spacing w:line="360" w:lineRule="auto"/>
        <w:jc w:val="both"/>
        <w:rPr>
          <w:rFonts w:cs="Times New Roman"/>
          <w:b/>
          <w:bCs/>
          <w:sz w:val="24"/>
          <w:szCs w:val="24"/>
        </w:rPr>
      </w:pPr>
    </w:p>
    <w:p w14:paraId="15327443" w14:textId="77777777" w:rsidR="00221112" w:rsidRPr="00DE5E47" w:rsidRDefault="00C14051">
      <w:pPr>
        <w:spacing w:line="360" w:lineRule="auto"/>
        <w:jc w:val="both"/>
        <w:rPr>
          <w:rFonts w:cs="Times New Roman"/>
          <w:sz w:val="24"/>
          <w:szCs w:val="24"/>
        </w:rPr>
      </w:pPr>
      <w:r w:rsidRPr="00DE5E47">
        <w:rPr>
          <w:rFonts w:cs="Times New Roman"/>
          <w:b/>
          <w:bCs/>
          <w:sz w:val="24"/>
          <w:szCs w:val="24"/>
        </w:rPr>
        <w:lastRenderedPageBreak/>
        <w:t>Value Addition and Diversification:</w:t>
      </w:r>
      <w:r w:rsidRPr="00DE5E47">
        <w:rPr>
          <w:rFonts w:cs="Times New Roman"/>
          <w:sz w:val="24"/>
          <w:szCs w:val="24"/>
        </w:rPr>
        <w:t xml:space="preserve"> </w:t>
      </w:r>
    </w:p>
    <w:p w14:paraId="4BA2F4D9" w14:textId="77777777" w:rsidR="00221112" w:rsidRPr="00DE5E47" w:rsidRDefault="00C14051">
      <w:pPr>
        <w:spacing w:line="360" w:lineRule="auto"/>
        <w:jc w:val="both"/>
        <w:rPr>
          <w:rFonts w:cs="Times New Roman"/>
          <w:sz w:val="24"/>
          <w:szCs w:val="24"/>
        </w:rPr>
      </w:pPr>
      <w:r w:rsidRPr="00DE5E47">
        <w:rPr>
          <w:rFonts w:cs="Times New Roman"/>
          <w:sz w:val="24"/>
          <w:szCs w:val="24"/>
        </w:rPr>
        <w:t>Do you engage in any value addition activities such as processing or packaging mud crabs?</w:t>
      </w:r>
    </w:p>
    <w:p w14:paraId="4597FFC0"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Yes </w:t>
      </w:r>
      <w:r w:rsidRPr="00DE5E47">
        <w:rPr>
          <w:rFonts w:cs="Times New Roman"/>
          <w:sz w:val="24"/>
          <w:szCs w:val="24"/>
        </w:rPr>
        <w:tab/>
        <w:t>[2] No</w:t>
      </w:r>
    </w:p>
    <w:p w14:paraId="733B3732" w14:textId="77777777" w:rsidR="00221112" w:rsidRPr="00DE5E47" w:rsidRDefault="00C14051">
      <w:pPr>
        <w:spacing w:line="360" w:lineRule="auto"/>
        <w:jc w:val="both"/>
        <w:rPr>
          <w:rFonts w:cs="Times New Roman"/>
          <w:sz w:val="24"/>
          <w:szCs w:val="24"/>
        </w:rPr>
      </w:pPr>
      <w:r w:rsidRPr="00DE5E47">
        <w:rPr>
          <w:rFonts w:cs="Times New Roman"/>
          <w:sz w:val="24"/>
          <w:szCs w:val="24"/>
        </w:rPr>
        <w:t>How do you perceive the potential for diversification of mud crab products or marketing channels?</w:t>
      </w:r>
    </w:p>
    <w:p w14:paraId="41C1802F" w14:textId="77777777" w:rsidR="00221112" w:rsidRPr="00DE5E47" w:rsidRDefault="00C14051">
      <w:pPr>
        <w:spacing w:line="360" w:lineRule="auto"/>
        <w:jc w:val="both"/>
        <w:rPr>
          <w:rFonts w:cs="Times New Roman"/>
          <w:sz w:val="24"/>
          <w:szCs w:val="24"/>
        </w:rPr>
      </w:pPr>
      <w:r w:rsidRPr="00DE5E47">
        <w:rPr>
          <w:rFonts w:cs="Times New Roman"/>
          <w:sz w:val="24"/>
          <w:szCs w:val="24"/>
        </w:rPr>
        <w:t xml:space="preserve">[1] Positive </w:t>
      </w:r>
      <w:r w:rsidRPr="00DE5E47">
        <w:rPr>
          <w:rFonts w:cs="Times New Roman"/>
          <w:sz w:val="24"/>
          <w:szCs w:val="24"/>
        </w:rPr>
        <w:tab/>
        <w:t xml:space="preserve">[2] Neutral </w:t>
      </w:r>
      <w:r w:rsidRPr="00DE5E47">
        <w:rPr>
          <w:rFonts w:cs="Times New Roman"/>
          <w:sz w:val="24"/>
          <w:szCs w:val="24"/>
        </w:rPr>
        <w:tab/>
        <w:t xml:space="preserve">[3] Negative </w:t>
      </w:r>
      <w:r w:rsidRPr="00DE5E47">
        <w:rPr>
          <w:rFonts w:cs="Times New Roman"/>
          <w:sz w:val="24"/>
          <w:szCs w:val="24"/>
        </w:rPr>
        <w:tab/>
        <w:t>[4] Not Explored Yet</w:t>
      </w:r>
    </w:p>
    <w:p w14:paraId="375F7134" w14:textId="77777777" w:rsidR="00221112" w:rsidRPr="00DE5E47" w:rsidRDefault="00221112">
      <w:pPr>
        <w:spacing w:line="360" w:lineRule="auto"/>
        <w:jc w:val="both"/>
        <w:rPr>
          <w:rFonts w:cs="Times New Roman"/>
          <w:sz w:val="24"/>
          <w:szCs w:val="24"/>
        </w:rPr>
      </w:pPr>
    </w:p>
    <w:p w14:paraId="6386A178" w14:textId="77777777" w:rsidR="00221112" w:rsidRPr="00DE5E47" w:rsidRDefault="00221112">
      <w:pPr>
        <w:jc w:val="both"/>
        <w:rPr>
          <w:rFonts w:cs="Times New Roman"/>
          <w:sz w:val="24"/>
          <w:szCs w:val="24"/>
        </w:rPr>
      </w:pPr>
    </w:p>
    <w:p w14:paraId="3EED60AB" w14:textId="77777777" w:rsidR="00221112" w:rsidRPr="00DE5E47" w:rsidRDefault="00221112">
      <w:pPr>
        <w:pStyle w:val="NormalWeb"/>
        <w:spacing w:line="480" w:lineRule="auto"/>
        <w:jc w:val="both"/>
      </w:pPr>
    </w:p>
    <w:p w14:paraId="33A2656D" w14:textId="77777777" w:rsidR="00221112" w:rsidRPr="00DE5E47" w:rsidRDefault="00221112">
      <w:pPr>
        <w:spacing w:line="480" w:lineRule="auto"/>
        <w:jc w:val="both"/>
        <w:rPr>
          <w:rFonts w:cs="Times New Roman"/>
          <w:sz w:val="24"/>
          <w:szCs w:val="24"/>
        </w:rPr>
      </w:pPr>
    </w:p>
    <w:p w14:paraId="7819D040"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1157164C"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54FF1C94" w14:textId="77777777" w:rsidR="00221112" w:rsidRPr="00DE5E47" w:rsidRDefault="00221112">
      <w:pPr>
        <w:pStyle w:val="Heading1"/>
        <w:spacing w:line="480" w:lineRule="auto"/>
        <w:jc w:val="both"/>
        <w:rPr>
          <w:rFonts w:eastAsia="Times New Roman" w:cs="Times New Roman"/>
          <w:szCs w:val="24"/>
        </w:rPr>
      </w:pPr>
    </w:p>
    <w:p w14:paraId="59F831BB" w14:textId="77777777" w:rsidR="00221112" w:rsidRPr="00DE5E47" w:rsidRDefault="00221112">
      <w:pPr>
        <w:spacing w:after="240" w:line="480" w:lineRule="auto"/>
        <w:ind w:left="504" w:hanging="504"/>
        <w:jc w:val="both"/>
        <w:rPr>
          <w:rFonts w:eastAsia="Times New Roman" w:cs="Times New Roman"/>
          <w:kern w:val="0"/>
          <w:sz w:val="24"/>
          <w:szCs w:val="24"/>
          <w14:ligatures w14:val="none"/>
        </w:rPr>
      </w:pPr>
    </w:p>
    <w:p w14:paraId="2198B637" w14:textId="77777777" w:rsidR="00221112" w:rsidRPr="00DE5E47" w:rsidRDefault="00221112">
      <w:pPr>
        <w:spacing w:after="240" w:line="480" w:lineRule="auto"/>
        <w:ind w:left="504" w:hanging="504"/>
        <w:jc w:val="both"/>
        <w:rPr>
          <w:rFonts w:eastAsia="Times New Roman" w:cs="Times New Roman"/>
          <w:b/>
          <w:bCs/>
          <w:kern w:val="0"/>
          <w:sz w:val="24"/>
          <w:szCs w:val="24"/>
          <w14:ligatures w14:val="none"/>
        </w:rPr>
      </w:pPr>
    </w:p>
    <w:p w14:paraId="7A93294E" w14:textId="77777777" w:rsidR="00221112" w:rsidRPr="00DE5E47" w:rsidRDefault="00221112">
      <w:pPr>
        <w:spacing w:line="480" w:lineRule="auto"/>
        <w:jc w:val="both"/>
        <w:rPr>
          <w:rFonts w:cs="Times New Roman"/>
          <w:sz w:val="24"/>
          <w:szCs w:val="24"/>
        </w:rPr>
      </w:pPr>
    </w:p>
    <w:p w14:paraId="7AA4808E" w14:textId="77777777" w:rsidR="00221112" w:rsidRPr="00DE5E47" w:rsidRDefault="00221112">
      <w:pPr>
        <w:spacing w:line="480" w:lineRule="auto"/>
        <w:jc w:val="both"/>
        <w:rPr>
          <w:rFonts w:cs="Times New Roman"/>
          <w:sz w:val="24"/>
          <w:szCs w:val="24"/>
        </w:rPr>
      </w:pPr>
    </w:p>
    <w:p w14:paraId="13E4C518" w14:textId="77777777" w:rsidR="00221112" w:rsidRPr="00DE5E47" w:rsidRDefault="00221112">
      <w:pPr>
        <w:spacing w:line="480" w:lineRule="auto"/>
        <w:jc w:val="both"/>
        <w:rPr>
          <w:rFonts w:cs="Times New Roman"/>
          <w:sz w:val="24"/>
          <w:szCs w:val="24"/>
        </w:rPr>
      </w:pPr>
    </w:p>
    <w:sectPr w:rsidR="00221112" w:rsidRPr="00DE5E47">
      <w:pgSz w:w="11909" w:h="16834"/>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39DD1" w14:textId="77777777" w:rsidR="00C247CF" w:rsidRDefault="00C247CF">
      <w:pPr>
        <w:spacing w:line="240" w:lineRule="auto"/>
      </w:pPr>
      <w:r>
        <w:separator/>
      </w:r>
    </w:p>
  </w:endnote>
  <w:endnote w:type="continuationSeparator" w:id="0">
    <w:p w14:paraId="7690712E" w14:textId="77777777" w:rsidR="00C247CF" w:rsidRDefault="00C247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9211741"/>
    </w:sdtPr>
    <w:sdtEndPr/>
    <w:sdtContent>
      <w:p w14:paraId="6AD9CCE9" w14:textId="77777777" w:rsidR="00221112" w:rsidRDefault="00C14051">
        <w:pPr>
          <w:pStyle w:val="Footer"/>
          <w:jc w:val="center"/>
        </w:pPr>
        <w:r>
          <w:fldChar w:fldCharType="begin"/>
        </w:r>
        <w:r>
          <w:instrText xml:space="preserve"> PAGE   \* MERGEFORMAT </w:instrText>
        </w:r>
        <w:r>
          <w:fldChar w:fldCharType="separate"/>
        </w:r>
        <w:r>
          <w:t>ix</w:t>
        </w:r>
        <w:r>
          <w:fldChar w:fldCharType="end"/>
        </w:r>
      </w:p>
    </w:sdtContent>
  </w:sdt>
  <w:p w14:paraId="4096FB75" w14:textId="77777777" w:rsidR="00221112" w:rsidRDefault="002211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509474"/>
    </w:sdtPr>
    <w:sdtEndPr/>
    <w:sdtContent>
      <w:p w14:paraId="6B9222BE" w14:textId="77777777" w:rsidR="00221112" w:rsidRDefault="00C14051">
        <w:pPr>
          <w:pStyle w:val="Footer"/>
          <w:jc w:val="center"/>
        </w:pPr>
        <w:r>
          <w:fldChar w:fldCharType="begin"/>
        </w:r>
        <w:r>
          <w:instrText xml:space="preserve"> PAGE   \* MERGEFORMAT </w:instrText>
        </w:r>
        <w:r>
          <w:fldChar w:fldCharType="separate"/>
        </w:r>
        <w:r>
          <w:t>i</w:t>
        </w:r>
        <w:r>
          <w:fldChar w:fldCharType="end"/>
        </w:r>
      </w:p>
    </w:sdtContent>
  </w:sdt>
  <w:p w14:paraId="604BB10F" w14:textId="77777777" w:rsidR="00221112" w:rsidRDefault="002211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1825974"/>
    </w:sdtPr>
    <w:sdtEndPr/>
    <w:sdtContent>
      <w:p w14:paraId="6944C6FD"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0E92C3BC" w14:textId="77777777" w:rsidR="00221112" w:rsidRDefault="0022111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9448"/>
    </w:sdtPr>
    <w:sdtEndPr/>
    <w:sdtContent>
      <w:p w14:paraId="54802262" w14:textId="77777777" w:rsidR="00221112" w:rsidRDefault="00C14051">
        <w:pPr>
          <w:pStyle w:val="Footer"/>
          <w:jc w:val="center"/>
        </w:pPr>
        <w:r>
          <w:fldChar w:fldCharType="begin"/>
        </w:r>
        <w:r>
          <w:instrText xml:space="preserve"> PAGE   \* MERGEFORMAT </w:instrText>
        </w:r>
        <w:r>
          <w:fldChar w:fldCharType="separate"/>
        </w:r>
        <w:r>
          <w:t>17</w:t>
        </w:r>
        <w:r>
          <w:fldChar w:fldCharType="end"/>
        </w:r>
      </w:p>
    </w:sdtContent>
  </w:sdt>
  <w:p w14:paraId="52B3E503" w14:textId="77777777" w:rsidR="00221112" w:rsidRDefault="002211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91C08" w14:textId="77777777" w:rsidR="00C247CF" w:rsidRDefault="00C247CF">
      <w:pPr>
        <w:spacing w:after="0"/>
      </w:pPr>
      <w:r>
        <w:separator/>
      </w:r>
    </w:p>
  </w:footnote>
  <w:footnote w:type="continuationSeparator" w:id="0">
    <w:p w14:paraId="624B3D0C" w14:textId="77777777" w:rsidR="00C247CF" w:rsidRDefault="00C247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B7924" w14:textId="77777777" w:rsidR="00221112" w:rsidRDefault="00C14051">
    <w:pPr>
      <w:pStyle w:val="Header"/>
      <w:tabs>
        <w:tab w:val="clear" w:pos="4680"/>
        <w:tab w:val="clear" w:pos="9360"/>
        <w:tab w:val="left" w:pos="190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6CF"/>
    <w:multiLevelType w:val="hybridMultilevel"/>
    <w:tmpl w:val="D35E44E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297170"/>
    <w:multiLevelType w:val="hybridMultilevel"/>
    <w:tmpl w:val="36CA3F5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9447F2"/>
    <w:multiLevelType w:val="multilevel"/>
    <w:tmpl w:val="0C9447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0D61338"/>
    <w:multiLevelType w:val="hybridMultilevel"/>
    <w:tmpl w:val="DF10EC9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896827"/>
    <w:multiLevelType w:val="multilevel"/>
    <w:tmpl w:val="2B896827"/>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C771F21"/>
    <w:multiLevelType w:val="multilevel"/>
    <w:tmpl w:val="2C771F2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4E2704C"/>
    <w:multiLevelType w:val="multilevel"/>
    <w:tmpl w:val="34E2704C"/>
    <w:lvl w:ilvl="0">
      <w:start w:val="4"/>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67D0D9F"/>
    <w:multiLevelType w:val="multilevel"/>
    <w:tmpl w:val="367D0D9F"/>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E155961"/>
    <w:multiLevelType w:val="hybridMultilevel"/>
    <w:tmpl w:val="49D024DE"/>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2C134C3"/>
    <w:multiLevelType w:val="multilevel"/>
    <w:tmpl w:val="42C134C3"/>
    <w:lvl w:ilvl="0">
      <w:start w:val="5"/>
      <w:numFmt w:val="decimal"/>
      <w:pStyle w:val="Heading1"/>
      <w:suff w:val="space"/>
      <w:lvlText w:val="CHAPTER %1:"/>
      <w:lvlJc w:val="left"/>
      <w:pPr>
        <w:ind w:left="4112" w:firstLine="0"/>
      </w:pPr>
      <w:rPr>
        <w:rFonts w:ascii="Times New Roman" w:hAnsi="Times New Roman" w:hint="default"/>
        <w:caps/>
        <w:sz w:val="24"/>
      </w:rPr>
    </w:lvl>
    <w:lvl w:ilvl="1">
      <w:start w:val="4"/>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0" w15:restartNumberingAfterBreak="0">
    <w:nsid w:val="74EA14CF"/>
    <w:multiLevelType w:val="multilevel"/>
    <w:tmpl w:val="74EA14CF"/>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2" w15:restartNumberingAfterBreak="0">
    <w:multiLevelType w:val="hybridMultilevel"/>
    <w:lvl w:ilvl="0" w15:tentative="1">
      <w:start w:val="1"/>
      <w:numFmt w:val="decimal"/>
      <w:lvlText w:val="%1."/>
      <w:lvlJc w:val="start"/>
      <w:pPr>
        <w:ind w:left="720" w:hanging="360"/>
      </w:pPr>
    </w:lvl>
  </w:abstractNum>
  <w:abstractNum w:abstractNumId="13" w15:restartNumberingAfterBreak="0">
    <w:multiLevelType w:val="hybridMultilevel"/>
    <w:lvl w:ilvl="0" w15:tentative="1">
      <w:start w:val="1"/>
      <w:numFmt w:val="decimal"/>
      <w:lvlText w:val="%1."/>
      <w:lvlJc w:val="start"/>
      <w:pPr>
        <w:ind w:left="720" w:hanging="360"/>
      </w:pPr>
    </w:lvl>
  </w:abstractNum>
  <w:abstractNum w:abstractNumId="14" w15:restartNumberingAfterBreak="0">
    <w:multiLevelType w:val="hybridMultilevel"/>
    <w:lvl w:ilvl="0" w15:tentative="1">
      <w:start w:val="1"/>
      <w:numFmt w:val="decimal"/>
      <w:lvlText w:val="%1."/>
      <w:lvlJc w:val="start"/>
      <w:pPr>
        <w:ind w:left="720" w:hanging="360"/>
      </w:pPr>
    </w:lvl>
  </w:abstractNum>
  <w:abstractNum w:abstractNumId="15" w15:restartNumberingAfterBreak="0">
    <w:multiLevelType w:val="hybridMultilevel"/>
    <w:lvl w:ilvl="0" w15:tentative="1">
      <w:start w:val="1"/>
      <w:numFmt w:val="bullet"/>
      <w:lvlText w:val="•"/>
      <w:lvlJc w:val="star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7" w15:restartNumberingAfterBreak="0">
    <w:multiLevelType w:val="hybridMultilevel"/>
    <w:lvl w:ilvl="0" w15:tentative="1">
      <w:start w:val="1"/>
      <w:numFmt w:val="decimal"/>
      <w:lvlText w:val="%1."/>
      <w:lvlJc w:val="start"/>
      <w:pPr>
        <w:ind w:left="720" w:hanging="360"/>
      </w:pPr>
    </w:lvl>
  </w:abstractNum>
  <w:abstractNum w:abstractNumId="18" w15:restartNumberingAfterBreak="0">
    <w:multiLevelType w:val="hybridMultilevel"/>
    <w:lvl w:ilvl="0" w15:tentative="1">
      <w:start w:val="1"/>
      <w:numFmt w:val="decimal"/>
      <w:lvlText w:val="%1."/>
      <w:lvlJc w:val="start"/>
      <w:pPr>
        <w:ind w:left="720" w:hanging="360"/>
      </w:pPr>
    </w:lvl>
  </w:abstractNum>
  <w:abstractNum w:abstractNumId="19" w15:restartNumberingAfterBreak="0">
    <w:multiLevelType w:val="hybridMultilevel"/>
    <w:lvl w:ilvl="0" w15:tentative="1">
      <w:start w:val="1"/>
      <w:numFmt w:val="decimal"/>
      <w:lvlText w:val="%1."/>
      <w:lvlJc w:val="start"/>
      <w:pPr>
        <w:ind w:left="720" w:hanging="360"/>
      </w:pPr>
    </w:lvl>
  </w:abstractNum>
  <w:abstractNum w:abstractNumId="20" w15:restartNumberingAfterBreak="0">
    <w:multiLevelType w:val="hybridMultilevel"/>
    <w:lvl w:ilvl="0" w15:tentative="1">
      <w:start w:val="1"/>
      <w:numFmt w:val="bullet"/>
      <w:lvlText w:val="•"/>
      <w:lvlJc w:val="start"/>
      <w:pPr>
        <w:ind w:left="720" w:hanging="360"/>
      </w:pPr>
    </w:lvl>
  </w:abstractNum>
  <w:num w:numId="1" w16cid:durableId="1801146686">
    <w:abstractNumId w:val="9"/>
  </w:num>
  <w:num w:numId="2" w16cid:durableId="21275830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00574457">
    <w:abstractNumId w:val="4"/>
  </w:num>
  <w:num w:numId="4" w16cid:durableId="947850487">
    <w:abstractNumId w:val="10"/>
  </w:num>
  <w:num w:numId="5" w16cid:durableId="170801616">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42219">
    <w:abstractNumId w:val="2"/>
  </w:num>
  <w:num w:numId="7" w16cid:durableId="699665662">
    <w:abstractNumId w:val="6"/>
  </w:num>
  <w:num w:numId="8" w16cid:durableId="579022194">
    <w:abstractNumId w:val="9"/>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978653">
    <w:abstractNumId w:val="7"/>
  </w:num>
  <w:num w:numId="10" w16cid:durableId="442775034">
    <w:abstractNumId w:val="5"/>
  </w:num>
  <w:num w:numId="11" w16cid:durableId="1905752065">
    <w:abstractNumId w:val="0"/>
  </w:num>
  <w:num w:numId="12" w16cid:durableId="49037479">
    <w:abstractNumId w:val="3"/>
  </w:num>
  <w:num w:numId="13" w16cid:durableId="1355425724">
    <w:abstractNumId w:val="1"/>
  </w:num>
  <w:num w:numId="14" w16cid:durableId="1380931410">
    <w:abstractNumId w:val="8"/>
  </w:num>
  <w:num w:numId="15">
    <w:abstractNumId w:val="11"/>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5"/>
    <w:lvlOverride w:ilvl="0">
      <w:startOverride w:val="1"/>
    </w:lvlOverride>
  </w:num>
  <w:num w:numId="20">
    <w:abstractNumId w:val="16"/>
    <w:lvlOverride w:ilvl="0">
      <w:startOverride w:val="1"/>
    </w:lvlOverride>
  </w:num>
  <w:num w:numId="21">
    <w:abstractNumId w:val="17"/>
    <w:lvlOverride w:ilvl="0">
      <w:startOverride w:val="1"/>
    </w:lvlOverride>
  </w:num>
  <w:num w:numId="22">
    <w:abstractNumId w:val="18"/>
    <w:lvlOverride w:ilvl="0">
      <w:startOverride w:val="1"/>
    </w:lvlOverride>
  </w:num>
  <w:num w:numId="23">
    <w:abstractNumId w:val="19"/>
    <w:lvlOverride w:ilvl="0">
      <w:startOverride w:val="1"/>
    </w:lvlOverride>
  </w:num>
  <w:num w:numId="2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00"/>
    <w:rsid w:val="00007A30"/>
    <w:rsid w:val="00012D76"/>
    <w:rsid w:val="00020103"/>
    <w:rsid w:val="00020423"/>
    <w:rsid w:val="0002438E"/>
    <w:rsid w:val="00027AD7"/>
    <w:rsid w:val="0003051B"/>
    <w:rsid w:val="00030BFD"/>
    <w:rsid w:val="00032933"/>
    <w:rsid w:val="000338A4"/>
    <w:rsid w:val="00041CEA"/>
    <w:rsid w:val="00042203"/>
    <w:rsid w:val="00043709"/>
    <w:rsid w:val="000518C8"/>
    <w:rsid w:val="00051FB7"/>
    <w:rsid w:val="0005397D"/>
    <w:rsid w:val="00056424"/>
    <w:rsid w:val="00057B9F"/>
    <w:rsid w:val="00060DB5"/>
    <w:rsid w:val="00062170"/>
    <w:rsid w:val="00063797"/>
    <w:rsid w:val="000638BF"/>
    <w:rsid w:val="000651A8"/>
    <w:rsid w:val="00066F06"/>
    <w:rsid w:val="00075982"/>
    <w:rsid w:val="0009434A"/>
    <w:rsid w:val="000A17E3"/>
    <w:rsid w:val="000A787D"/>
    <w:rsid w:val="000B2B73"/>
    <w:rsid w:val="000B4037"/>
    <w:rsid w:val="000C1611"/>
    <w:rsid w:val="000C3D9A"/>
    <w:rsid w:val="000C65D8"/>
    <w:rsid w:val="000D0A71"/>
    <w:rsid w:val="000D3649"/>
    <w:rsid w:val="000D4937"/>
    <w:rsid w:val="000E0B94"/>
    <w:rsid w:val="000F28C3"/>
    <w:rsid w:val="000F378A"/>
    <w:rsid w:val="000F55DC"/>
    <w:rsid w:val="000F5ADC"/>
    <w:rsid w:val="000F6C94"/>
    <w:rsid w:val="000F7F39"/>
    <w:rsid w:val="000F7F65"/>
    <w:rsid w:val="001006C1"/>
    <w:rsid w:val="00104397"/>
    <w:rsid w:val="00106702"/>
    <w:rsid w:val="00110BD7"/>
    <w:rsid w:val="00114B5D"/>
    <w:rsid w:val="00125AB3"/>
    <w:rsid w:val="0013042C"/>
    <w:rsid w:val="001416E8"/>
    <w:rsid w:val="00144B8A"/>
    <w:rsid w:val="00152598"/>
    <w:rsid w:val="00163878"/>
    <w:rsid w:val="00164542"/>
    <w:rsid w:val="001658C6"/>
    <w:rsid w:val="00171C5B"/>
    <w:rsid w:val="0017594B"/>
    <w:rsid w:val="001835DA"/>
    <w:rsid w:val="001843C6"/>
    <w:rsid w:val="001901D8"/>
    <w:rsid w:val="0019032D"/>
    <w:rsid w:val="00190DEC"/>
    <w:rsid w:val="0019391F"/>
    <w:rsid w:val="0019494C"/>
    <w:rsid w:val="00195EF1"/>
    <w:rsid w:val="00196CE7"/>
    <w:rsid w:val="001A0CD1"/>
    <w:rsid w:val="001A1296"/>
    <w:rsid w:val="001B05E6"/>
    <w:rsid w:val="001B0B65"/>
    <w:rsid w:val="001B12AF"/>
    <w:rsid w:val="001B7A64"/>
    <w:rsid w:val="001C6B39"/>
    <w:rsid w:val="001D54B7"/>
    <w:rsid w:val="001E1F4D"/>
    <w:rsid w:val="001E2B1B"/>
    <w:rsid w:val="001E78E4"/>
    <w:rsid w:val="001F0DB1"/>
    <w:rsid w:val="001F565B"/>
    <w:rsid w:val="001F6880"/>
    <w:rsid w:val="001F7207"/>
    <w:rsid w:val="0020017A"/>
    <w:rsid w:val="00202963"/>
    <w:rsid w:val="002037E7"/>
    <w:rsid w:val="002039CA"/>
    <w:rsid w:val="00206473"/>
    <w:rsid w:val="00212F95"/>
    <w:rsid w:val="00216D4B"/>
    <w:rsid w:val="00221112"/>
    <w:rsid w:val="002235EF"/>
    <w:rsid w:val="00225C95"/>
    <w:rsid w:val="0023408B"/>
    <w:rsid w:val="002366C6"/>
    <w:rsid w:val="002371B1"/>
    <w:rsid w:val="00237C6F"/>
    <w:rsid w:val="0024071E"/>
    <w:rsid w:val="00244D0C"/>
    <w:rsid w:val="00245D25"/>
    <w:rsid w:val="0024723B"/>
    <w:rsid w:val="00247B70"/>
    <w:rsid w:val="00253372"/>
    <w:rsid w:val="002545A6"/>
    <w:rsid w:val="00261160"/>
    <w:rsid w:val="00263A1D"/>
    <w:rsid w:val="00271C57"/>
    <w:rsid w:val="00272121"/>
    <w:rsid w:val="00273807"/>
    <w:rsid w:val="0027399A"/>
    <w:rsid w:val="00273EFE"/>
    <w:rsid w:val="00274C62"/>
    <w:rsid w:val="00275351"/>
    <w:rsid w:val="002764BF"/>
    <w:rsid w:val="00280782"/>
    <w:rsid w:val="00284DB5"/>
    <w:rsid w:val="00286B35"/>
    <w:rsid w:val="00286BA8"/>
    <w:rsid w:val="00291182"/>
    <w:rsid w:val="002A02B5"/>
    <w:rsid w:val="002A0C39"/>
    <w:rsid w:val="002A6D14"/>
    <w:rsid w:val="002B18B6"/>
    <w:rsid w:val="002B5780"/>
    <w:rsid w:val="002B7600"/>
    <w:rsid w:val="002B7B26"/>
    <w:rsid w:val="002C0153"/>
    <w:rsid w:val="002C1A83"/>
    <w:rsid w:val="002C292E"/>
    <w:rsid w:val="002C50BF"/>
    <w:rsid w:val="002C622A"/>
    <w:rsid w:val="002C74D1"/>
    <w:rsid w:val="002D24ED"/>
    <w:rsid w:val="002D61A6"/>
    <w:rsid w:val="002D6437"/>
    <w:rsid w:val="002F44ED"/>
    <w:rsid w:val="00301B03"/>
    <w:rsid w:val="0030536F"/>
    <w:rsid w:val="003067C6"/>
    <w:rsid w:val="00311495"/>
    <w:rsid w:val="00312917"/>
    <w:rsid w:val="00313054"/>
    <w:rsid w:val="00313E5F"/>
    <w:rsid w:val="003220B6"/>
    <w:rsid w:val="00331A73"/>
    <w:rsid w:val="00337454"/>
    <w:rsid w:val="0033782D"/>
    <w:rsid w:val="00342612"/>
    <w:rsid w:val="00343DF0"/>
    <w:rsid w:val="003476FB"/>
    <w:rsid w:val="00350B90"/>
    <w:rsid w:val="0035269C"/>
    <w:rsid w:val="00363511"/>
    <w:rsid w:val="00363EE4"/>
    <w:rsid w:val="00364B84"/>
    <w:rsid w:val="00365104"/>
    <w:rsid w:val="00371C57"/>
    <w:rsid w:val="00371E65"/>
    <w:rsid w:val="00375F7F"/>
    <w:rsid w:val="00376735"/>
    <w:rsid w:val="003A00CA"/>
    <w:rsid w:val="003A4224"/>
    <w:rsid w:val="003A5B69"/>
    <w:rsid w:val="003B160C"/>
    <w:rsid w:val="003B3B35"/>
    <w:rsid w:val="003B5F53"/>
    <w:rsid w:val="003C12B7"/>
    <w:rsid w:val="003C1FCD"/>
    <w:rsid w:val="003C28CF"/>
    <w:rsid w:val="003C7FE1"/>
    <w:rsid w:val="003D236E"/>
    <w:rsid w:val="003D2F25"/>
    <w:rsid w:val="003D369B"/>
    <w:rsid w:val="003D525D"/>
    <w:rsid w:val="003D5B8C"/>
    <w:rsid w:val="003E74A4"/>
    <w:rsid w:val="003F5199"/>
    <w:rsid w:val="003F649A"/>
    <w:rsid w:val="003F6E3F"/>
    <w:rsid w:val="00400D60"/>
    <w:rsid w:val="00403BB8"/>
    <w:rsid w:val="004056CA"/>
    <w:rsid w:val="00413926"/>
    <w:rsid w:val="00414B63"/>
    <w:rsid w:val="0042152D"/>
    <w:rsid w:val="00422016"/>
    <w:rsid w:val="00425C1C"/>
    <w:rsid w:val="00427E5D"/>
    <w:rsid w:val="004306DE"/>
    <w:rsid w:val="004335DA"/>
    <w:rsid w:val="0043517A"/>
    <w:rsid w:val="0043643E"/>
    <w:rsid w:val="00440639"/>
    <w:rsid w:val="00444065"/>
    <w:rsid w:val="004533E4"/>
    <w:rsid w:val="004549F2"/>
    <w:rsid w:val="004558BD"/>
    <w:rsid w:val="004564EF"/>
    <w:rsid w:val="004621B1"/>
    <w:rsid w:val="004624F8"/>
    <w:rsid w:val="0046358C"/>
    <w:rsid w:val="00463643"/>
    <w:rsid w:val="004717DB"/>
    <w:rsid w:val="00472C6A"/>
    <w:rsid w:val="0047420A"/>
    <w:rsid w:val="00474B20"/>
    <w:rsid w:val="004775AA"/>
    <w:rsid w:val="00480CFB"/>
    <w:rsid w:val="00485771"/>
    <w:rsid w:val="00485FAC"/>
    <w:rsid w:val="00491AD2"/>
    <w:rsid w:val="00492710"/>
    <w:rsid w:val="004962AE"/>
    <w:rsid w:val="004A3993"/>
    <w:rsid w:val="004A44FF"/>
    <w:rsid w:val="004A4C25"/>
    <w:rsid w:val="004A4F3D"/>
    <w:rsid w:val="004B08C4"/>
    <w:rsid w:val="004B21AE"/>
    <w:rsid w:val="004B3F3C"/>
    <w:rsid w:val="004B4D46"/>
    <w:rsid w:val="004B53AD"/>
    <w:rsid w:val="004B7807"/>
    <w:rsid w:val="004B7A45"/>
    <w:rsid w:val="004C1589"/>
    <w:rsid w:val="004C1C7C"/>
    <w:rsid w:val="004C2356"/>
    <w:rsid w:val="004C29A4"/>
    <w:rsid w:val="004C3B05"/>
    <w:rsid w:val="004C3F75"/>
    <w:rsid w:val="004C600D"/>
    <w:rsid w:val="004D18C3"/>
    <w:rsid w:val="004D3F0B"/>
    <w:rsid w:val="004E096B"/>
    <w:rsid w:val="004E1128"/>
    <w:rsid w:val="004E32F1"/>
    <w:rsid w:val="004E3F15"/>
    <w:rsid w:val="004E63D0"/>
    <w:rsid w:val="004F196A"/>
    <w:rsid w:val="004F3E65"/>
    <w:rsid w:val="0050008E"/>
    <w:rsid w:val="00501173"/>
    <w:rsid w:val="005012F5"/>
    <w:rsid w:val="005040D4"/>
    <w:rsid w:val="005044B8"/>
    <w:rsid w:val="00511839"/>
    <w:rsid w:val="00511A0C"/>
    <w:rsid w:val="00515C17"/>
    <w:rsid w:val="00522DC5"/>
    <w:rsid w:val="005268F3"/>
    <w:rsid w:val="00527477"/>
    <w:rsid w:val="00533AA9"/>
    <w:rsid w:val="005351F9"/>
    <w:rsid w:val="00553866"/>
    <w:rsid w:val="00553B47"/>
    <w:rsid w:val="00560BD7"/>
    <w:rsid w:val="00561C72"/>
    <w:rsid w:val="00564A51"/>
    <w:rsid w:val="00564E8C"/>
    <w:rsid w:val="00564EDB"/>
    <w:rsid w:val="0056647D"/>
    <w:rsid w:val="00570FBD"/>
    <w:rsid w:val="00572F37"/>
    <w:rsid w:val="0057348E"/>
    <w:rsid w:val="0057426C"/>
    <w:rsid w:val="00574DAC"/>
    <w:rsid w:val="00577922"/>
    <w:rsid w:val="00580EEE"/>
    <w:rsid w:val="00583681"/>
    <w:rsid w:val="00587ACE"/>
    <w:rsid w:val="00596312"/>
    <w:rsid w:val="0059720C"/>
    <w:rsid w:val="00597914"/>
    <w:rsid w:val="005A1D9E"/>
    <w:rsid w:val="005A3088"/>
    <w:rsid w:val="005A61C0"/>
    <w:rsid w:val="005A6C53"/>
    <w:rsid w:val="005A6F25"/>
    <w:rsid w:val="005B3D20"/>
    <w:rsid w:val="005B72AB"/>
    <w:rsid w:val="005B73FC"/>
    <w:rsid w:val="005C1A89"/>
    <w:rsid w:val="005C59BD"/>
    <w:rsid w:val="005D0F8C"/>
    <w:rsid w:val="005D21EF"/>
    <w:rsid w:val="005D5634"/>
    <w:rsid w:val="005D58F7"/>
    <w:rsid w:val="005D67CA"/>
    <w:rsid w:val="005D7753"/>
    <w:rsid w:val="005E2C47"/>
    <w:rsid w:val="005E32A1"/>
    <w:rsid w:val="005E4540"/>
    <w:rsid w:val="005F38A9"/>
    <w:rsid w:val="005F3DCF"/>
    <w:rsid w:val="0060152B"/>
    <w:rsid w:val="0061163B"/>
    <w:rsid w:val="006116AB"/>
    <w:rsid w:val="0061279E"/>
    <w:rsid w:val="0061377B"/>
    <w:rsid w:val="0062243C"/>
    <w:rsid w:val="0062341F"/>
    <w:rsid w:val="00623F6A"/>
    <w:rsid w:val="00625F15"/>
    <w:rsid w:val="00626C63"/>
    <w:rsid w:val="00630C86"/>
    <w:rsid w:val="006377F9"/>
    <w:rsid w:val="006400EF"/>
    <w:rsid w:val="006467A4"/>
    <w:rsid w:val="00647016"/>
    <w:rsid w:val="0065250A"/>
    <w:rsid w:val="006534A6"/>
    <w:rsid w:val="00657919"/>
    <w:rsid w:val="00665A68"/>
    <w:rsid w:val="00665CAB"/>
    <w:rsid w:val="00666BAB"/>
    <w:rsid w:val="00667D1B"/>
    <w:rsid w:val="006718B3"/>
    <w:rsid w:val="0067257E"/>
    <w:rsid w:val="0067304B"/>
    <w:rsid w:val="00676DC3"/>
    <w:rsid w:val="0067706D"/>
    <w:rsid w:val="00684608"/>
    <w:rsid w:val="00697148"/>
    <w:rsid w:val="006A0D33"/>
    <w:rsid w:val="006A2C0C"/>
    <w:rsid w:val="006A39D7"/>
    <w:rsid w:val="006A3D1F"/>
    <w:rsid w:val="006A4AEB"/>
    <w:rsid w:val="006A7891"/>
    <w:rsid w:val="006B240F"/>
    <w:rsid w:val="006B4360"/>
    <w:rsid w:val="006B50BC"/>
    <w:rsid w:val="006B59B0"/>
    <w:rsid w:val="006C084E"/>
    <w:rsid w:val="006C1F05"/>
    <w:rsid w:val="006C6111"/>
    <w:rsid w:val="006C64F2"/>
    <w:rsid w:val="006C6548"/>
    <w:rsid w:val="006D1327"/>
    <w:rsid w:val="006D2460"/>
    <w:rsid w:val="006D4CF5"/>
    <w:rsid w:val="006D5DEF"/>
    <w:rsid w:val="006D5EA0"/>
    <w:rsid w:val="006E5E07"/>
    <w:rsid w:val="006E70BF"/>
    <w:rsid w:val="006E7F36"/>
    <w:rsid w:val="006F0464"/>
    <w:rsid w:val="006F762D"/>
    <w:rsid w:val="00702B6D"/>
    <w:rsid w:val="00703E96"/>
    <w:rsid w:val="007075F8"/>
    <w:rsid w:val="00707FA2"/>
    <w:rsid w:val="00714EB8"/>
    <w:rsid w:val="00724D02"/>
    <w:rsid w:val="00726600"/>
    <w:rsid w:val="00732890"/>
    <w:rsid w:val="00733297"/>
    <w:rsid w:val="00733785"/>
    <w:rsid w:val="007340A6"/>
    <w:rsid w:val="007408A7"/>
    <w:rsid w:val="007426B9"/>
    <w:rsid w:val="00742A41"/>
    <w:rsid w:val="00743CE9"/>
    <w:rsid w:val="0075481E"/>
    <w:rsid w:val="0076222E"/>
    <w:rsid w:val="0077211F"/>
    <w:rsid w:val="00773635"/>
    <w:rsid w:val="007746BD"/>
    <w:rsid w:val="00777098"/>
    <w:rsid w:val="00781646"/>
    <w:rsid w:val="0078394B"/>
    <w:rsid w:val="00784212"/>
    <w:rsid w:val="00786E55"/>
    <w:rsid w:val="007A2FFF"/>
    <w:rsid w:val="007A3FBD"/>
    <w:rsid w:val="007A6453"/>
    <w:rsid w:val="007B101E"/>
    <w:rsid w:val="007B1E12"/>
    <w:rsid w:val="007B2451"/>
    <w:rsid w:val="007B3143"/>
    <w:rsid w:val="007B7650"/>
    <w:rsid w:val="007B7C04"/>
    <w:rsid w:val="007C25D4"/>
    <w:rsid w:val="007C4107"/>
    <w:rsid w:val="007C7FC8"/>
    <w:rsid w:val="007D13A5"/>
    <w:rsid w:val="007D1B33"/>
    <w:rsid w:val="007D37CC"/>
    <w:rsid w:val="007E0ED3"/>
    <w:rsid w:val="007E4856"/>
    <w:rsid w:val="007E7811"/>
    <w:rsid w:val="007F3AA6"/>
    <w:rsid w:val="007F536E"/>
    <w:rsid w:val="00800811"/>
    <w:rsid w:val="00801339"/>
    <w:rsid w:val="00804A6A"/>
    <w:rsid w:val="00806DDE"/>
    <w:rsid w:val="008078BD"/>
    <w:rsid w:val="0082072A"/>
    <w:rsid w:val="00820CCD"/>
    <w:rsid w:val="008221B7"/>
    <w:rsid w:val="00822D00"/>
    <w:rsid w:val="00823006"/>
    <w:rsid w:val="00825B5C"/>
    <w:rsid w:val="00835664"/>
    <w:rsid w:val="00836512"/>
    <w:rsid w:val="00842EE4"/>
    <w:rsid w:val="00844FB8"/>
    <w:rsid w:val="008453D0"/>
    <w:rsid w:val="00851599"/>
    <w:rsid w:val="00852FCD"/>
    <w:rsid w:val="00854EA0"/>
    <w:rsid w:val="0085660B"/>
    <w:rsid w:val="00861B0A"/>
    <w:rsid w:val="00863FFC"/>
    <w:rsid w:val="008670CA"/>
    <w:rsid w:val="008712E2"/>
    <w:rsid w:val="00876197"/>
    <w:rsid w:val="00877B52"/>
    <w:rsid w:val="00881D95"/>
    <w:rsid w:val="00882063"/>
    <w:rsid w:val="008906AC"/>
    <w:rsid w:val="00894291"/>
    <w:rsid w:val="0089756B"/>
    <w:rsid w:val="008A1DF3"/>
    <w:rsid w:val="008A20E4"/>
    <w:rsid w:val="008A2226"/>
    <w:rsid w:val="008A3AA6"/>
    <w:rsid w:val="008A641F"/>
    <w:rsid w:val="008A6C7C"/>
    <w:rsid w:val="008A7AAA"/>
    <w:rsid w:val="008B0E0A"/>
    <w:rsid w:val="008B28C4"/>
    <w:rsid w:val="008C140B"/>
    <w:rsid w:val="008C287E"/>
    <w:rsid w:val="008C4F49"/>
    <w:rsid w:val="008C6B4C"/>
    <w:rsid w:val="008D5EA9"/>
    <w:rsid w:val="008E2AB6"/>
    <w:rsid w:val="008E44A9"/>
    <w:rsid w:val="008E5665"/>
    <w:rsid w:val="008E604A"/>
    <w:rsid w:val="008E725F"/>
    <w:rsid w:val="008E7B9D"/>
    <w:rsid w:val="008E7FC1"/>
    <w:rsid w:val="008F1076"/>
    <w:rsid w:val="008F31B7"/>
    <w:rsid w:val="008F47DD"/>
    <w:rsid w:val="008F48C0"/>
    <w:rsid w:val="008F58DF"/>
    <w:rsid w:val="008F718F"/>
    <w:rsid w:val="008F7D5F"/>
    <w:rsid w:val="009033F8"/>
    <w:rsid w:val="00906A5B"/>
    <w:rsid w:val="009078F4"/>
    <w:rsid w:val="0091070A"/>
    <w:rsid w:val="00911B30"/>
    <w:rsid w:val="009131EA"/>
    <w:rsid w:val="00915CA4"/>
    <w:rsid w:val="00916040"/>
    <w:rsid w:val="00916D47"/>
    <w:rsid w:val="009209CE"/>
    <w:rsid w:val="00922C06"/>
    <w:rsid w:val="009253D3"/>
    <w:rsid w:val="00925908"/>
    <w:rsid w:val="009275D1"/>
    <w:rsid w:val="0093079E"/>
    <w:rsid w:val="00932375"/>
    <w:rsid w:val="0093425B"/>
    <w:rsid w:val="0094687E"/>
    <w:rsid w:val="00950929"/>
    <w:rsid w:val="0095190D"/>
    <w:rsid w:val="0095192F"/>
    <w:rsid w:val="00953F1B"/>
    <w:rsid w:val="0095467C"/>
    <w:rsid w:val="00957382"/>
    <w:rsid w:val="00960537"/>
    <w:rsid w:val="00961C34"/>
    <w:rsid w:val="0096228A"/>
    <w:rsid w:val="009660D6"/>
    <w:rsid w:val="00970578"/>
    <w:rsid w:val="00971564"/>
    <w:rsid w:val="00975652"/>
    <w:rsid w:val="00976045"/>
    <w:rsid w:val="009763ED"/>
    <w:rsid w:val="0098354C"/>
    <w:rsid w:val="0098464D"/>
    <w:rsid w:val="009846F2"/>
    <w:rsid w:val="00984A62"/>
    <w:rsid w:val="00986316"/>
    <w:rsid w:val="00987F4D"/>
    <w:rsid w:val="009948A2"/>
    <w:rsid w:val="009A38ED"/>
    <w:rsid w:val="009A5233"/>
    <w:rsid w:val="009B3EC4"/>
    <w:rsid w:val="009B4F8C"/>
    <w:rsid w:val="009B5407"/>
    <w:rsid w:val="009C0E7F"/>
    <w:rsid w:val="009C3E36"/>
    <w:rsid w:val="009C48B8"/>
    <w:rsid w:val="009C6F70"/>
    <w:rsid w:val="009D6A05"/>
    <w:rsid w:val="009D75A4"/>
    <w:rsid w:val="009E1ABC"/>
    <w:rsid w:val="009F0F5A"/>
    <w:rsid w:val="009F674A"/>
    <w:rsid w:val="00A01AA0"/>
    <w:rsid w:val="00A07176"/>
    <w:rsid w:val="00A13D7E"/>
    <w:rsid w:val="00A14BAD"/>
    <w:rsid w:val="00A16489"/>
    <w:rsid w:val="00A17C54"/>
    <w:rsid w:val="00A23996"/>
    <w:rsid w:val="00A257CE"/>
    <w:rsid w:val="00A32D91"/>
    <w:rsid w:val="00A34F4B"/>
    <w:rsid w:val="00A36447"/>
    <w:rsid w:val="00A47DC2"/>
    <w:rsid w:val="00A6015A"/>
    <w:rsid w:val="00A6015D"/>
    <w:rsid w:val="00A61C33"/>
    <w:rsid w:val="00A63A36"/>
    <w:rsid w:val="00A760A4"/>
    <w:rsid w:val="00A76F85"/>
    <w:rsid w:val="00A8453B"/>
    <w:rsid w:val="00A9071C"/>
    <w:rsid w:val="00A93FE8"/>
    <w:rsid w:val="00AA24B9"/>
    <w:rsid w:val="00AB44BF"/>
    <w:rsid w:val="00AE1CD6"/>
    <w:rsid w:val="00AE3E07"/>
    <w:rsid w:val="00AE4CCB"/>
    <w:rsid w:val="00AE666F"/>
    <w:rsid w:val="00AE66BC"/>
    <w:rsid w:val="00AE6E7D"/>
    <w:rsid w:val="00AF20B4"/>
    <w:rsid w:val="00AF2990"/>
    <w:rsid w:val="00AF2AEF"/>
    <w:rsid w:val="00B00C12"/>
    <w:rsid w:val="00B0184D"/>
    <w:rsid w:val="00B0373C"/>
    <w:rsid w:val="00B03BC1"/>
    <w:rsid w:val="00B0748F"/>
    <w:rsid w:val="00B10D0B"/>
    <w:rsid w:val="00B14CB6"/>
    <w:rsid w:val="00B165BE"/>
    <w:rsid w:val="00B24354"/>
    <w:rsid w:val="00B25D3D"/>
    <w:rsid w:val="00B2673F"/>
    <w:rsid w:val="00B300D2"/>
    <w:rsid w:val="00B41A2F"/>
    <w:rsid w:val="00B42937"/>
    <w:rsid w:val="00B42FBE"/>
    <w:rsid w:val="00B44A35"/>
    <w:rsid w:val="00B4538A"/>
    <w:rsid w:val="00B46AFB"/>
    <w:rsid w:val="00B51704"/>
    <w:rsid w:val="00B51DFB"/>
    <w:rsid w:val="00B532DC"/>
    <w:rsid w:val="00B60CC1"/>
    <w:rsid w:val="00B61EC3"/>
    <w:rsid w:val="00B629A7"/>
    <w:rsid w:val="00B67DB8"/>
    <w:rsid w:val="00B7077F"/>
    <w:rsid w:val="00B734CF"/>
    <w:rsid w:val="00B74320"/>
    <w:rsid w:val="00B76608"/>
    <w:rsid w:val="00B8089B"/>
    <w:rsid w:val="00B82CD8"/>
    <w:rsid w:val="00B86F2F"/>
    <w:rsid w:val="00B909A1"/>
    <w:rsid w:val="00B91686"/>
    <w:rsid w:val="00B92C71"/>
    <w:rsid w:val="00B97BC3"/>
    <w:rsid w:val="00BA20AE"/>
    <w:rsid w:val="00BA4B77"/>
    <w:rsid w:val="00BA5069"/>
    <w:rsid w:val="00BA663D"/>
    <w:rsid w:val="00BC662E"/>
    <w:rsid w:val="00BD3D57"/>
    <w:rsid w:val="00BD3F1B"/>
    <w:rsid w:val="00BD45D5"/>
    <w:rsid w:val="00BD7CC3"/>
    <w:rsid w:val="00BE3C6D"/>
    <w:rsid w:val="00BE6FFD"/>
    <w:rsid w:val="00BF20CC"/>
    <w:rsid w:val="00BF6E00"/>
    <w:rsid w:val="00BF6F31"/>
    <w:rsid w:val="00BF73AE"/>
    <w:rsid w:val="00C05D8A"/>
    <w:rsid w:val="00C10378"/>
    <w:rsid w:val="00C11117"/>
    <w:rsid w:val="00C14051"/>
    <w:rsid w:val="00C14A56"/>
    <w:rsid w:val="00C14C1F"/>
    <w:rsid w:val="00C1585B"/>
    <w:rsid w:val="00C20923"/>
    <w:rsid w:val="00C215D1"/>
    <w:rsid w:val="00C23382"/>
    <w:rsid w:val="00C247CF"/>
    <w:rsid w:val="00C25286"/>
    <w:rsid w:val="00C25BC4"/>
    <w:rsid w:val="00C25ECD"/>
    <w:rsid w:val="00C30A5A"/>
    <w:rsid w:val="00C30F14"/>
    <w:rsid w:val="00C34886"/>
    <w:rsid w:val="00C353C3"/>
    <w:rsid w:val="00C35D30"/>
    <w:rsid w:val="00C3689D"/>
    <w:rsid w:val="00C36C9F"/>
    <w:rsid w:val="00C45391"/>
    <w:rsid w:val="00C46D52"/>
    <w:rsid w:val="00C501D9"/>
    <w:rsid w:val="00C53B60"/>
    <w:rsid w:val="00C5681E"/>
    <w:rsid w:val="00C57C75"/>
    <w:rsid w:val="00C65E63"/>
    <w:rsid w:val="00C704FB"/>
    <w:rsid w:val="00C742D2"/>
    <w:rsid w:val="00C77045"/>
    <w:rsid w:val="00C77727"/>
    <w:rsid w:val="00C809D0"/>
    <w:rsid w:val="00C83C55"/>
    <w:rsid w:val="00C86C49"/>
    <w:rsid w:val="00C90435"/>
    <w:rsid w:val="00C93E09"/>
    <w:rsid w:val="00C96D79"/>
    <w:rsid w:val="00CA3B43"/>
    <w:rsid w:val="00CA6F61"/>
    <w:rsid w:val="00CA771F"/>
    <w:rsid w:val="00CB020E"/>
    <w:rsid w:val="00CB0AA6"/>
    <w:rsid w:val="00CC1C36"/>
    <w:rsid w:val="00CD1696"/>
    <w:rsid w:val="00CD2279"/>
    <w:rsid w:val="00CD42D2"/>
    <w:rsid w:val="00CE10C9"/>
    <w:rsid w:val="00CE28AC"/>
    <w:rsid w:val="00CE77C1"/>
    <w:rsid w:val="00CE7B3D"/>
    <w:rsid w:val="00CF537E"/>
    <w:rsid w:val="00CF7BA7"/>
    <w:rsid w:val="00D00221"/>
    <w:rsid w:val="00D01C29"/>
    <w:rsid w:val="00D02A2E"/>
    <w:rsid w:val="00D04770"/>
    <w:rsid w:val="00D05D3B"/>
    <w:rsid w:val="00D06ACF"/>
    <w:rsid w:val="00D071E9"/>
    <w:rsid w:val="00D079A5"/>
    <w:rsid w:val="00D1067B"/>
    <w:rsid w:val="00D13467"/>
    <w:rsid w:val="00D15711"/>
    <w:rsid w:val="00D15C42"/>
    <w:rsid w:val="00D1624C"/>
    <w:rsid w:val="00D16FF6"/>
    <w:rsid w:val="00D17AC3"/>
    <w:rsid w:val="00D254E2"/>
    <w:rsid w:val="00D31267"/>
    <w:rsid w:val="00D3182E"/>
    <w:rsid w:val="00D34796"/>
    <w:rsid w:val="00D35ED9"/>
    <w:rsid w:val="00D401C5"/>
    <w:rsid w:val="00D41F04"/>
    <w:rsid w:val="00D42EC3"/>
    <w:rsid w:val="00D4481F"/>
    <w:rsid w:val="00D4716B"/>
    <w:rsid w:val="00D50FA6"/>
    <w:rsid w:val="00D54719"/>
    <w:rsid w:val="00D56411"/>
    <w:rsid w:val="00D57D8A"/>
    <w:rsid w:val="00D57F6C"/>
    <w:rsid w:val="00D603FE"/>
    <w:rsid w:val="00D62470"/>
    <w:rsid w:val="00D64AA7"/>
    <w:rsid w:val="00D64EFD"/>
    <w:rsid w:val="00D70B12"/>
    <w:rsid w:val="00D74404"/>
    <w:rsid w:val="00D803CB"/>
    <w:rsid w:val="00D81350"/>
    <w:rsid w:val="00D81372"/>
    <w:rsid w:val="00D83802"/>
    <w:rsid w:val="00D83AF4"/>
    <w:rsid w:val="00D85370"/>
    <w:rsid w:val="00D90E80"/>
    <w:rsid w:val="00D9320A"/>
    <w:rsid w:val="00DA1110"/>
    <w:rsid w:val="00DA4CD6"/>
    <w:rsid w:val="00DB059B"/>
    <w:rsid w:val="00DB16DD"/>
    <w:rsid w:val="00DB17D3"/>
    <w:rsid w:val="00DB227C"/>
    <w:rsid w:val="00DB3182"/>
    <w:rsid w:val="00DB404E"/>
    <w:rsid w:val="00DB6522"/>
    <w:rsid w:val="00DB719E"/>
    <w:rsid w:val="00DB7583"/>
    <w:rsid w:val="00DC2B16"/>
    <w:rsid w:val="00DC2B30"/>
    <w:rsid w:val="00DC627A"/>
    <w:rsid w:val="00DC797F"/>
    <w:rsid w:val="00DD0529"/>
    <w:rsid w:val="00DD0952"/>
    <w:rsid w:val="00DD0A67"/>
    <w:rsid w:val="00DD1988"/>
    <w:rsid w:val="00DD1DB3"/>
    <w:rsid w:val="00DE05B6"/>
    <w:rsid w:val="00DE2BCA"/>
    <w:rsid w:val="00DE5E47"/>
    <w:rsid w:val="00DE74C9"/>
    <w:rsid w:val="00DF28C5"/>
    <w:rsid w:val="00DF3F9B"/>
    <w:rsid w:val="00DF5A77"/>
    <w:rsid w:val="00E00B30"/>
    <w:rsid w:val="00E06834"/>
    <w:rsid w:val="00E0759B"/>
    <w:rsid w:val="00E104B5"/>
    <w:rsid w:val="00E13450"/>
    <w:rsid w:val="00E13716"/>
    <w:rsid w:val="00E14DE9"/>
    <w:rsid w:val="00E20805"/>
    <w:rsid w:val="00E2189D"/>
    <w:rsid w:val="00E23514"/>
    <w:rsid w:val="00E27CD9"/>
    <w:rsid w:val="00E31804"/>
    <w:rsid w:val="00E4369F"/>
    <w:rsid w:val="00E43E23"/>
    <w:rsid w:val="00E55B49"/>
    <w:rsid w:val="00E62ACD"/>
    <w:rsid w:val="00E6342E"/>
    <w:rsid w:val="00E648D2"/>
    <w:rsid w:val="00E65549"/>
    <w:rsid w:val="00E7226A"/>
    <w:rsid w:val="00E75EAA"/>
    <w:rsid w:val="00E82995"/>
    <w:rsid w:val="00E90E3A"/>
    <w:rsid w:val="00E95BA3"/>
    <w:rsid w:val="00E97C04"/>
    <w:rsid w:val="00E97D1E"/>
    <w:rsid w:val="00EA1FB9"/>
    <w:rsid w:val="00EA36A1"/>
    <w:rsid w:val="00EA511D"/>
    <w:rsid w:val="00EA79CD"/>
    <w:rsid w:val="00EB21EA"/>
    <w:rsid w:val="00EB4896"/>
    <w:rsid w:val="00EC25DE"/>
    <w:rsid w:val="00EC34A9"/>
    <w:rsid w:val="00EC3F43"/>
    <w:rsid w:val="00EC4B19"/>
    <w:rsid w:val="00EC5BB3"/>
    <w:rsid w:val="00EC7188"/>
    <w:rsid w:val="00ED1829"/>
    <w:rsid w:val="00ED2B60"/>
    <w:rsid w:val="00EE1457"/>
    <w:rsid w:val="00EE260C"/>
    <w:rsid w:val="00EE417A"/>
    <w:rsid w:val="00EE43C1"/>
    <w:rsid w:val="00EE7255"/>
    <w:rsid w:val="00EF538F"/>
    <w:rsid w:val="00EF618C"/>
    <w:rsid w:val="00F03C3C"/>
    <w:rsid w:val="00F0466D"/>
    <w:rsid w:val="00F13674"/>
    <w:rsid w:val="00F15557"/>
    <w:rsid w:val="00F21207"/>
    <w:rsid w:val="00F217B9"/>
    <w:rsid w:val="00F21F8F"/>
    <w:rsid w:val="00F23007"/>
    <w:rsid w:val="00F34126"/>
    <w:rsid w:val="00F3682E"/>
    <w:rsid w:val="00F46E29"/>
    <w:rsid w:val="00F46EC4"/>
    <w:rsid w:val="00F520CD"/>
    <w:rsid w:val="00F56F05"/>
    <w:rsid w:val="00F637D9"/>
    <w:rsid w:val="00F67E20"/>
    <w:rsid w:val="00F71034"/>
    <w:rsid w:val="00F72F1A"/>
    <w:rsid w:val="00F74477"/>
    <w:rsid w:val="00F76A3F"/>
    <w:rsid w:val="00F80492"/>
    <w:rsid w:val="00F82E76"/>
    <w:rsid w:val="00F92015"/>
    <w:rsid w:val="00F947F6"/>
    <w:rsid w:val="00F95DF2"/>
    <w:rsid w:val="00F95FA1"/>
    <w:rsid w:val="00FA31BE"/>
    <w:rsid w:val="00FA5A23"/>
    <w:rsid w:val="00FA607D"/>
    <w:rsid w:val="00FB37EF"/>
    <w:rsid w:val="00FB3F70"/>
    <w:rsid w:val="00FB7F16"/>
    <w:rsid w:val="00FC2B6D"/>
    <w:rsid w:val="00FD1844"/>
    <w:rsid w:val="00FD2C5F"/>
    <w:rsid w:val="00FD5401"/>
    <w:rsid w:val="00FD7A1B"/>
    <w:rsid w:val="00FE14D1"/>
    <w:rsid w:val="00FE3068"/>
    <w:rsid w:val="00FF13CD"/>
    <w:rsid w:val="00FF2118"/>
    <w:rsid w:val="00FF48AE"/>
    <w:rsid w:val="01087940"/>
    <w:rsid w:val="016966E0"/>
    <w:rsid w:val="024A59CE"/>
    <w:rsid w:val="02522DDA"/>
    <w:rsid w:val="02986DD2"/>
    <w:rsid w:val="02A163DC"/>
    <w:rsid w:val="044F0C47"/>
    <w:rsid w:val="05CB3161"/>
    <w:rsid w:val="05D92727"/>
    <w:rsid w:val="068155F5"/>
    <w:rsid w:val="081964D9"/>
    <w:rsid w:val="090D4716"/>
    <w:rsid w:val="096F6562"/>
    <w:rsid w:val="0D655386"/>
    <w:rsid w:val="111A41C6"/>
    <w:rsid w:val="130F7E50"/>
    <w:rsid w:val="17CC781A"/>
    <w:rsid w:val="18790C37"/>
    <w:rsid w:val="188A6953"/>
    <w:rsid w:val="18EE0BF6"/>
    <w:rsid w:val="1A8930C8"/>
    <w:rsid w:val="1B341517"/>
    <w:rsid w:val="1B7157B1"/>
    <w:rsid w:val="1BB81089"/>
    <w:rsid w:val="1D5133A9"/>
    <w:rsid w:val="1F15650D"/>
    <w:rsid w:val="1F34082D"/>
    <w:rsid w:val="1FB13E0C"/>
    <w:rsid w:val="21170110"/>
    <w:rsid w:val="22A10C5C"/>
    <w:rsid w:val="22E84C54"/>
    <w:rsid w:val="234B6EF7"/>
    <w:rsid w:val="240D35B5"/>
    <w:rsid w:val="267A4B30"/>
    <w:rsid w:val="29B01665"/>
    <w:rsid w:val="2A994270"/>
    <w:rsid w:val="2AFC4314"/>
    <w:rsid w:val="2B4B7916"/>
    <w:rsid w:val="2BFE2C3D"/>
    <w:rsid w:val="2C264CFB"/>
    <w:rsid w:val="2D4B49D3"/>
    <w:rsid w:val="2E07640B"/>
    <w:rsid w:val="31C12A2E"/>
    <w:rsid w:val="31C51434"/>
    <w:rsid w:val="31FA1C8E"/>
    <w:rsid w:val="333F4524"/>
    <w:rsid w:val="33452BAA"/>
    <w:rsid w:val="338957CE"/>
    <w:rsid w:val="39581820"/>
    <w:rsid w:val="39A21B4E"/>
    <w:rsid w:val="3D4405EF"/>
    <w:rsid w:val="3DCA206F"/>
    <w:rsid w:val="3F292D06"/>
    <w:rsid w:val="3F750ED6"/>
    <w:rsid w:val="414313A1"/>
    <w:rsid w:val="429960CF"/>
    <w:rsid w:val="43B53241"/>
    <w:rsid w:val="441D1ACF"/>
    <w:rsid w:val="446D7285"/>
    <w:rsid w:val="45845B9E"/>
    <w:rsid w:val="45D01569"/>
    <w:rsid w:val="476063A8"/>
    <w:rsid w:val="478C2F7C"/>
    <w:rsid w:val="47CD6F16"/>
    <w:rsid w:val="48CA33FC"/>
    <w:rsid w:val="49E64E4D"/>
    <w:rsid w:val="4AB467A0"/>
    <w:rsid w:val="4B10160D"/>
    <w:rsid w:val="4CCD100D"/>
    <w:rsid w:val="4D19148D"/>
    <w:rsid w:val="4D5243FD"/>
    <w:rsid w:val="4DC24624"/>
    <w:rsid w:val="52455887"/>
    <w:rsid w:val="527B24DD"/>
    <w:rsid w:val="539C5E38"/>
    <w:rsid w:val="57A411D6"/>
    <w:rsid w:val="57A7215B"/>
    <w:rsid w:val="58C625B2"/>
    <w:rsid w:val="59754CD5"/>
    <w:rsid w:val="59946483"/>
    <w:rsid w:val="59A776A2"/>
    <w:rsid w:val="59B6573E"/>
    <w:rsid w:val="5A001035"/>
    <w:rsid w:val="5ABD2A6D"/>
    <w:rsid w:val="5CE60DF9"/>
    <w:rsid w:val="5D2B4EC5"/>
    <w:rsid w:val="5D8579FD"/>
    <w:rsid w:val="5ED0639A"/>
    <w:rsid w:val="5F8161D5"/>
    <w:rsid w:val="60625D40"/>
    <w:rsid w:val="610F1155"/>
    <w:rsid w:val="619E1F83"/>
    <w:rsid w:val="665761F7"/>
    <w:rsid w:val="67010C0E"/>
    <w:rsid w:val="67F33A1A"/>
    <w:rsid w:val="6AFD2718"/>
    <w:rsid w:val="6B392E3B"/>
    <w:rsid w:val="6B7B2FE6"/>
    <w:rsid w:val="6D2F00AE"/>
    <w:rsid w:val="6E7F7953"/>
    <w:rsid w:val="6F154A4C"/>
    <w:rsid w:val="70CB089A"/>
    <w:rsid w:val="70F116CB"/>
    <w:rsid w:val="71275730"/>
    <w:rsid w:val="71F72585"/>
    <w:rsid w:val="7331488C"/>
    <w:rsid w:val="73DE2426"/>
    <w:rsid w:val="73F67ACD"/>
    <w:rsid w:val="746C6615"/>
    <w:rsid w:val="75493815"/>
    <w:rsid w:val="758F436B"/>
    <w:rsid w:val="75963CF6"/>
    <w:rsid w:val="78524E73"/>
    <w:rsid w:val="7A2D1EE5"/>
    <w:rsid w:val="7AB4245F"/>
    <w:rsid w:val="7B3A1BF7"/>
    <w:rsid w:val="7D083445"/>
    <w:rsid w:val="7D867CFE"/>
    <w:rsid w:val="7F6A6C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29E2464"/>
  <w15:docId w15:val="{89913BC1-CB06-4BB3-A08A-721DA0AAA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14:ligatures w14:val="standardContextual"/>
    </w:rPr>
  </w:style>
  <w:style w:type="paragraph" w:styleId="Heading1">
    <w:name w:val="heading 1"/>
    <w:basedOn w:val="Normal"/>
    <w:next w:val="Normal"/>
    <w:link w:val="Heading1Char"/>
    <w:uiPriority w:val="9"/>
    <w:qFormat/>
    <w:pPr>
      <w:keepNext/>
      <w:keepLines/>
      <w:spacing w:before="36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pPr>
      <w:keepNext/>
      <w:keepLines/>
      <w:spacing w:before="280" w:after="240"/>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pPr>
      <w:keepNext/>
      <w:keepLines/>
      <w:spacing w:before="160" w:after="120"/>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pPr>
      <w:keepNext/>
      <w:keepLines/>
      <w:spacing w:before="280" w:after="240"/>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before="100" w:beforeAutospacing="1" w:after="200" w:afterAutospacing="1" w:line="240" w:lineRule="auto"/>
      <w:jc w:val="both"/>
    </w:pPr>
    <w:rPr>
      <w:i/>
      <w:iCs/>
      <w:color w:val="44546A" w:themeColor="text2"/>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rPr>
      <w:rFonts w:ascii="Calibri" w:eastAsia="Times New Roman" w:hAnsi="Calibri" w:cs="Times New Roman"/>
      <w:kern w:val="0"/>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350"/>
      </w:tabs>
      <w:spacing w:after="100"/>
    </w:pPr>
    <w:rPr>
      <w:rFonts w:eastAsia="Times New Roman" w:cs="Times New Roman"/>
      <w:b/>
      <w:bCs/>
      <w:sz w:val="24"/>
      <w:szCs w:val="24"/>
    </w:rPr>
  </w:style>
  <w:style w:type="paragraph" w:styleId="TOC2">
    <w:name w:val="toc 2"/>
    <w:basedOn w:val="Normal"/>
    <w:next w:val="Normal"/>
    <w:autoRedefine/>
    <w:uiPriority w:val="39"/>
    <w:unhideWhenUsed/>
    <w:qFormat/>
    <w:pPr>
      <w:tabs>
        <w:tab w:val="right" w:leader="dot" w:pos="8827"/>
      </w:tabs>
      <w:spacing w:after="100" w:line="480" w:lineRule="auto"/>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ind w:left="660"/>
    </w:pPr>
    <w:rPr>
      <w:rFonts w:eastAsiaTheme="minorEastAsia"/>
      <w:kern w:val="0"/>
      <w14:ligatures w14:val="none"/>
    </w:rPr>
  </w:style>
  <w:style w:type="paragraph" w:styleId="TOC5">
    <w:name w:val="toc 5"/>
    <w:basedOn w:val="Normal"/>
    <w:next w:val="Normal"/>
    <w:autoRedefine/>
    <w:uiPriority w:val="39"/>
    <w:unhideWhenUsed/>
    <w:qFormat/>
    <w:pPr>
      <w:spacing w:after="100"/>
      <w:ind w:left="880"/>
    </w:pPr>
    <w:rPr>
      <w:rFonts w:eastAsiaTheme="minorEastAsia"/>
      <w:kern w:val="0"/>
      <w14:ligatures w14:val="none"/>
    </w:rPr>
  </w:style>
  <w:style w:type="paragraph" w:styleId="TOC6">
    <w:name w:val="toc 6"/>
    <w:basedOn w:val="Normal"/>
    <w:next w:val="Normal"/>
    <w:autoRedefine/>
    <w:uiPriority w:val="39"/>
    <w:unhideWhenUsed/>
    <w:qFormat/>
    <w:pPr>
      <w:spacing w:after="100"/>
      <w:ind w:left="1100"/>
    </w:pPr>
    <w:rPr>
      <w:rFonts w:eastAsiaTheme="minorEastAsia"/>
      <w:kern w:val="0"/>
      <w14:ligatures w14:val="none"/>
    </w:rPr>
  </w:style>
  <w:style w:type="paragraph" w:styleId="TOC7">
    <w:name w:val="toc 7"/>
    <w:basedOn w:val="Normal"/>
    <w:next w:val="Normal"/>
    <w:autoRedefine/>
    <w:uiPriority w:val="39"/>
    <w:unhideWhenUsed/>
    <w:qFormat/>
    <w:pPr>
      <w:spacing w:after="100"/>
      <w:ind w:left="1320"/>
    </w:pPr>
    <w:rPr>
      <w:rFonts w:eastAsiaTheme="minorEastAsia"/>
      <w:kern w:val="0"/>
      <w14:ligatures w14:val="none"/>
    </w:rPr>
  </w:style>
  <w:style w:type="paragraph" w:styleId="TOC8">
    <w:name w:val="toc 8"/>
    <w:basedOn w:val="Normal"/>
    <w:next w:val="Normal"/>
    <w:autoRedefine/>
    <w:uiPriority w:val="39"/>
    <w:unhideWhenUsed/>
    <w:qFormat/>
    <w:pPr>
      <w:spacing w:after="100"/>
      <w:ind w:left="1540"/>
    </w:pPr>
    <w:rPr>
      <w:rFonts w:eastAsiaTheme="minorEastAsia"/>
      <w:kern w:val="0"/>
      <w14:ligatures w14:val="none"/>
    </w:rPr>
  </w:style>
  <w:style w:type="paragraph" w:styleId="TOC9">
    <w:name w:val="toc 9"/>
    <w:basedOn w:val="Normal"/>
    <w:next w:val="Normal"/>
    <w:autoRedefine/>
    <w:uiPriority w:val="39"/>
    <w:unhideWhenUsed/>
    <w:qFormat/>
    <w:pPr>
      <w:spacing w:after="100"/>
      <w:ind w:left="1760"/>
    </w:pPr>
    <w:rPr>
      <w:rFonts w:eastAsiaTheme="minorEastAsia"/>
      <w:kern w:val="0"/>
      <w14:ligatures w14:val="none"/>
    </w:rPr>
  </w:style>
  <w:style w:type="character" w:styleId="PlaceholderText">
    <w:name w:val="Placeholder Text"/>
    <w:basedOn w:val="DefaultParagraphFont"/>
    <w:uiPriority w:val="99"/>
    <w:semiHidden/>
    <w:qFormat/>
    <w:rPr>
      <w:color w:val="80808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FooterChar">
    <w:name w:val="Footer Char"/>
    <w:basedOn w:val="DefaultParagraphFont"/>
    <w:link w:val="Footer"/>
    <w:uiPriority w:val="99"/>
    <w:qFormat/>
    <w:rPr>
      <w:rFonts w:ascii="Calibri" w:eastAsia="Times New Roman" w:hAnsi="Calibri" w:cs="Times New Roman"/>
      <w:kern w:val="0"/>
      <w14:ligatures w14:val="none"/>
    </w:rPr>
  </w:style>
  <w:style w:type="paragraph" w:customStyle="1" w:styleId="Heading1PHPDOCX">
    <w:name w:val="Heading 1 PHPDOCX"/>
    <w:basedOn w:val="Normal"/>
    <w:next w:val="Normal"/>
    <w:link w:val="Heading1CarPHPDOCX"/>
    <w:uiPriority w:val="9"/>
    <w:qFormat/>
    <w:pPr>
      <w:keepNext/>
      <w:keepLines/>
      <w:spacing w:before="480" w:after="0" w:line="276" w:lineRule="auto"/>
      <w:outlineLvl w:val="0"/>
    </w:pPr>
    <w:rPr>
      <w:rFonts w:ascii="Cambria" w:eastAsia="Times New Roman" w:hAnsi="Cambria" w:cs="Times New Roman"/>
      <w:b/>
      <w:bCs/>
      <w:color w:val="365F91"/>
      <w:kern w:val="0"/>
      <w:sz w:val="28"/>
      <w:szCs w:val="28"/>
      <w14:ligatures w14:val="none"/>
    </w:rPr>
  </w:style>
  <w:style w:type="paragraph" w:customStyle="1" w:styleId="Heading2PHPDOCX">
    <w:name w:val="Heading 2 PHPDOCX"/>
    <w:basedOn w:val="Normal"/>
    <w:next w:val="Normal"/>
    <w:link w:val="Heading2CarPHPDOCX"/>
    <w:uiPriority w:val="9"/>
    <w:unhideWhenUsed/>
    <w:qFormat/>
    <w:pPr>
      <w:keepNext/>
      <w:keepLines/>
      <w:spacing w:before="200" w:after="0" w:line="276" w:lineRule="auto"/>
      <w:outlineLvl w:val="1"/>
    </w:pPr>
    <w:rPr>
      <w:rFonts w:ascii="Cambria" w:eastAsia="Times New Roman" w:hAnsi="Cambria" w:cs="Times New Roman"/>
      <w:b/>
      <w:bCs/>
      <w:color w:val="4F81BD"/>
      <w:kern w:val="0"/>
      <w:sz w:val="26"/>
      <w:szCs w:val="26"/>
      <w14:ligatures w14:val="none"/>
    </w:rPr>
  </w:style>
  <w:style w:type="paragraph" w:customStyle="1" w:styleId="Heading3PHPDOCX">
    <w:name w:val="Heading 3 PHPDOCX"/>
    <w:basedOn w:val="Normal"/>
    <w:next w:val="Normal"/>
    <w:link w:val="Heading3CarPHPDOCX"/>
    <w:uiPriority w:val="9"/>
    <w:unhideWhenUsed/>
    <w:qFormat/>
    <w:pPr>
      <w:keepNext/>
      <w:keepLines/>
      <w:spacing w:before="200" w:after="0" w:line="276" w:lineRule="auto"/>
      <w:outlineLvl w:val="2"/>
    </w:pPr>
    <w:rPr>
      <w:rFonts w:ascii="Cambria" w:eastAsia="Times New Roman" w:hAnsi="Cambria" w:cs="Times New Roman"/>
      <w:b/>
      <w:bCs/>
      <w:color w:val="4F81BD"/>
      <w:kern w:val="0"/>
      <w14:ligatures w14:val="none"/>
    </w:rPr>
  </w:style>
  <w:style w:type="paragraph" w:customStyle="1" w:styleId="Heading4PHPDOCX">
    <w:name w:val="Heading 4 PHPDOCX"/>
    <w:basedOn w:val="Normal"/>
    <w:next w:val="Normal"/>
    <w:link w:val="Heading4CarPHPDOCX"/>
    <w:uiPriority w:val="9"/>
    <w:unhideWhenUsed/>
    <w:qFormat/>
    <w:pPr>
      <w:keepNext/>
      <w:keepLines/>
      <w:spacing w:before="200" w:after="0" w:line="276" w:lineRule="auto"/>
      <w:outlineLvl w:val="3"/>
    </w:pPr>
    <w:rPr>
      <w:rFonts w:ascii="Cambria" w:eastAsia="Times New Roman" w:hAnsi="Cambria" w:cs="Times New Roman"/>
      <w:b/>
      <w:bCs/>
      <w:i/>
      <w:iCs/>
      <w:color w:val="4F81BD"/>
      <w:kern w:val="0"/>
      <w14:ligatures w14:val="none"/>
    </w:rPr>
  </w:style>
  <w:style w:type="paragraph" w:customStyle="1" w:styleId="Heading5PHPDOCX">
    <w:name w:val="Heading 5 PHPDOCX"/>
    <w:basedOn w:val="Normal"/>
    <w:next w:val="Normal"/>
    <w:link w:val="Heading5CarPHPDOCX"/>
    <w:uiPriority w:val="9"/>
    <w:unhideWhenUsed/>
    <w:qFormat/>
    <w:pPr>
      <w:keepNext/>
      <w:keepLines/>
      <w:spacing w:before="200" w:after="0" w:line="276" w:lineRule="auto"/>
      <w:outlineLvl w:val="4"/>
    </w:pPr>
    <w:rPr>
      <w:rFonts w:ascii="Cambria" w:eastAsia="Times New Roman" w:hAnsi="Cambria" w:cs="Times New Roman"/>
      <w:color w:val="243F60"/>
      <w:kern w:val="0"/>
      <w14:ligatures w14:val="none"/>
    </w:rPr>
  </w:style>
  <w:style w:type="paragraph" w:customStyle="1" w:styleId="Heading6PHPDOCX">
    <w:name w:val="Heading 6 PHPDOCX"/>
    <w:basedOn w:val="Normal"/>
    <w:next w:val="Normal"/>
    <w:link w:val="Heading6CarPHPDOCX"/>
    <w:uiPriority w:val="9"/>
    <w:unhideWhenUsed/>
    <w:qFormat/>
    <w:pPr>
      <w:keepNext/>
      <w:keepLines/>
      <w:spacing w:before="200" w:after="0" w:line="276" w:lineRule="auto"/>
      <w:outlineLvl w:val="5"/>
    </w:pPr>
    <w:rPr>
      <w:rFonts w:ascii="Cambria" w:eastAsia="Times New Roman" w:hAnsi="Cambria" w:cs="Times New Roman"/>
      <w:i/>
      <w:iCs/>
      <w:color w:val="243F60"/>
      <w:kern w:val="0"/>
      <w14:ligatures w14:val="none"/>
    </w:rPr>
  </w:style>
  <w:style w:type="paragraph" w:customStyle="1" w:styleId="Heading7PHPDOCX">
    <w:name w:val="Heading 7 PHPDOCX"/>
    <w:basedOn w:val="Normal"/>
    <w:next w:val="Normal"/>
    <w:link w:val="Heading7CarPHPDOCX"/>
    <w:uiPriority w:val="9"/>
    <w:unhideWhenUsed/>
    <w:qFormat/>
    <w:pPr>
      <w:keepNext/>
      <w:keepLines/>
      <w:spacing w:before="200" w:after="0" w:line="276" w:lineRule="auto"/>
      <w:outlineLvl w:val="6"/>
    </w:pPr>
    <w:rPr>
      <w:rFonts w:ascii="Cambria" w:eastAsia="Times New Roman" w:hAnsi="Cambria" w:cs="Times New Roman"/>
      <w:i/>
      <w:iCs/>
      <w:color w:val="404040"/>
      <w:kern w:val="0"/>
      <w14:ligatures w14:val="none"/>
    </w:rPr>
  </w:style>
  <w:style w:type="paragraph" w:customStyle="1" w:styleId="Heading8PHPDOCX">
    <w:name w:val="Heading 8 PHPDOCX"/>
    <w:basedOn w:val="Normal"/>
    <w:next w:val="Normal"/>
    <w:link w:val="Heading8CarPHPDOCX"/>
    <w:uiPriority w:val="9"/>
    <w:semiHidden/>
    <w:unhideWhenUsed/>
    <w:qFormat/>
    <w:pPr>
      <w:keepNext/>
      <w:keepLines/>
      <w:spacing w:before="200" w:after="0" w:line="276" w:lineRule="auto"/>
      <w:outlineLvl w:val="7"/>
    </w:pPr>
    <w:rPr>
      <w:rFonts w:ascii="Cambria" w:eastAsia="Times New Roman" w:hAnsi="Cambria" w:cs="Times New Roman"/>
      <w:color w:val="404040"/>
      <w:kern w:val="0"/>
      <w:sz w:val="20"/>
      <w:szCs w:val="20"/>
      <w14:ligatures w14:val="none"/>
    </w:rPr>
  </w:style>
  <w:style w:type="paragraph" w:customStyle="1" w:styleId="Heading9PHPDOCX">
    <w:name w:val="Heading 9 PHPDOCX"/>
    <w:basedOn w:val="Normal"/>
    <w:next w:val="Normal"/>
    <w:link w:val="Heading9CarPHPDOCX"/>
    <w:uiPriority w:val="9"/>
    <w:semiHidden/>
    <w:unhideWhenUsed/>
    <w:qFormat/>
    <w:pPr>
      <w:keepNext/>
      <w:keepLines/>
      <w:spacing w:before="200" w:after="0" w:line="276" w:lineRule="auto"/>
      <w:outlineLvl w:val="8"/>
    </w:pPr>
    <w:rPr>
      <w:rFonts w:ascii="Cambria" w:eastAsia="Times New Roman" w:hAnsi="Cambria" w:cs="Times New Roman"/>
      <w:i/>
      <w:iCs/>
      <w:color w:val="404040"/>
      <w:kern w:val="0"/>
      <w:sz w:val="20"/>
      <w:szCs w:val="20"/>
      <w14:ligatures w14:val="none"/>
    </w:rPr>
  </w:style>
  <w:style w:type="character" w:customStyle="1" w:styleId="annotationreferencePHPDOCX">
    <w:name w:val="annotation reference PHPDOCX"/>
    <w:basedOn w:val="DefaultParagraphFontPHPDOCX"/>
    <w:uiPriority w:val="99"/>
    <w:semiHidden/>
    <w:unhideWhenUsed/>
    <w:qFormat/>
    <w:rPr>
      <w:sz w:val="16"/>
      <w:szCs w:val="16"/>
    </w:rPr>
  </w:style>
  <w:style w:type="character" w:customStyle="1" w:styleId="DefaultParagraphFontPHPDOCX">
    <w:name w:val="Default Paragraph Font PHPDOCX"/>
    <w:uiPriority w:val="1"/>
    <w:semiHidden/>
    <w:unhideWhenUsed/>
    <w:qFormat/>
  </w:style>
  <w:style w:type="paragraph" w:customStyle="1" w:styleId="annotationtextPHPDOCX">
    <w:name w:val="annotation text PHPDOCX"/>
    <w:basedOn w:val="Normal"/>
    <w:link w:val="CommentTextCharPHPDOCX"/>
    <w:uiPriority w:val="99"/>
    <w:semiHidden/>
    <w:unhideWhenUsed/>
    <w:qFormat/>
    <w:pPr>
      <w:spacing w:after="200" w:line="240" w:lineRule="auto"/>
    </w:pPr>
    <w:rPr>
      <w:kern w:val="0"/>
      <w:sz w:val="20"/>
      <w:szCs w:val="20"/>
      <w14:ligatures w14:val="none"/>
    </w:rPr>
  </w:style>
  <w:style w:type="character" w:customStyle="1" w:styleId="CommentTextCharPHPDOCX">
    <w:name w:val="Comment Text Char PHPDOCX"/>
    <w:basedOn w:val="DefaultParagraphFontPHPDOCX"/>
    <w:link w:val="annotationtextPHPDOCX"/>
    <w:uiPriority w:val="99"/>
    <w:semiHidden/>
    <w:qFormat/>
    <w:rPr>
      <w:kern w:val="0"/>
      <w:sz w:val="20"/>
      <w:szCs w:val="20"/>
      <w14:ligatures w14:val="none"/>
    </w:rPr>
  </w:style>
  <w:style w:type="paragraph" w:customStyle="1" w:styleId="annotationsubjectPHPDOCX">
    <w:name w:val="annotation subject PHPDOCX"/>
    <w:basedOn w:val="annotationtextPHPDOCX"/>
    <w:next w:val="annotationtextPHPDOCX"/>
    <w:link w:val="CommentSubjectCharPHPDOCX"/>
    <w:uiPriority w:val="99"/>
    <w:semiHidden/>
    <w:unhideWhenUsed/>
    <w:qFormat/>
    <w:rPr>
      <w:b/>
      <w:bCs/>
    </w:rPr>
  </w:style>
  <w:style w:type="character" w:customStyle="1" w:styleId="CommentSubjectCharPHPDOCX">
    <w:name w:val="Comment Subject Char PHPDOCX"/>
    <w:basedOn w:val="CommentTextCharPHPDOCX"/>
    <w:link w:val="annotationsubjectPHPDOCX"/>
    <w:uiPriority w:val="99"/>
    <w:semiHidden/>
    <w:qFormat/>
    <w:rPr>
      <w:b/>
      <w:bCs/>
      <w:kern w:val="0"/>
      <w:sz w:val="20"/>
      <w:szCs w:val="20"/>
      <w14:ligatures w14:val="none"/>
    </w:rPr>
  </w:style>
  <w:style w:type="paragraph" w:customStyle="1" w:styleId="BalloonTextPHPDOCX">
    <w:name w:val="Balloon Text PHPDOCX"/>
    <w:basedOn w:val="Normal"/>
    <w:link w:val="BalloonTextCharPHPDOCX"/>
    <w:uiPriority w:val="99"/>
    <w:semiHidden/>
    <w:unhideWhenUsed/>
    <w:qFormat/>
    <w:pPr>
      <w:spacing w:after="0" w:line="240" w:lineRule="auto"/>
    </w:pPr>
    <w:rPr>
      <w:rFonts w:ascii="Tahoma" w:hAnsi="Tahoma" w:cs="Tahoma"/>
      <w:kern w:val="0"/>
      <w:sz w:val="16"/>
      <w:szCs w:val="16"/>
      <w14:ligatures w14:val="none"/>
    </w:rPr>
  </w:style>
  <w:style w:type="character" w:customStyle="1" w:styleId="BalloonTextCharPHPDOCX">
    <w:name w:val="Balloon Text Char PHPDOCX"/>
    <w:basedOn w:val="DefaultParagraphFontPHPDOCX"/>
    <w:link w:val="BalloonTextPHPDOCX"/>
    <w:uiPriority w:val="99"/>
    <w:semiHidden/>
    <w:qFormat/>
    <w:rPr>
      <w:rFonts w:ascii="Tahoma" w:hAnsi="Tahoma" w:cs="Tahoma"/>
      <w:kern w:val="0"/>
      <w:sz w:val="16"/>
      <w:szCs w:val="16"/>
      <w14:ligatures w14:val="none"/>
    </w:rPr>
  </w:style>
  <w:style w:type="paragraph" w:customStyle="1" w:styleId="footnoteTextPHPDOCX">
    <w:name w:val="footnote Text PHPDOCX"/>
    <w:basedOn w:val="Normal"/>
    <w:link w:val="footnotetextCarPHPDOCX"/>
    <w:uiPriority w:val="99"/>
    <w:semiHidden/>
    <w:unhideWhenUsed/>
    <w:qFormat/>
    <w:pPr>
      <w:spacing w:after="0" w:line="240" w:lineRule="auto"/>
    </w:pPr>
    <w:rPr>
      <w:kern w:val="0"/>
      <w:sz w:val="20"/>
      <w:szCs w:val="20"/>
      <w14:ligatures w14:val="none"/>
    </w:rPr>
  </w:style>
  <w:style w:type="character" w:customStyle="1" w:styleId="footnotetextCarPHPDOCX">
    <w:name w:val="footnote text Car PHPDOCX"/>
    <w:basedOn w:val="DefaultParagraphFontPHPDOCX"/>
    <w:link w:val="footnoteTextPHPDOCX"/>
    <w:uiPriority w:val="99"/>
    <w:semiHidden/>
    <w:qFormat/>
    <w:rPr>
      <w:kern w:val="0"/>
      <w:sz w:val="20"/>
      <w:szCs w:val="20"/>
      <w14:ligatures w14:val="none"/>
    </w:rPr>
  </w:style>
  <w:style w:type="character" w:customStyle="1" w:styleId="footnoteReferencePHPDOCX">
    <w:name w:val="footnote Reference PHPDOCX"/>
    <w:basedOn w:val="DefaultParagraphFontPHPDOCX"/>
    <w:uiPriority w:val="99"/>
    <w:semiHidden/>
    <w:unhideWhenUsed/>
    <w:qFormat/>
    <w:rPr>
      <w:vertAlign w:val="superscript"/>
    </w:rPr>
  </w:style>
  <w:style w:type="paragraph" w:customStyle="1" w:styleId="endnoteTextPHPDOCX">
    <w:name w:val="endnote Text PHPDOCX"/>
    <w:basedOn w:val="Normal"/>
    <w:link w:val="endnotetextCarPHPDOCX"/>
    <w:uiPriority w:val="99"/>
    <w:semiHidden/>
    <w:unhideWhenUsed/>
    <w:qFormat/>
    <w:pPr>
      <w:spacing w:after="0" w:line="240" w:lineRule="auto"/>
    </w:pPr>
    <w:rPr>
      <w:kern w:val="0"/>
      <w:sz w:val="20"/>
      <w:szCs w:val="20"/>
      <w14:ligatures w14:val="none"/>
    </w:rPr>
  </w:style>
  <w:style w:type="character" w:customStyle="1" w:styleId="endnotetextCarPHPDOCX">
    <w:name w:val="endnote text Car PHPDOCX"/>
    <w:basedOn w:val="DefaultParagraphFontPHPDOCX"/>
    <w:link w:val="endnoteTextPHPDOCX"/>
    <w:uiPriority w:val="99"/>
    <w:semiHidden/>
    <w:qFormat/>
    <w:rPr>
      <w:kern w:val="0"/>
      <w:sz w:val="20"/>
      <w:szCs w:val="20"/>
      <w14:ligatures w14:val="none"/>
    </w:rPr>
  </w:style>
  <w:style w:type="character" w:customStyle="1" w:styleId="endnoteReferencePHPDOCX">
    <w:name w:val="endnote Reference PHPDOCX"/>
    <w:basedOn w:val="DefaultParagraphFontPHPDOCX"/>
    <w:uiPriority w:val="99"/>
    <w:semiHidden/>
    <w:unhideWhenUsed/>
    <w:qFormat/>
    <w:rPr>
      <w:vertAlign w:val="superscript"/>
    </w:rPr>
  </w:style>
  <w:style w:type="character" w:customStyle="1" w:styleId="Heading1CarPHPDOCX">
    <w:name w:val="Heading 1 Car PHPDOCX"/>
    <w:basedOn w:val="DefaultParagraphFontPHPDOCX"/>
    <w:link w:val="Heading1PHPDOCX"/>
    <w:uiPriority w:val="9"/>
    <w:qFormat/>
    <w:rPr>
      <w:rFonts w:ascii="Cambria" w:eastAsia="Times New Roman" w:hAnsi="Cambria" w:cs="Times New Roman"/>
      <w:b/>
      <w:bCs/>
      <w:color w:val="365F91"/>
      <w:kern w:val="0"/>
      <w:sz w:val="28"/>
      <w:szCs w:val="28"/>
      <w14:ligatures w14:val="none"/>
    </w:rPr>
  </w:style>
  <w:style w:type="character" w:customStyle="1" w:styleId="Heading2CarPHPDOCX">
    <w:name w:val="Heading 2 Car PHPDOCX"/>
    <w:basedOn w:val="DefaultParagraphFontPHPDOCX"/>
    <w:link w:val="Heading2PHPDOCX"/>
    <w:uiPriority w:val="9"/>
    <w:qFormat/>
    <w:rPr>
      <w:rFonts w:ascii="Cambria" w:eastAsia="Times New Roman" w:hAnsi="Cambria" w:cs="Times New Roman"/>
      <w:b/>
      <w:bCs/>
      <w:color w:val="4F81BD"/>
      <w:kern w:val="0"/>
      <w:sz w:val="26"/>
      <w:szCs w:val="26"/>
      <w14:ligatures w14:val="none"/>
    </w:rPr>
  </w:style>
  <w:style w:type="character" w:customStyle="1" w:styleId="Heading3CarPHPDOCX">
    <w:name w:val="Heading 3 Car PHPDOCX"/>
    <w:basedOn w:val="DefaultParagraphFontPHPDOCX"/>
    <w:link w:val="Heading3PHPDOCX"/>
    <w:uiPriority w:val="9"/>
    <w:qFormat/>
    <w:rPr>
      <w:rFonts w:ascii="Cambria" w:eastAsia="Times New Roman" w:hAnsi="Cambria" w:cs="Times New Roman"/>
      <w:b/>
      <w:bCs/>
      <w:color w:val="4F81BD"/>
      <w:kern w:val="0"/>
      <w14:ligatures w14:val="none"/>
    </w:rPr>
  </w:style>
  <w:style w:type="character" w:customStyle="1" w:styleId="Heading4CarPHPDOCX">
    <w:name w:val="Heading 4 Car PHPDOCX"/>
    <w:basedOn w:val="DefaultParagraphFontPHPDOCX"/>
    <w:link w:val="Heading4PHPDOCX"/>
    <w:uiPriority w:val="9"/>
    <w:qFormat/>
    <w:rPr>
      <w:rFonts w:ascii="Cambria" w:eastAsia="Times New Roman" w:hAnsi="Cambria" w:cs="Times New Roman"/>
      <w:b/>
      <w:bCs/>
      <w:i/>
      <w:iCs/>
      <w:color w:val="4F81BD"/>
      <w:kern w:val="0"/>
      <w14:ligatures w14:val="none"/>
    </w:rPr>
  </w:style>
  <w:style w:type="character" w:customStyle="1" w:styleId="Heading5CarPHPDOCX">
    <w:name w:val="Heading 5 Car PHPDOCX"/>
    <w:basedOn w:val="DefaultParagraphFontPHPDOCX"/>
    <w:link w:val="Heading5PHPDOCX"/>
    <w:uiPriority w:val="9"/>
    <w:qFormat/>
    <w:rPr>
      <w:rFonts w:ascii="Cambria" w:eastAsia="Times New Roman" w:hAnsi="Cambria" w:cs="Times New Roman"/>
      <w:color w:val="243F60"/>
      <w:kern w:val="0"/>
      <w14:ligatures w14:val="none"/>
    </w:rPr>
  </w:style>
  <w:style w:type="character" w:customStyle="1" w:styleId="Heading6CarPHPDOCX">
    <w:name w:val="Heading 6 Car PHPDOCX"/>
    <w:basedOn w:val="DefaultParagraphFontPHPDOCX"/>
    <w:link w:val="Heading6PHPDOCX"/>
    <w:uiPriority w:val="9"/>
    <w:qFormat/>
    <w:rPr>
      <w:rFonts w:ascii="Cambria" w:eastAsia="Times New Roman" w:hAnsi="Cambria" w:cs="Times New Roman"/>
      <w:i/>
      <w:iCs/>
      <w:color w:val="243F60"/>
      <w:kern w:val="0"/>
      <w14:ligatures w14:val="none"/>
    </w:rPr>
  </w:style>
  <w:style w:type="character" w:customStyle="1" w:styleId="Heading7CarPHPDOCX">
    <w:name w:val="Heading 7 Car PHPDOCX"/>
    <w:basedOn w:val="DefaultParagraphFontPHPDOCX"/>
    <w:link w:val="Heading7PHPDOCX"/>
    <w:uiPriority w:val="9"/>
    <w:qFormat/>
    <w:rPr>
      <w:rFonts w:ascii="Cambria" w:eastAsia="Times New Roman" w:hAnsi="Cambria" w:cs="Times New Roman"/>
      <w:i/>
      <w:iCs/>
      <w:color w:val="404040"/>
      <w:kern w:val="0"/>
      <w14:ligatures w14:val="none"/>
    </w:rPr>
  </w:style>
  <w:style w:type="paragraph" w:customStyle="1" w:styleId="TitlePHPDOCX">
    <w:name w:val="Title PHPDOCX"/>
    <w:basedOn w:val="Normal"/>
    <w:next w:val="Normal"/>
    <w:link w:val="TitleCarPHPDOCX"/>
    <w:uiPriority w:val="10"/>
    <w:qFormat/>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14:ligatures w14:val="none"/>
    </w:rPr>
  </w:style>
  <w:style w:type="character" w:customStyle="1" w:styleId="TitleCarPHPDOCX">
    <w:name w:val="Title Car PHPDOCX"/>
    <w:basedOn w:val="DefaultParagraphFontPHPDOCX"/>
    <w:link w:val="TitlePHPDOCX"/>
    <w:uiPriority w:val="10"/>
    <w:qFormat/>
    <w:rPr>
      <w:rFonts w:ascii="Cambria" w:eastAsia="Times New Roman" w:hAnsi="Cambria" w:cs="Times New Roman"/>
      <w:color w:val="17365D"/>
      <w:spacing w:val="5"/>
      <w:kern w:val="28"/>
      <w:sz w:val="52"/>
      <w:szCs w:val="52"/>
      <w14:ligatures w14:val="none"/>
    </w:rPr>
  </w:style>
  <w:style w:type="paragraph" w:customStyle="1" w:styleId="SubtitlePHPDOCX">
    <w:name w:val="Subtitle PHPDOCX"/>
    <w:basedOn w:val="Normal"/>
    <w:next w:val="Normal"/>
    <w:link w:val="SubtitleCarPHPDOCX"/>
    <w:uiPriority w:val="11"/>
    <w:qFormat/>
    <w:pPr>
      <w:spacing w:after="200" w:line="276" w:lineRule="auto"/>
    </w:pPr>
    <w:rPr>
      <w:rFonts w:ascii="Cambria" w:eastAsia="Times New Roman" w:hAnsi="Cambria" w:cs="Times New Roman"/>
      <w:i/>
      <w:iCs/>
      <w:color w:val="4F81BD"/>
      <w:spacing w:val="15"/>
      <w:kern w:val="0"/>
      <w:sz w:val="24"/>
      <w:szCs w:val="24"/>
      <w14:ligatures w14:val="none"/>
    </w:rPr>
  </w:style>
  <w:style w:type="character" w:customStyle="1" w:styleId="SubtitleCarPHPDOCX">
    <w:name w:val="Subtitle Car PHPDOCX"/>
    <w:basedOn w:val="DefaultParagraphFontPHPDOCX"/>
    <w:link w:val="SubtitlePHPDOCX"/>
    <w:uiPriority w:val="11"/>
    <w:qFormat/>
    <w:rPr>
      <w:rFonts w:ascii="Cambria" w:eastAsia="Times New Roman" w:hAnsi="Cambria" w:cs="Times New Roman"/>
      <w:i/>
      <w:iCs/>
      <w:color w:val="4F81BD"/>
      <w:spacing w:val="15"/>
      <w:kern w:val="0"/>
      <w:sz w:val="24"/>
      <w:szCs w:val="24"/>
      <w14:ligatures w14:val="none"/>
    </w:rPr>
  </w:style>
  <w:style w:type="character" w:customStyle="1" w:styleId="SubtleEmphasisPHPDOCX">
    <w:name w:val="Subtle Emphasis PHPDOCX"/>
    <w:basedOn w:val="DefaultParagraphFontPHPDOCX"/>
    <w:uiPriority w:val="19"/>
    <w:qFormat/>
    <w:rPr>
      <w:i/>
      <w:iCs/>
      <w:color w:val="808080"/>
    </w:rPr>
  </w:style>
  <w:style w:type="character" w:customStyle="1" w:styleId="EmphasisPHPDOCX">
    <w:name w:val="Emphasis PHPDOCX"/>
    <w:basedOn w:val="DefaultParagraphFontPHPDOCX"/>
    <w:uiPriority w:val="20"/>
    <w:qFormat/>
    <w:rPr>
      <w:i/>
      <w:iCs/>
    </w:rPr>
  </w:style>
  <w:style w:type="character" w:customStyle="1" w:styleId="IntenseEmphasisPHPDOCX">
    <w:name w:val="Intense Emphasis PHPDOCX"/>
    <w:basedOn w:val="DefaultParagraphFontPHPDOCX"/>
    <w:uiPriority w:val="21"/>
    <w:qFormat/>
    <w:rPr>
      <w:b/>
      <w:bCs/>
      <w:i/>
      <w:iCs/>
      <w:color w:val="4F81BD"/>
    </w:rPr>
  </w:style>
  <w:style w:type="character" w:customStyle="1" w:styleId="StrongPHPDOCX">
    <w:name w:val="Strong PHPDOCX"/>
    <w:basedOn w:val="DefaultParagraphFontPHPDOCX"/>
    <w:uiPriority w:val="22"/>
    <w:qFormat/>
    <w:rPr>
      <w:b/>
      <w:bCs/>
    </w:rPr>
  </w:style>
  <w:style w:type="paragraph" w:customStyle="1" w:styleId="QuotePHPDOCX">
    <w:name w:val="Quote PHPDOCX"/>
    <w:basedOn w:val="Normal"/>
    <w:next w:val="Normal"/>
    <w:link w:val="QuoteCarPHPDOCX"/>
    <w:uiPriority w:val="29"/>
    <w:qFormat/>
    <w:pPr>
      <w:spacing w:after="200" w:line="276" w:lineRule="auto"/>
    </w:pPr>
    <w:rPr>
      <w:i/>
      <w:iCs/>
      <w:color w:val="000000"/>
      <w:kern w:val="0"/>
      <w14:ligatures w14:val="none"/>
    </w:rPr>
  </w:style>
  <w:style w:type="character" w:customStyle="1" w:styleId="QuoteCarPHPDOCX">
    <w:name w:val="Quote Car PHPDOCX"/>
    <w:basedOn w:val="DefaultParagraphFontPHPDOCX"/>
    <w:link w:val="QuotePHPDOCX"/>
    <w:uiPriority w:val="29"/>
    <w:qFormat/>
    <w:rPr>
      <w:i/>
      <w:iCs/>
      <w:color w:val="000000"/>
      <w:kern w:val="0"/>
      <w14:ligatures w14:val="none"/>
    </w:rPr>
  </w:style>
  <w:style w:type="paragraph" w:customStyle="1" w:styleId="IntenseQuotePHPDOCX">
    <w:name w:val="Intense Quote PHPDOCX"/>
    <w:basedOn w:val="Normal"/>
    <w:next w:val="Normal"/>
    <w:link w:val="IntenseQuoteCarPHPDOCX"/>
    <w:uiPriority w:val="30"/>
    <w:qFormat/>
    <w:pPr>
      <w:pBdr>
        <w:bottom w:val="single" w:sz="4" w:space="4" w:color="4F81BD"/>
      </w:pBdr>
      <w:spacing w:before="200" w:after="280" w:line="276" w:lineRule="auto"/>
      <w:ind w:left="936" w:right="936"/>
    </w:pPr>
    <w:rPr>
      <w:b/>
      <w:bCs/>
      <w:i/>
      <w:iCs/>
      <w:color w:val="4F81BD"/>
      <w:kern w:val="0"/>
      <w14:ligatures w14:val="none"/>
    </w:rPr>
  </w:style>
  <w:style w:type="character" w:customStyle="1" w:styleId="IntenseQuoteCarPHPDOCX">
    <w:name w:val="Intense Quote Car PHPDOCX"/>
    <w:basedOn w:val="DefaultParagraphFontPHPDOCX"/>
    <w:link w:val="IntenseQuotePHPDOCX"/>
    <w:uiPriority w:val="30"/>
    <w:qFormat/>
    <w:rPr>
      <w:b/>
      <w:bCs/>
      <w:i/>
      <w:iCs/>
      <w:color w:val="4F81BD"/>
      <w:kern w:val="0"/>
      <w14:ligatures w14:val="none"/>
    </w:rPr>
  </w:style>
  <w:style w:type="character" w:customStyle="1" w:styleId="SubtleReferencePHPDOCX">
    <w:name w:val="Subtle Reference PHPDOCX"/>
    <w:basedOn w:val="DefaultParagraphFontPHPDOCX"/>
    <w:uiPriority w:val="31"/>
    <w:qFormat/>
    <w:rPr>
      <w:smallCaps/>
      <w:color w:val="C0504D"/>
      <w:u w:val="single"/>
    </w:rPr>
  </w:style>
  <w:style w:type="character" w:customStyle="1" w:styleId="IntenseReferencePHPDOCX">
    <w:name w:val="Intense Reference PHPDOCX"/>
    <w:basedOn w:val="DefaultParagraphFontPHPDOCX"/>
    <w:uiPriority w:val="32"/>
    <w:qFormat/>
    <w:rPr>
      <w:b/>
      <w:bCs/>
      <w:smallCaps/>
      <w:color w:val="C0504D"/>
      <w:spacing w:val="5"/>
      <w:u w:val="single"/>
    </w:rPr>
  </w:style>
  <w:style w:type="character" w:customStyle="1" w:styleId="BookTitlePHPDOCX">
    <w:name w:val="Book Title PHPDOCX"/>
    <w:basedOn w:val="DefaultParagraphFontPHPDOCX"/>
    <w:uiPriority w:val="33"/>
    <w:qFormat/>
    <w:rPr>
      <w:b/>
      <w:bCs/>
      <w:smallCaps/>
      <w:spacing w:val="5"/>
    </w:rPr>
  </w:style>
  <w:style w:type="paragraph" w:customStyle="1" w:styleId="ListParagraphPHPDOCX">
    <w:name w:val="List Paragraph PHPDOCX"/>
    <w:basedOn w:val="Normal"/>
    <w:uiPriority w:val="34"/>
    <w:qFormat/>
    <w:pPr>
      <w:spacing w:after="200" w:line="276" w:lineRule="auto"/>
      <w:ind w:left="720"/>
      <w:contextualSpacing/>
    </w:pPr>
    <w:rPr>
      <w:kern w:val="0"/>
      <w14:ligatures w14:val="none"/>
    </w:rPr>
  </w:style>
  <w:style w:type="paragraph" w:customStyle="1" w:styleId="NoSpacingPHPDOCX">
    <w:name w:val="No Spacing PHPDOCX"/>
    <w:uiPriority w:val="1"/>
    <w:rPr>
      <w:sz w:val="22"/>
      <w:szCs w:val="22"/>
    </w:rPr>
  </w:style>
  <w:style w:type="character" w:customStyle="1" w:styleId="Heading8CarPHPDOCX">
    <w:name w:val="Heading 8 Car PHPDOCX"/>
    <w:basedOn w:val="DefaultParagraphFontPHPDOCX"/>
    <w:link w:val="Heading8PHPDOCX"/>
    <w:uiPriority w:val="9"/>
    <w:semiHidden/>
    <w:rPr>
      <w:rFonts w:ascii="Cambria" w:eastAsia="Times New Roman" w:hAnsi="Cambria" w:cs="Times New Roman"/>
      <w:color w:val="404040"/>
      <w:kern w:val="0"/>
      <w:sz w:val="20"/>
      <w:szCs w:val="20"/>
      <w14:ligatures w14:val="none"/>
    </w:rPr>
  </w:style>
  <w:style w:type="character" w:customStyle="1" w:styleId="Heading9CarPHPDOCX">
    <w:name w:val="Heading 9 Car PHPDOCX"/>
    <w:basedOn w:val="DefaultParagraphFontPHPDOCX"/>
    <w:link w:val="Heading9PHPDOCX"/>
    <w:uiPriority w:val="9"/>
    <w:semiHidden/>
    <w:rPr>
      <w:rFonts w:ascii="Cambria" w:eastAsia="Times New Roman" w:hAnsi="Cambria" w:cs="Times New Roman"/>
      <w:i/>
      <w:iCs/>
      <w:color w:val="404040"/>
      <w:kern w:val="0"/>
      <w:sz w:val="20"/>
      <w:szCs w:val="20"/>
      <w14:ligatures w14:val="none"/>
    </w:rPr>
  </w:style>
  <w:style w:type="table" w:customStyle="1" w:styleId="NormalTablePHPDOCX">
    <w:name w:val="Normal Table PHPDOCX"/>
    <w:uiPriority w:val="99"/>
    <w:semiHidden/>
    <w:unhideWhenUsed/>
    <w:qFormat/>
    <w:pPr>
      <w:spacing w:after="200" w:line="276" w:lineRule="auto"/>
    </w:pPr>
    <w:tblPr>
      <w:tblCellMar>
        <w:top w:w="0" w:type="dxa"/>
        <w:left w:w="108" w:type="dxa"/>
        <w:bottom w:w="0" w:type="dxa"/>
        <w:right w:w="108" w:type="dxa"/>
      </w:tblCellMar>
    </w:tblPr>
  </w:style>
  <w:style w:type="table" w:customStyle="1" w:styleId="PlainTablePHPDOCX">
    <w:name w:val="Plain Table PHPDOCX"/>
    <w:uiPriority w:val="58"/>
    <w:qFormat/>
    <w:tblPr>
      <w:tblCellMar>
        <w:top w:w="0" w:type="dxa"/>
        <w:left w:w="108" w:type="dxa"/>
        <w:bottom w:w="0" w:type="dxa"/>
        <w:right w:w="108" w:type="dxa"/>
      </w:tblCellMar>
    </w:tblPr>
  </w:style>
  <w:style w:type="table" w:customStyle="1" w:styleId="TableGridPHPDOCX">
    <w:name w:val="Table Grid PHPDOCX"/>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PHPDOCX">
    <w:name w:val="Light Shading Accent 1 PHPDOCX"/>
    <w:uiPriority w:val="60"/>
    <w:rPr>
      <w:color w:val="365F91"/>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PHPDOCX">
    <w:name w:val="Light Shading Accent 2 PHPDOCX"/>
    <w:uiPriority w:val="60"/>
    <w:rPr>
      <w:color w:val="943634"/>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PHPDOCX">
    <w:name w:val="Light Shading Accent 3 PHPDOCX"/>
    <w:uiPriority w:val="60"/>
    <w:rPr>
      <w:color w:val="76923C"/>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PHPDOCX">
    <w:name w:val="Light Shading Accent 4 PHPDOCX"/>
    <w:uiPriority w:val="60"/>
    <w:rPr>
      <w:color w:val="5F497A"/>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PHPDOCX">
    <w:name w:val="Light Shading Accent 5 PHPDOCX"/>
    <w:uiPriority w:val="60"/>
    <w:qFormat/>
    <w:rPr>
      <w:color w:val="31849B"/>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ListPHPDOCX">
    <w:name w:val="Light List PHPDOCX"/>
    <w:uiPriority w:val="61"/>
    <w:rPr>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PHPDOCX">
    <w:name w:val="Light List Accent 1 PHPDOCX"/>
    <w:uiPriority w:val="61"/>
    <w:rPr>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PHPDOCX">
    <w:name w:val="Light List Accent 2 PHPDOCX"/>
    <w:uiPriority w:val="61"/>
    <w:rPr>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PHPDOCX">
    <w:name w:val="Light List Accent 3 PHPDOCX"/>
    <w:uiPriority w:val="61"/>
    <w:rPr>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PHPDOCX">
    <w:name w:val="Light List Accent 4 PHPDOCX"/>
    <w:uiPriority w:val="61"/>
    <w:rPr>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PHPDOCX">
    <w:name w:val="Light List Accent 5 PHPDOCX"/>
    <w:uiPriority w:val="61"/>
    <w:rPr>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PHPDOCX">
    <w:name w:val="Light List Accent 6 PHPDOCX"/>
    <w:uiPriority w:val="61"/>
    <w:rPr>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PHPDOCX">
    <w:name w:val="Light Grid PHPDOCX"/>
    <w:uiPriority w:val="62"/>
    <w:rPr>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customStyle="1" w:styleId="LightGrid1PHPDOCX">
    <w:name w:val="Light Grid 1 PHPDOCX"/>
    <w:uiPriority w:val="62"/>
    <w:rPr>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customStyle="1" w:styleId="LightGrid2PHPDOCX">
    <w:name w:val="Light Grid 2 PHPDOCX"/>
    <w:uiPriority w:val="62"/>
    <w:rPr>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customStyle="1" w:styleId="LightGrid3PHPDOCX">
    <w:name w:val="Light Grid 3 PHPDOCX"/>
    <w:uiPriority w:val="62"/>
    <w:rPr>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customStyle="1" w:styleId="LightGrid4PHPDOCX">
    <w:name w:val="Light Grid 4 PHPDOCX"/>
    <w:uiPriority w:val="62"/>
    <w:rPr>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customStyle="1" w:styleId="LightGrid5PHPDOCX">
    <w:name w:val="Light Grid 5 PHPDOCX"/>
    <w:uiPriority w:val="62"/>
    <w:rPr>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customStyle="1" w:styleId="LightGrid6PHPDOCX">
    <w:name w:val="Light Grid 6 PHPDOCX"/>
    <w:uiPriority w:val="62"/>
    <w:rPr>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ascii="Cambria" w:eastAsia="Times New Roman" w:hAnsi="Cambria"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mbria" w:eastAsia="Times New Roman" w:hAnsi="Cambria"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customStyle="1" w:styleId="MediumShading1PHPDOCX">
    <w:name w:val="Medium Shading 1 PHPDOCX"/>
    <w:uiPriority w:val="63"/>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PHPDOCX">
    <w:name w:val="Medium Shading 1 Accent 1 PHPDOCX"/>
    <w:uiPriority w:val="63"/>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PHPDOCX">
    <w:name w:val="Medium Shading 1 Accent 2 PHPDOCX"/>
    <w:uiPriority w:val="63"/>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PHPDOCX">
    <w:name w:val="Medium Shading 1 Accent 3 PHPDOCX"/>
    <w:uiPriority w:val="63"/>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PHPDOCX">
    <w:name w:val="Medium Shading 1 Accent 4 PHPDOCX"/>
    <w:uiPriority w:val="63"/>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PHPDOCX">
    <w:name w:val="Medium Shading 1 Accent 5 PHPDOCX"/>
    <w:uiPriority w:val="63"/>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PHPDOCX">
    <w:name w:val="Medium Shading 1 Accent 6 PHPDOCX"/>
    <w:uiPriority w:val="63"/>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PHPDOCX">
    <w:name w:val="Medium Shading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Pr>
      <w:lang w:val="zh-CN" w:eastAsia="en-GB"/>
    </w:rPr>
    <w:tblPr>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Pr>
      <w:color w:val="000000"/>
      <w:lang w:val="zh-CN" w:eastAsia="en-GB"/>
    </w:rPr>
    <w:tblPr>
      <w:tblBorders>
        <w:top w:val="single" w:sz="8" w:space="0" w:color="000000"/>
        <w:bottom w:val="single" w:sz="8" w:space="0" w:color="000000"/>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PHPDOCX">
    <w:name w:val="Medium List 1 Accent 1 PHPDOCX"/>
    <w:uiPriority w:val="65"/>
    <w:rPr>
      <w:color w:val="000000"/>
      <w:lang w:val="zh-CN" w:eastAsia="en-GB"/>
    </w:rPr>
    <w:tblPr>
      <w:tblBorders>
        <w:top w:val="single" w:sz="8" w:space="0" w:color="4F81BD"/>
        <w:bottom w:val="single" w:sz="8" w:space="0" w:color="4F81B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PHPDOCX">
    <w:name w:val="Medium List 1 Accent 2 PHPDOCX"/>
    <w:uiPriority w:val="65"/>
    <w:rPr>
      <w:color w:val="000000"/>
      <w:lang w:val="zh-CN" w:eastAsia="en-GB"/>
    </w:rPr>
    <w:tblPr>
      <w:tblBorders>
        <w:top w:val="single" w:sz="8" w:space="0" w:color="C0504D"/>
        <w:bottom w:val="single" w:sz="8" w:space="0" w:color="C0504D"/>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PHPDOCX">
    <w:name w:val="Medium List 1 Accent 3 PHPDOCX"/>
    <w:uiPriority w:val="65"/>
    <w:rPr>
      <w:color w:val="000000"/>
      <w:lang w:val="zh-CN" w:eastAsia="en-GB"/>
    </w:rPr>
    <w:tblPr>
      <w:tblBorders>
        <w:top w:val="single" w:sz="8" w:space="0" w:color="9BBB59"/>
        <w:bottom w:val="single" w:sz="8" w:space="0" w:color="9BBB59"/>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PHPDOCX">
    <w:name w:val="Medium List 1 Accent 4 PHPDOCX"/>
    <w:uiPriority w:val="65"/>
    <w:rPr>
      <w:color w:val="000000"/>
      <w:lang w:val="zh-CN" w:eastAsia="en-GB"/>
    </w:rPr>
    <w:tblPr>
      <w:tblBorders>
        <w:top w:val="single" w:sz="8" w:space="0" w:color="8064A2"/>
        <w:bottom w:val="single" w:sz="8" w:space="0" w:color="8064A2"/>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PHPDOCX">
    <w:name w:val="Medium List 1 Accent 5 PHPDOCX"/>
    <w:uiPriority w:val="65"/>
    <w:qFormat/>
    <w:rPr>
      <w:color w:val="000000"/>
      <w:lang w:val="zh-CN" w:eastAsia="en-GB"/>
    </w:rPr>
    <w:tblPr>
      <w:tblBorders>
        <w:top w:val="single" w:sz="8" w:space="0" w:color="4BACC6"/>
        <w:bottom w:val="single" w:sz="8" w:space="0" w:color="4BACC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PHPDOCX">
    <w:name w:val="Medium List 1 Accent 6 PHPDOCX"/>
    <w:uiPriority w:val="65"/>
    <w:rPr>
      <w:color w:val="000000"/>
      <w:lang w:val="zh-CN" w:eastAsia="en-GB"/>
    </w:rPr>
    <w:tblPr>
      <w:tblBorders>
        <w:top w:val="single" w:sz="8" w:space="0" w:color="F79646"/>
        <w:bottom w:val="single" w:sz="8" w:space="0" w:color="F79646"/>
      </w:tblBorders>
      <w:tblCellMar>
        <w:top w:w="0" w:type="dxa"/>
        <w:left w:w="108" w:type="dxa"/>
        <w:bottom w:w="0" w:type="dxa"/>
        <w:right w:w="108" w:type="dxa"/>
      </w:tblCellMar>
    </w:tblPr>
    <w:tblStylePr w:type="firstRow">
      <w:rPr>
        <w:rFonts w:ascii="Cambria" w:eastAsia="Times New Roman" w:hAnsi="Cambria"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PHPDOCX">
    <w:name w:val="Medium List 2 PHPDOCX"/>
    <w:uiPriority w:val="66"/>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PHPDOCX">
    <w:name w:val="Medium List 2 Accent 1 PHPDOCX"/>
    <w:uiPriority w:val="66"/>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PHPDOCX">
    <w:name w:val="Medium List 2 Accent 2 PHPDOCX"/>
    <w:uiPriority w:val="66"/>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PHPDOCX">
    <w:name w:val="Medium List 2 Accent 3 PHPDOCX"/>
    <w:uiPriority w:val="66"/>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PHPDOCX">
    <w:name w:val="Medium List 2 Accent 4 PHPDOCX"/>
    <w:uiPriority w:val="66"/>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PHPDOCX">
    <w:name w:val="Medium List 2 Accent 5 PHPDOCX"/>
    <w:uiPriority w:val="66"/>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PHPDOCX">
    <w:name w:val="Medium List 2 Accent 6 PHPDOCX"/>
    <w:uiPriority w:val="66"/>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PHPDOCX">
    <w:name w:val="Medium Grid 1 PHPDOCX"/>
    <w:uiPriority w:val="67"/>
    <w:rPr>
      <w:lang w:val="zh-CN" w:eastAsia="en-GB"/>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PHPDOCX">
    <w:name w:val="Medium Grid 1 Accent 1 PHPDOCX"/>
    <w:uiPriority w:val="67"/>
    <w:rPr>
      <w:lang w:val="zh-CN" w:eastAsia="en-GB"/>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PHPDOCX">
    <w:name w:val="Medium Grid 1 Accent 2 PHPDOCX"/>
    <w:uiPriority w:val="67"/>
    <w:rPr>
      <w:lang w:val="zh-CN" w:eastAsia="en-GB"/>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PHPDOCX">
    <w:name w:val="Medium Grid 1 Accent 3 PHPDOCX"/>
    <w:uiPriority w:val="67"/>
    <w:rPr>
      <w:lang w:val="zh-CN" w:eastAsia="en-GB"/>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PHPDOCX">
    <w:name w:val="Medium Grid 1 Accent 4 PHPDOCX"/>
    <w:uiPriority w:val="67"/>
    <w:rPr>
      <w:lang w:val="zh-CN" w:eastAsia="en-GB"/>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PHPDOCX">
    <w:name w:val="Medium Grid 1 Accent 5 PHPDOCX"/>
    <w:uiPriority w:val="67"/>
    <w:rPr>
      <w:lang w:val="zh-CN" w:eastAsia="en-GB"/>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PHPDOCX">
    <w:name w:val="Medium Grid 1 Accent 6 PHPDOCX"/>
    <w:uiPriority w:val="67"/>
    <w:rPr>
      <w:lang w:val="zh-CN" w:eastAsia="en-GB"/>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PHPDOCX">
    <w:name w:val="Medium Grid 2 PHPDOCX"/>
    <w:uiPriority w:val="68"/>
    <w:rPr>
      <w:rFonts w:ascii="Cambria" w:eastAsia="Times New Roman" w:hAnsi="Cambria" w:cs="Times New Roman"/>
      <w:color w:val="000000"/>
      <w:lang w:val="zh-CN" w:eastAsia="en-GB"/>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customStyle="1" w:styleId="MediumGrid2Accent1PHPDOCX">
    <w:name w:val="Medium Grid 2 Accent 1 PHPDOCX"/>
    <w:uiPriority w:val="68"/>
    <w:rPr>
      <w:rFonts w:ascii="Cambria" w:eastAsia="Times New Roman" w:hAnsi="Cambria" w:cs="Times New Roman"/>
      <w:color w:val="000000"/>
      <w:lang w:val="zh-CN" w:eastAsia="en-GB"/>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customStyle="1" w:styleId="MediumGrid2Accent2PHPDOCX">
    <w:name w:val="Medium Grid 2 Accent 2 PHPDOCX"/>
    <w:uiPriority w:val="68"/>
    <w:rPr>
      <w:rFonts w:ascii="Cambria" w:eastAsia="Times New Roman" w:hAnsi="Cambria" w:cs="Times New Roman"/>
      <w:color w:val="000000"/>
      <w:lang w:val="zh-CN" w:eastAsia="en-GB"/>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customStyle="1" w:styleId="MediumGrid2Accent3PHPDOCX">
    <w:name w:val="Medium Grid 2 Accent 3 PHPDOCX"/>
    <w:uiPriority w:val="68"/>
    <w:rPr>
      <w:rFonts w:ascii="Cambria" w:eastAsia="Times New Roman" w:hAnsi="Cambria" w:cs="Times New Roman"/>
      <w:color w:val="000000"/>
      <w:lang w:val="zh-CN" w:eastAsia="en-GB"/>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customStyle="1" w:styleId="MediumGrid2Accent4PHPDOCX">
    <w:name w:val="Medium Grid 2 Accent 4 PHPDOCX"/>
    <w:uiPriority w:val="68"/>
    <w:rPr>
      <w:rFonts w:ascii="Cambria" w:eastAsia="Times New Roman" w:hAnsi="Cambria" w:cs="Times New Roman"/>
      <w:color w:val="000000"/>
      <w:lang w:val="zh-CN" w:eastAsia="en-GB"/>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customStyle="1" w:styleId="MediumGrid2Accent5PHPDOCX">
    <w:name w:val="Medium Grid 2 Accent 5 PHPDOCX"/>
    <w:uiPriority w:val="68"/>
    <w:rPr>
      <w:rFonts w:ascii="Cambria" w:eastAsia="Times New Roman" w:hAnsi="Cambria" w:cs="Times New Roman"/>
      <w:color w:val="000000"/>
      <w:lang w:val="zh-CN" w:eastAsia="en-GB"/>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customStyle="1" w:styleId="MediumGrid2Accent6PHPDOCX">
    <w:name w:val="Medium Grid 2 Accent 6 PHPDOCX"/>
    <w:uiPriority w:val="68"/>
    <w:rPr>
      <w:rFonts w:ascii="Cambria" w:eastAsia="Times New Roman" w:hAnsi="Cambria" w:cs="Times New Roman"/>
      <w:color w:val="000000"/>
      <w:lang w:val="zh-CN" w:eastAsia="en-GB"/>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customStyle="1" w:styleId="MediumGrid3PHPDOCX">
    <w:name w:val="Medium Grid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customStyle="1" w:styleId="MediumGrid3Accent1PHPDOCX">
    <w:name w:val="Medium Grid 3 Accent 1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customStyle="1" w:styleId="MediumGrid3Accent2PHPDOCX">
    <w:name w:val="Medium Grid 3 Accent 2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customStyle="1" w:styleId="MediumGrid3Accent3PHPDOCX">
    <w:name w:val="Medium Grid 3 Accent 3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customStyle="1" w:styleId="MediumGrid3Accent5PHPDOCX">
    <w:name w:val="Medium Grid 3 Accent 5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customStyle="1" w:styleId="MediumGrid3Accent4PHPDOCX">
    <w:name w:val="Medium Grid 3 Accent 4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customStyle="1" w:styleId="MediumGrid3Accent6PHPDOCX">
    <w:name w:val="Medium Grid 3 Accent 6 PHPDOCX"/>
    <w:uiPriority w:val="69"/>
    <w:rPr>
      <w:lang w:val="zh-CN" w:eastAsia="en-GB"/>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customStyle="1" w:styleId="DarkListPHPDOCX">
    <w:name w:val="Dark List PHPDOCX"/>
    <w:uiPriority w:val="70"/>
    <w:rPr>
      <w:color w:val="FFFFFF"/>
      <w:lang w:val="zh-CN" w:eastAsia="en-GB"/>
    </w:rPr>
    <w:tblPr>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PHPDOCX">
    <w:name w:val="Dark List Accent 1 PHPDOCX"/>
    <w:uiPriority w:val="70"/>
    <w:rPr>
      <w:color w:val="FFFFFF"/>
      <w:lang w:val="zh-CN" w:eastAsia="en-GB"/>
    </w:rPr>
    <w:tblPr>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PHPDOCX">
    <w:name w:val="Dark List Accent 2 PHPDOCX"/>
    <w:uiPriority w:val="70"/>
    <w:rPr>
      <w:color w:val="FFFFFF"/>
      <w:lang w:val="zh-CN" w:eastAsia="en-GB"/>
    </w:rPr>
    <w:tblPr>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PHPDOCX">
    <w:name w:val="Dark List Accent 3 PHPDOCX"/>
    <w:uiPriority w:val="70"/>
    <w:rPr>
      <w:color w:val="FFFFFF"/>
      <w:lang w:val="zh-CN" w:eastAsia="en-GB"/>
    </w:rPr>
    <w:tblPr>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PHPDOCX">
    <w:name w:val="Dark List Accent 4 PHPDOCX"/>
    <w:uiPriority w:val="70"/>
    <w:rPr>
      <w:color w:val="FFFFFF"/>
      <w:lang w:val="zh-CN" w:eastAsia="en-GB"/>
    </w:rPr>
    <w:tblPr>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PHPDOCX">
    <w:name w:val="Dark List Accent 5 PHPDOCX"/>
    <w:uiPriority w:val="70"/>
    <w:rPr>
      <w:color w:val="FFFFFF"/>
      <w:lang w:val="zh-CN" w:eastAsia="en-GB"/>
    </w:rPr>
    <w:tblPr>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PHPDOCX">
    <w:name w:val="Dark List Accent 6 PHPDOCX"/>
    <w:uiPriority w:val="70"/>
    <w:rPr>
      <w:color w:val="FFFFFF"/>
      <w:lang w:val="zh-CN" w:eastAsia="en-GB"/>
    </w:rPr>
    <w:tblPr>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PHPDOCX">
    <w:name w:val="Colorful Shading PHPDOCX"/>
    <w:uiPriority w:val="71"/>
    <w:rPr>
      <w:color w:val="000000"/>
      <w:lang w:val="zh-CN" w:eastAsia="en-GB"/>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PHPDOCX">
    <w:name w:val="Colorful Shading Accent 1 PHPDOCX"/>
    <w:uiPriority w:val="71"/>
    <w:rPr>
      <w:color w:val="000000"/>
      <w:lang w:val="zh-CN" w:eastAsia="en-GB"/>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PHPDOCX">
    <w:name w:val="Colorful Shading Accent 2 PHPDOCX"/>
    <w:uiPriority w:val="71"/>
    <w:rPr>
      <w:color w:val="000000"/>
      <w:lang w:val="zh-CN" w:eastAsia="en-GB"/>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PHPDOCX">
    <w:name w:val="Colorful Shading Accent 3 PHPDOCX"/>
    <w:uiPriority w:val="71"/>
    <w:rPr>
      <w:color w:val="000000"/>
      <w:lang w:val="zh-CN" w:eastAsia="en-GB"/>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PHPDOCX">
    <w:name w:val="Colorful Shading Accent 4 PHPDOCX"/>
    <w:uiPriority w:val="71"/>
    <w:rPr>
      <w:color w:val="000000"/>
      <w:lang w:val="zh-CN" w:eastAsia="en-GB"/>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PHPDOCX">
    <w:name w:val="Colorful Shading Accent 5 PHPDOCX"/>
    <w:uiPriority w:val="71"/>
    <w:rPr>
      <w:color w:val="000000"/>
      <w:lang w:val="zh-CN" w:eastAsia="en-GB"/>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PHPDOCX">
    <w:name w:val="Colorful Shading Accent 6 PHPDOCX"/>
    <w:uiPriority w:val="71"/>
    <w:rPr>
      <w:color w:val="000000"/>
      <w:lang w:val="zh-CN" w:eastAsia="en-GB"/>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PHPDOCX">
    <w:name w:val="Colorful List PHPDOCX"/>
    <w:uiPriority w:val="72"/>
    <w:rPr>
      <w:color w:val="000000"/>
      <w:lang w:val="zh-CN" w:eastAsia="en-GB"/>
    </w:rPr>
    <w:tblPr>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PHPDOCX">
    <w:name w:val="Colorful List Accent 1 PHPDOCX"/>
    <w:uiPriority w:val="72"/>
    <w:rPr>
      <w:color w:val="000000"/>
      <w:lang w:val="zh-CN" w:eastAsia="en-GB"/>
    </w:rPr>
    <w:tblPr>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PHPDOCX">
    <w:name w:val="Colorful List Accent 2 PHPDOCX"/>
    <w:uiPriority w:val="72"/>
    <w:rPr>
      <w:color w:val="000000"/>
      <w:lang w:val="zh-CN" w:eastAsia="en-GB"/>
    </w:rPr>
    <w:tblPr>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PHPDOCX">
    <w:name w:val="Colorful List Accent 3 PHPDOCX"/>
    <w:uiPriority w:val="72"/>
    <w:rPr>
      <w:color w:val="000000"/>
      <w:lang w:val="zh-CN" w:eastAsia="en-GB"/>
    </w:rPr>
    <w:tblPr>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PHPDOCX">
    <w:name w:val="Colorful List Accent 4 PHPDOCX"/>
    <w:uiPriority w:val="72"/>
    <w:rPr>
      <w:color w:val="000000"/>
      <w:lang w:val="zh-CN" w:eastAsia="en-GB"/>
    </w:rPr>
    <w:tblPr>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PHPDOCX">
    <w:name w:val="Colorful List Accent 5 PHPDOCX"/>
    <w:uiPriority w:val="72"/>
    <w:rPr>
      <w:color w:val="000000"/>
      <w:lang w:val="zh-CN" w:eastAsia="en-GB"/>
    </w:rPr>
    <w:tblPr>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PHPDOCX">
    <w:name w:val="Colorful List Accent 6 PHPDOCX"/>
    <w:uiPriority w:val="72"/>
    <w:rPr>
      <w:color w:val="000000"/>
      <w:lang w:val="zh-CN" w:eastAsia="en-GB"/>
    </w:rPr>
    <w:tblPr>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PHPDOCX">
    <w:name w:val="Colorful Grid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PHPDOCX">
    <w:name w:val="Colorful Grid Accent 1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PHPDOCX">
    <w:name w:val="Colorful Grid Accent 2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PHPDOCX">
    <w:name w:val="Colorful Grid Accent 3 PHPDOCX"/>
    <w:uiPriority w:val="73"/>
    <w:qFormat/>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PHPDOCX">
    <w:name w:val="Colorful Grid Accent 4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PHPDOCX">
    <w:name w:val="Colorful Grid Accent 5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PHPDOCX">
    <w:name w:val="Colorful Grid Accent 6 PHPDOCX"/>
    <w:uiPriority w:val="73"/>
    <w:rPr>
      <w:color w:val="000000"/>
      <w:lang w:val="zh-CN" w:eastAsia="en-GB"/>
    </w:rPr>
    <w:tblPr>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Spacing">
    <w:name w:val="No Spacing"/>
    <w:uiPriority w:val="1"/>
    <w:qFormat/>
    <w:rPr>
      <w:kern w:val="2"/>
      <w:sz w:val="22"/>
      <w:szCs w:val="22"/>
      <w14:ligatures w14:val="standardContextual"/>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4"/>
      <w:szCs w:val="32"/>
    </w:rPr>
  </w:style>
  <w:style w:type="paragraph" w:customStyle="1" w:styleId="TOCHeading1">
    <w:name w:val="TOC Heading1"/>
    <w:basedOn w:val="NoSpacingPHPDOCX"/>
    <w:next w:val="Normal"/>
    <w:uiPriority w:val="39"/>
    <w:unhideWhenUsed/>
    <w:qFormat/>
  </w:style>
  <w:style w:type="character" w:customStyle="1" w:styleId="Heading2Char">
    <w:name w:val="Heading 2 Char"/>
    <w:basedOn w:val="DefaultParagraphFont"/>
    <w:link w:val="Heading2"/>
    <w:uiPriority w:val="9"/>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customStyle="1" w:styleId="Revision1">
    <w:name w:val="Revision1"/>
    <w:hidden/>
    <w:uiPriority w:val="99"/>
    <w:semiHidden/>
    <w:rPr>
      <w:kern w:val="2"/>
      <w:sz w:val="22"/>
      <w:szCs w:val="22"/>
      <w14:ligatures w14:val="standardContextual"/>
    </w:rPr>
  </w:style>
  <w:style w:type="table" w:customStyle="1" w:styleId="TableGrid2">
    <w:name w:val="Table Grid2"/>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pPr>
      <w:spacing w:after="200"/>
    </w:pPr>
    <w:rPr>
      <w:sz w:val="24"/>
      <w:szCs w:val="24"/>
      <w:lang w:val="zh-CN" w:eastAsia="en-GB"/>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style>
  <w:style w:type="paragraph" w:customStyle="1" w:styleId="Bibliography1">
    <w:name w:val="Bibliography1"/>
    <w:basedOn w:val="Normal"/>
    <w:next w:val="Normal"/>
    <w:uiPriority w:val="37"/>
    <w:unhideWhenUsed/>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table" w:customStyle="1" w:styleId="ListTable31">
    <w:name w:val="List Table 31"/>
    <w:basedOn w:val="TableNormal"/>
    <w:uiPriority w:val="48"/>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31">
    <w:name w:val="List Table 3 - Accent 31"/>
    <w:basedOn w:val="TableNormal"/>
    <w:uiPriority w:val="48"/>
    <w:tblPr>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4-Accent31">
    <w:name w:val="List Table 4 - Accent 31"/>
    <w:basedOn w:val="TableNormal"/>
    <w:uiPriority w:val="49"/>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style>
  <w:style w:type="table" w:customStyle="1" w:styleId="ListTable6Colorful1">
    <w:name w:val="List Table 6 Colorful1"/>
    <w:basedOn w:val="TableNormal"/>
    <w:uiPriority w:val="51"/>
    <w:rPr>
      <w:color w:val="000000" w:themeColor="text1"/>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31">
    <w:name w:val="List Table 6 Colorful - Accent 31"/>
    <w:basedOn w:val="TableNormal"/>
    <w:uiPriority w:val="51"/>
    <w:rPr>
      <w:color w:val="7B7B7B" w:themeColor="accent3" w:themeShade="BF"/>
    </w:rPr>
    <w:tblPr>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0">
    <w:name w:val="Plain Table 21"/>
    <w:basedOn w:val="TableNormal"/>
    <w:uiPriority w:val="42"/>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UnresolvedMention">
    <w:name w:val="Unresolved Mention"/>
    <w:basedOn w:val="DefaultParagraphFont"/>
    <w:uiPriority w:val="99"/>
    <w:semiHidden/>
    <w:unhideWhenUsed/>
    <w:rsid w:val="000A17E3"/>
    <w:rPr>
      <w:color w:val="605E5C"/>
      <w:shd w:val="clear" w:color="auto" w:fill="E1DFDD"/>
    </w:rPr>
  </w:style>
  <w:style w:type="paragraph" w:styleId="Revision">
    <w:name w:val="Revision"/>
    <w:hidden/>
    <w:uiPriority w:val="99"/>
    <w:unhideWhenUsed/>
    <w:rsid w:val="00DD0A67"/>
    <w:rPr>
      <w:rFonts w:ascii="Times New Roman" w:hAnsi="Times New Roman"/>
      <w:kern w:val="2"/>
      <w:sz w:val="22"/>
      <w:szCs w:val="22"/>
      <w14:ligatures w14:val="standardContextual"/>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www.fao.org/fishery/statistics/en" TargetMode="External"/><Relationship Id="rId55" Type="http://schemas.openxmlformats.org/officeDocument/2006/relationships/hyperlink" Target="https://hadoop.apache.org"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faolex.fao.org/docs/pdf/ken160882.pdf" TargetMode="External"/><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bluelifehub.com/" TargetMode="External"/><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faolex.fao.org/docs/pdf/ken160880.pdf" TargetMode="Externa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footer" Target="footer4.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faolex.fao.org/docs/pdf/ken160882.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blueventures.org/" TargetMode="External"/><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faolex.fao.org/docs/pdf/ken160880.pdf" TargetMode="External"/><Relationship Id="rId58" Type="http://schemas.openxmlformats.org/officeDocument/2006/relationships/image" Target="media/image35.png"/><Relationship Id="rId59" Type="http://schemas.openxmlformats.org/officeDocument/2006/relationships/image" Target="media/image36.png"/><Relationship Id="rId60" Type="http://schemas.openxmlformats.org/officeDocument/2006/relationships/image" Target="media/image37.png"/><Relationship Id="rId61" Type="http://schemas.openxmlformats.org/officeDocument/2006/relationships/image" Target="media/image38.png"/><Relationship Id="rId62" Type="http://schemas.openxmlformats.org/officeDocument/2006/relationships/image" Target="media/image39.png"/><Relationship Id="rId63" Type="http://schemas.openxmlformats.org/officeDocument/2006/relationships/image" Target="media/image40.png"/><Relationship Id="rId64" Type="http://schemas.openxmlformats.org/officeDocument/2006/relationships/image" Target="media/image41.png"/><Relationship Id="rId65" Type="http://schemas.openxmlformats.org/officeDocument/2006/relationships/image" Target="media/image42.png"/><Relationship Id="rId66" Type="http://schemas.openxmlformats.org/officeDocument/2006/relationships/image" Target="media/image43.png"/><Relationship Id="rId67" Type="http://schemas.openxmlformats.org/officeDocument/2006/relationships/image" Target="media/image44.png"/><Relationship Id="rId68" Type="http://schemas.openxmlformats.org/officeDocument/2006/relationships/image" Target="media/image45.png"/><Relationship Id="rId69" Type="http://schemas.openxmlformats.org/officeDocument/2006/relationships/image" Target="media/image46.png"/><Relationship Id="rId70" Type="http://schemas.openxmlformats.org/officeDocument/2006/relationships/image" Target="media/image47.png"/><Relationship Id="rId71" Type="http://schemas.openxmlformats.org/officeDocument/2006/relationships/image" Target="media/image48.png"/><Relationship Id="rId72" Type="http://schemas.openxmlformats.org/officeDocument/2006/relationships/image" Target="media/image49.png"/><Relationship Id="rId73" Type="http://schemas.openxmlformats.org/officeDocument/2006/relationships/image" Target="media/image50.png"/><Relationship Id="rId74" Type="http://schemas.openxmlformats.org/officeDocument/2006/relationships/image" Target="media/image51.png"/><Relationship Id="rId75" Type="http://schemas.openxmlformats.org/officeDocument/2006/relationships/image" Target="media/image52.png"/><Relationship Id="rId76" Type="http://schemas.openxmlformats.org/officeDocument/2006/relationships/image" Target="media/image53.png"/><Relationship Id="rId77" Type="http://schemas.openxmlformats.org/officeDocument/2006/relationships/image" Target="media/image54.png"/><Relationship Id="rId78" Type="http://schemas.openxmlformats.org/officeDocument/2006/relationships/image" Target="media/image55.png"/><Relationship Id="rId79" Type="http://schemas.openxmlformats.org/officeDocument/2006/relationships/image" Target="media/image56.png"/><Relationship Id="rId80" Type="http://schemas.openxmlformats.org/officeDocument/2006/relationships/image" Target="media/image57.png"/><Relationship Id="rId81" Type="http://schemas.openxmlformats.org/officeDocument/2006/relationships/image" Target="media/image58.png"/><Relationship Id="rId82" Type="http://schemas.openxmlformats.org/officeDocument/2006/relationships/image" Target="media/image59.png"/><Relationship Id="rId83" Type="http://schemas.openxmlformats.org/officeDocument/2006/relationships/image" Target="media/image60.png"/><Relationship Id="rId84" Type="http://schemas.openxmlformats.org/officeDocument/2006/relationships/image" Target="media/image61.png"/><Relationship Id="rId85" Type="http://schemas.openxmlformats.org/officeDocument/2006/relationships/image" Target="media/image62.png"/><Relationship Id="rId86" Type="http://schemas.openxmlformats.org/officeDocument/2006/relationships/image" Target="media/image63.png"/><Relationship Id="rId87" Type="http://schemas.openxmlformats.org/officeDocument/2006/relationships/image" Target="media/image64.png"/><Relationship Id="rId88"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Cha97</b:Tag>
    <b:SourceType>JournalArticle</b:SourceType>
    <b:Guid>{7695BBD2-1354-4C49-94C8-D4B68F3C631E}</b:Guid>
    <b:Author>
      <b:Author>
        <b:NameList>
          <b:Person>
            <b:Last>Chan</b:Last>
            <b:First>Y.,</b:First>
            <b:Middle>Walmsley, R.P., 1997.</b:Middle>
          </b:Person>
        </b:NameList>
      </b:Author>
    </b:Author>
    <b:Title>Learning and understanding the Kruskal-Wallis one-way analysis-of-variance-by-ranks test for differences among</b:Title>
    <b:JournalName>Phys Ther 77</b:JournalName>
    <b:Year>1997</b:Year>
    <b:Pages> 1755–1762</b:Pages>
    <b:RefOrder>10</b:RefOrder>
  </b:Source>
  <b:Source>
    <b:Tag>Sha00</b:Tag>
    <b:SourceType>JournalArticle</b:SourceType>
    <b:Guid>{5FDE8882-B65C-4FD9-817E-E1EA5F66BD13}</b:Guid>
    <b:Author>
      <b:Author>
        <b:NameList>
          <b:Person>
            <b:Last>Shalesha</b:Last>
            <b:First>A.</b:First>
            <b:Middle>and Stanley, V. A.</b:Middle>
          </b:Person>
        </b:NameList>
      </b:Author>
    </b:Author>
    <b:Title>Involvement of Rural Women in Agriculture: An Innovation Approach</b:Title>
    <b:JournalName>NAGA, The ICLARM Quarterly</b:JournalName>
    <b:Year>2000</b:Year>
    <b:Pages>13--17</b:Pages>
    <b:RefOrder>11</b:RefOrder>
  </b:Source>
  <b:Source>
    <b:Tag>Bhu21</b:Tag>
    <b:SourceType>JournalArticle</b:SourceType>
    <b:Guid>{674116B9-6FAA-418E-86B3-D27DF366EBE4}</b:Guid>
    <b:Author>
      <b:Author>
        <b:NameList>
          <b:Person>
            <b:Last>Bhuiyan</b:Last>
            <b:First>Md</b:First>
            <b:Middle>Sumon and Shamsuzzaman, Md Mostafa and Hossain, Mohammad Mosarof and Mitu, Sabrina Jannat and Mozumder, Mohammad Mojibul Hoque</b:Middle>
          </b:Person>
        </b:NameList>
      </b:Author>
    </b:Author>
    <b:Title>Mud crab (Scylla serrata Forsskal 1775) value chain analysis in the Khulna region of Bangladesh</b:Title>
    <b:JournalName>Aquaculture and Fisheries</b:JournalName>
    <b:Year>2021</b:Year>
    <b:Pages>330--336</b:Pages>
    <b:RefOrder>12</b:RefOrder>
  </b:Source>
  <b:Source>
    <b:Tag>Val</b:Tag>
    <b:SourceType>JournalArticle</b:SourceType>
    <b:Guid>{12536EEC-69C8-4EDD-8C71-F15972E71B0E}</b:Guid>
    <b:Author>
      <b:Author>
        <b:NameList>
          <b:Person>
            <b:Last>Mangubhai</b:Last>
            <b:First>S.,</b:First>
            <b:Middle>Fox, M., Nand, Y., &amp; Mason, N. (2024).</b:Middle>
          </b:Person>
        </b:NameList>
      </b:Author>
    </b:Author>
    <b:Title>Value chain analysis of a women-dominated wild-caught mud crab</b:Title>
    <b:Pages>781</b:Pages>
    <b:Year>2024</b:Year>
    <b:RefOrder>13</b:RefOrder>
  </b:Source>
  <b:Source>
    <b:Tag>xxx</b:Tag>
    <b:SourceType>JournalArticle</b:SourceType>
    <b:Guid>{F6470D3F-CF86-421D-A7F8-CA764023F0F1}</b:Guid>
    <b:Author>
      <b:Author>
        <b:NameList>
          <b:Person>
            <b:Last>Pomeroy</b:Last>
            <b:First>R.</b:First>
            <b:Middle>and Andrew, N.,</b:Middle>
          </b:Person>
        </b:NameList>
      </b:Author>
    </b:Author>
    <b:Title>Small-scale fisheries management: Frameworks and approaches for the developing world</b:Title>
    <b:JournalName>CABI</b:JournalName>
    <b:Year>2012</b:Year>
    <b:RefOrder>14</b:RefOrder>
  </b:Source>
  <b:Source>
    <b:Tag>Eli23</b:Tag>
    <b:SourceType>JournalArticle</b:SourceType>
    <b:Guid>{74A96217-27E3-4424-9C78-DB625DB17F55}</b:Guid>
    <b:Author>
      <b:Author>
        <b:NameList>
          <b:Person>
            <b:Last>Elina Apine</b:Last>
            <b:First>Prashanth</b:First>
            <b:Middle>Ramappa, Ramachandra Bhatta, Lucy M. Turner, Lynda D. Rodwell,</b:Middle>
          </b:Person>
        </b:NameList>
      </b:Author>
    </b:Author>
    <b:Title>Challenges and opportunities in achieving sustainable mud crab aquaculture in tropical coastal regions</b:Title>
    <b:JournalName>Ocean &amp; Coastal Management</b:JournalName>
    <b:Year>2023</b:Year>
    <b:RefOrder>15</b:RefOrder>
  </b:Source>
  <b:Source>
    <b:Tag>Blu20</b:Tag>
    <b:SourceType>JournalArticle</b:SourceType>
    <b:Guid>{31E20837-A2BB-4E46-AF78-12B205260C60}</b:Guid>
    <b:Author>
      <b:Author>
        <b:Corporate>Blue Ventures</b:Corporate>
      </b:Author>
    </b:Author>
    <b:Title>Securing sustainable small-scale fisheries: Mud crab case study</b:Title>
    <b:Year>2020</b:Year>
    <b:RefOrder>4</b:RefOrder>
  </b:Source>
  <b:Source>
    <b:Tag>Blu24</b:Tag>
    <b:SourceType>JournalArticle</b:SourceType>
    <b:Guid>{10128BFE-4AE9-4552-9670-825435B4CE54}</b:Guid>
    <b:Author>
      <b:Author>
        <b:Corporate>Blue Life Hub</b:Corporate>
      </b:Author>
    </b:Author>
    <b:Title>Mud crab farming revolutionised in Kenya</b:Title>
    <b:Year>2024</b:Year>
    <b:RefOrder>16</b:RefOrder>
  </b:Source>
  <b:Source>
    <b:Tag>Foo25</b:Tag>
    <b:SourceType>JournalArticle</b:SourceType>
    <b:Guid>{316333C4-C543-41EA-9305-9234729240F7}</b:Guid>
    <b:Author>
      <b:Author>
        <b:Corporate>FAO</b:Corporate>
      </b:Author>
    </b:Author>
    <b:Title>Transitioning to sustainable mud crab farming. https://www.fao.org</b:Title>
    <b:Year>2025</b:Year>
    <b:RefOrder>3</b:RefOrder>
  </b:Source>
  <b:Source>
    <b:Tag>Fon21</b:Tag>
    <b:SourceType>JournalArticle</b:SourceType>
    <b:Guid>{DCFA9CA2-44F7-4900-BB51-6E6215D0E1ED}</b:Guid>
    <b:Author>
      <b:Author>
        <b:NameList>
          <b:Person>
            <b:Last>Fondo</b:Last>
            <b:First>E.</b:First>
            <b:Middle>N., Ogutu, B.</b:Middle>
          </b:Person>
        </b:NameList>
      </b:Author>
    </b:Author>
    <b:Title>Sustainable crab fishery for Blue Economy in Kenya. Aquatic Ecosystem Health &amp; Management</b:Title>
    <b:JournalName>Aquatic Ecosystem Health &amp; Management</b:JournalName>
    <b:Year>2021</b:Year>
    <b:Pages>21–26</b:Pages>
    <b:RefOrder>7</b:RefOrder>
  </b:Source>
  <b:Source>
    <b:Tag>Mir17</b:Tag>
    <b:SourceType>JournalArticle</b:SourceType>
    <b:Guid>{958E98BF-21A5-4F62-890F-FD8C8CAB9874}</b:Guid>
    <b:Author>
      <b:Author>
        <b:NameList>
          <b:Person>
            <b:Last>Mirera</b:Last>
            <b:First>D.</b:First>
          </b:Person>
        </b:NameList>
      </b:Author>
    </b:Author>
    <b:Title>Mud Crab Production in Kenya</b:Title>
    <b:JournalName>Fisheries Science Journal</b:JournalName>
    <b:Year>2017</b:Year>
    <b:RefOrder>17</b:RefOrder>
  </b:Source>
  <b:Source>
    <b:Tag>Mir13</b:Tag>
    <b:SourceType>JournalArticle</b:SourceType>
    <b:Guid>{EB2F8687-096A-469A-9554-D5C7C1C33CD8}</b:Guid>
    <b:Author>
      <b:Author>
        <b:NameList>
          <b:Person>
            <b:Last>Mirera</b:Last>
            <b:First>OD</b:First>
          </b:Person>
        </b:NameList>
      </b:Author>
    </b:Author>
    <b:Title>Capture-based mud crab (Scylla serrata) aquaculture and artisanal fishery in East Africa –Practical and ecological perspective. PhD thesis, Linnaeus University Dissertations No 159/2013</b:Title>
    <b:Year>2013</b:Year>
    <b:RefOrder>18</b:RefOrder>
  </b:Source>
  <b:Source>
    <b:Tag>Mir171</b:Tag>
    <b:SourceType>JournalArticle</b:SourceType>
    <b:Guid>{987008F4-AED7-41EA-B53C-FBB70D747A51}</b:Guid>
    <b:Author>
      <b:Author>
        <b:NameList>
          <b:Person>
            <b:Last>Mirera</b:Last>
            <b:First>OD</b:First>
          </b:Person>
        </b:NameList>
      </b:Author>
    </b:Author>
    <b:Title>Intertidal mangrove boundary zones are nursery grounds for the mud crab Scylla serrata</b:Title>
    <b:JournalName>African Journal of Marine Science</b:JournalName>
    <b:Year>2017</b:Year>
    <b:Pages>315-325</b:Pages>
    <b:RefOrder>19</b:RefOrder>
  </b:Source>
  <b:Source>
    <b:Tag>Mir09</b:Tag>
    <b:SourceType>JournalArticle</b:SourceType>
    <b:Guid>{B9E0BD57-06E8-4EF2-80A8-530E49F5FF5B}</b:Guid>
    <b:Author>
      <b:Author>
        <b:NameList>
          <b:Person>
            <b:Last>Mirera</b:Last>
            <b:First>O.</b:First>
            <b:Middle>D., Ngugi, C. C.</b:Middle>
          </b:Person>
        </b:NameList>
      </b:Author>
    </b:Author>
    <b:Title>Sustainability and Income Opportunities of Farming Milkfish (Chanos Chanos) To Local Communities in Kenya: Assessment of Initial Trials of Earthen Ponds</b:Title>
    <b:Year>2009</b:Year>
    <b:Pages> 24</b:Pages>
    <b:RefOrder>20</b:RefOrder>
  </b:Source>
  <b:Source>
    <b:Tag>Mir131</b:Tag>
    <b:SourceType>JournalArticle</b:SourceType>
    <b:Guid>{D74274CB-23AB-4264-A04F-53EABC0DF817}</b:Guid>
    <b:Author>
      <b:Author>
        <b:NameList>
          <b:Person>
            <b:Last>Mirera OD</b:Last>
            <b:First>Ochiewo</b:First>
            <b:Middle>J, Munyi F, Muriuki T</b:Middle>
          </b:Person>
        </b:NameList>
      </b:Author>
    </b:Author>
    <b:Title>Heredity or traditional knowledge: Fishing tactics and dynamics of artisanal mangrove crab (Scylla serrata) fishery. </b:Title>
    <b:JournalName> Ocean &amp; Coastal Management</b:JournalName>
    <b:Year>2013</b:Year>
    <b:Pages>119-129</b:Pages>
    <b:RefOrder>21</b:RefOrder>
  </b:Source>
  <b:Source>
    <b:Tag>Pla24</b:Tag>
    <b:SourceType>InternetSite</b:SourceType>
    <b:Guid>{FE22540E-D4D6-4A60-A5EE-36F61734BFCE}</b:Guid>
    <b:Author>
      <b:Author>
        <b:Corporate>https://big3africa.org/2026/</b:Corporate>
      </b:Author>
    </b:Author>
    <b:Title>https://big3africa.org/category/food-systems/</b:Title>
    <b:Year>2024</b:Year>
    <b:URL>https://big3africa.org/2026/</b:URL>
    <b:RefOrder>2</b:RefOrder>
  </b:Source>
  <b:Source>
    <b:Tag>Man24</b:Tag>
    <b:SourceType>JournalArticle</b:SourceType>
    <b:Guid>{578C0134-C7EA-4FC5-A6E1-C7D4F54E085D}</b:Guid>
    <b:Title>Socioeconomic Importance of the Small-Scale Mud Crab Fishing (Scylla Serrata, Forskall 1775) in the Bons Sinais Estuary—Mozambique</b:Title>
    <b:Year>2024</b:Year>
    <b:Author>
      <b:Author>
        <b:NameList>
          <b:Person>
            <b:Last>Manuessa</b:Last>
            <b:First>Bonifácio</b:First>
            <b:Middle>Carlitos and Cuinhane, Calmila J. O. and Borges, Teresa Cerveira and Teodósio, Maria Alexandra and Leitão, Francisco</b:Middle>
          </b:Person>
        </b:NameList>
      </b:Author>
    </b:Author>
    <b:JournalName>Sustainability</b:JournalName>
    <b:RefOrder>1</b:RefOrder>
  </b:Source>
  <b:Source>
    <b:Tag>Yam67</b:Tag>
    <b:SourceType>JournalArticle</b:SourceType>
    <b:Guid>{6E9D6684-B547-4EF4-8890-D870B76C0090}</b:Guid>
    <b:Title>Statistics: An Introductory Analysis (2nd ed.). New York: Harper and Row.</b:Title>
    <b:Year>1967</b:Year>
    <b:Author>
      <b:Author>
        <b:NameList>
          <b:Person>
            <b:Last>Yamane</b:Last>
            <b:First>T.</b:First>
          </b:Person>
        </b:NameList>
      </b:Author>
    </b:Author>
    <b:RefOrder>8</b:RefOrder>
  </b:Source>
  <b:Source>
    <b:Tag>Gil10</b:Tag>
    <b:SourceType>JournalArticle</b:SourceType>
    <b:Guid>{D139BCBB-8F2E-4E4A-BCE4-8B174F4601D9}</b:Guid>
    <b:Author>
      <b:Author>
        <b:NameList>
          <b:Person>
            <b:Last>Gill</b:Last>
            <b:First>John</b:First>
            <b:Middle>and Johnson, Phil</b:Middle>
          </b:Person>
        </b:NameList>
      </b:Author>
    </b:Author>
    <b:Title>Research methods for managers</b:Title>
    <b:JournalName>Sage</b:JournalName>
    <b:Year>2010</b:Year>
    <b:RefOrder>9</b:RefOrder>
  </b:Source>
  <b:Source>
    <b:Tag>Els</b:Tag>
    <b:SourceType>JournalArticle</b:SourceType>
    <b:Guid>{CB759F09-C514-4BC0-9C88-F1A018B8F9CE}</b:Guid>
    <b:Author>
      <b:Author>
        <b:NameList>
          <b:Person>
            <b:Last>Elsevier</b:Last>
          </b:Person>
        </b:NameList>
      </b:Author>
    </b:Author>
    <b:Title>Structure--Conduct--Performance Paradigm</b:Title>
    <b:RefOrder>5</b:RefOrder>
  </b:Source>
  <b:Source>
    <b:Tag>Jac04</b:Tag>
    <b:SourceType>JournalArticle</b:SourceType>
    <b:Guid>{B36CFA6E-C717-409F-A49B-F430F09AAE1B}</b:Guid>
    <b:Author>
      <b:Author>
        <b:NameList>
          <b:Person>
            <b:Last>Jacinto</b:Last>
            <b:First>Eusebio</b:First>
            <b:Middle>R</b:Middle>
          </b:Person>
        </b:NameList>
      </b:Author>
    </b:Author>
    <b:Title>A research framework on value chain analysis in small scale fisheries</b:Title>
    <b:Year>2004</b:Year>
    <b:RefOrder>6</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09F74A1-49B6-48CF-A4BE-B721B77367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124</Pages>
  <Words>27629</Words>
  <Characters>157486</Characters>
  <Application>Microsoft Office Word</Application>
  <DocSecurity>0</DocSecurity>
  <Lines>1312</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Structure for Mud Crabs in South Coast Kenya</dc:title>
  <dc:subject>Revised and humanized thesis with aligned framework and methods</dc:subject>
  <dc:creator>Joel Nyongesa</dc:creator>
  <cp:lastModifiedBy>joel nyongesa</cp:lastModifiedBy>
  <cp:revision>3</cp:revision>
  <cp:lastPrinted>2026-09-13T14:48:00Z</cp:lastPrinted>
  <dcterms:created xsi:type="dcterms:W3CDTF">2026-09-13T16:21:00Z</dcterms:created>
  <dcterms:modified xsi:type="dcterms:W3CDTF">2026-09-27T17:08:00Z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eyJoZGlkIjoiMWMzZGMxODdjMDU3YTAzZjFlYzZlMDM5OWRiYmVlOGQifQ==</vt:lpwstr>
  </property>
  <property fmtid="{D5CDD505-2E9C-101B-9397-08002B2CF9AE}" pid="3" name="KSOProductBuildVer">
    <vt:lpwstr>1033-12.1.0.28032</vt:lpwstr>
  </property>
  <property fmtid="{D5CDD505-2E9C-101B-9397-08002B2CF9AE}" pid="4" name="ICV">
    <vt:lpwstr>F9C845A5A58849029A1E76F48812849B_13</vt:lpwstr>
  </property>
</Properties>
</file>