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ageBreakBefore/>
        <w:spacing w:after="240" w:before="240" w:line="360"/>
        <w:jc w:val="center"/>
      </w:pPr>
      <w:r>
        <w:rPr>
          <w:rFonts w:ascii="Times New Roman" w:cs="Times New Roman" w:eastAsia="Times New Roman" w:hAnsi="Times New Roman"/>
          <w:b/>
          <w:bCs/>
          <w:color w:val="000000"/>
          <w:sz w:val="28"/>
          <w:szCs w:val="28"/>
        </w:rPr>
        <w:t xml:space="preserve">CHAPTER FOUR: RESULTS</w:t>
      </w:r>
    </w:p>
    <w:p>
      <w:pPr>
        <w:pStyle w:val="Heading2"/>
        <w:spacing w:after="140" w:before="280" w:line="360"/>
      </w:pPr>
      <w:r>
        <w:rPr>
          <w:rFonts w:ascii="Times New Roman" w:cs="Times New Roman" w:eastAsia="Times New Roman" w:hAnsi="Times New Roman"/>
          <w:b/>
          <w:bCs/>
          <w:color w:val="000000"/>
          <w:sz w:val="26"/>
          <w:szCs w:val="26"/>
        </w:rPr>
        <w:t xml:space="preserve">4.1 Introduction</w:t>
      </w:r>
    </w:p>
    <w:p>
      <w:pPr>
        <w:spacing w:after="120" w:before="0" w:line="360"/>
        <w:jc w:val="both"/>
      </w:pPr>
      <w:r>
        <w:rPr>
          <w:rFonts w:ascii="Times New Roman" w:cs="Times New Roman" w:eastAsia="Times New Roman" w:hAnsi="Times New Roman"/>
          <w:color w:val="000000"/>
          <w:sz w:val="24"/>
          <w:szCs w:val="24"/>
        </w:rPr>
        <w:t xml:space="preserve">This chapter presents what 96 mud crab actors on the South Coast of Kenya reported about their work, following the three objectives in turn. Every table carries all four actor categories (fisher, middleman, hotelier and exporter) so the four positions in the chain can be read against one another, and each is broken down by Beach Management Unit so site differences stay visible.</w:t>
      </w:r>
    </w:p>
    <w:p>
      <w:pPr>
        <w:spacing w:after="120" w:before="0" w:line="360"/>
        <w:jc w:val="both"/>
      </w:pPr>
      <w:r>
        <w:rPr>
          <w:rFonts w:ascii="Times New Roman" w:cs="Times New Roman" w:eastAsia="Times New Roman" w:hAnsi="Times New Roman"/>
          <w:color w:val="000000"/>
          <w:sz w:val="24"/>
          <w:szCs w:val="24"/>
        </w:rPr>
        <w:t xml:space="preserve">Four conventions govern how the tables should be read. Percentages are valid percentages within the actor category at that site, so the denominator is the number of respondents of that category who answered that item at that place, never the full 96. A hyphen means the category had no respondents at that site; a zero means they had respondents there but none gave that response. The BMU p-value appears on the first row of each actor block and is reported for fishers and middlemen only, because four of the five hoteliers and all four exporters operated outside the four BMU frames, leaving one or two respondents per cell.</w:t>
      </w:r>
    </w:p>
    <w:p>
      <w:pPr>
        <w:spacing w:after="120" w:before="0" w:line="360"/>
        <w:jc w:val="both"/>
      </w:pPr>
      <w:r>
        <w:rPr>
          <w:rFonts w:ascii="Times New Roman" w:cs="Times New Roman" w:eastAsia="Times New Roman" w:hAnsi="Times New Roman"/>
          <w:color w:val="000000"/>
          <w:sz w:val="24"/>
          <w:szCs w:val="24"/>
        </w:rPr>
        <w:t xml:space="preserve">Categorical variables were tested against BMU using Monte Carlo chi-square with 10,000 resamples, which suits the sparse tables this sample produces. Fishers and middlemen were tested separately, because pooling a harvester with a trader would confuse site with role. Reported prices were compared with the Kruskal–Wallis test, which assumes no normality and tolerates very unequal group sizes.</w:t>
      </w:r>
    </w:p>
    <w:p>
      <w:pPr>
        <w:pStyle w:val="Heading2"/>
        <w:spacing w:after="140" w:before="280" w:line="360"/>
      </w:pPr>
      <w:r>
        <w:rPr>
          <w:rFonts w:ascii="Times New Roman" w:cs="Times New Roman" w:eastAsia="Times New Roman" w:hAnsi="Times New Roman"/>
          <w:b/>
          <w:bCs/>
          <w:color w:val="000000"/>
          <w:sz w:val="26"/>
          <w:szCs w:val="26"/>
        </w:rPr>
        <w:t xml:space="preserve">4.2 Distribution of Respondents</w:t>
      </w:r>
    </w:p>
    <w:p>
      <w:pPr>
        <w:spacing w:after="120" w:before="0" w:line="360"/>
        <w:jc w:val="both"/>
      </w:pPr>
      <w:r>
        <w:rPr>
          <w:rFonts w:ascii="Times New Roman" w:cs="Times New Roman" w:eastAsia="Times New Roman" w:hAnsi="Times New Roman"/>
          <w:color w:val="000000"/>
          <w:sz w:val="24"/>
          <w:szCs w:val="24"/>
        </w:rPr>
        <w:t xml:space="preserve">All 96 respondent identifiers were unique and matched across the three objective worksheets. Landing sites were standardised into Shimoni, Majoreni, Vanga, Msambweni or an Other sites group. One medium-crab price recorded at Gasi was corrected from KSh 800 to KSh 650 per kilogram against the field records, and every figure in this chapter carries that correction.</w:t>
      </w:r>
    </w:p>
    <w:p>
      <w:pPr>
        <w:spacing w:after="0" w:before="240" w:line="240"/>
      </w:pPr>
      <w:r>
        <w:rPr>
          <w:rFonts w:ascii="Times New Roman" w:cs="Times New Roman" w:eastAsia="Times New Roman" w:hAnsi="Times New Roman"/>
          <w:b/>
          <w:bCs/>
          <w:color w:val="000000"/>
          <w:sz w:val="24"/>
          <w:szCs w:val="24"/>
        </w:rPr>
        <w:t xml:space="preserve">Table 2</w:t>
      </w:r>
    </w:p>
    <w:p>
      <w:pPr>
        <w:spacing w:after="120" w:before="0" w:line="240"/>
      </w:pPr>
      <w:r>
        <w:rPr>
          <w:rFonts w:ascii="Times New Roman" w:cs="Times New Roman" w:eastAsia="Times New Roman" w:hAnsi="Times New Roman"/>
          <w:b w:val="false"/>
          <w:bCs w:val="false"/>
          <w:i/>
          <w:iCs/>
          <w:color w:val="000000"/>
          <w:sz w:val="24"/>
          <w:szCs w:val="24"/>
        </w:rPr>
        <w:t xml:space="preserve">Distribution of Respondents by Actor Category and BMU</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1700"/>
        <w:gridCol w:w="1250"/>
        <w:gridCol w:w="1250"/>
        <w:gridCol w:w="1150"/>
        <w:gridCol w:w="1400"/>
        <w:gridCol w:w="1300"/>
        <w:gridCol w:w="976"/>
      </w:tblGrid>
      <w:tr>
        <w:trPr>
          <w:tblHeader/>
        </w:trPr>
        <w:tc>
          <w:tcPr>
            <w:tcW w:type="dxa" w:w="17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20"/>
                <w:szCs w:val="20"/>
              </w:rPr>
              <w:t xml:space="preserve">Actor category</w:t>
            </w:r>
          </w:p>
        </w:tc>
        <w:tc>
          <w:tcPr>
            <w:tcW w:type="dxa" w:w="12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Shimoni</w:t>
            </w:r>
          </w:p>
        </w:tc>
        <w:tc>
          <w:tcPr>
            <w:tcW w:type="dxa" w:w="12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Majoreni</w:t>
            </w:r>
          </w:p>
        </w:tc>
        <w:tc>
          <w:tcPr>
            <w:tcW w:type="dxa" w:w="11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Vanga</w:t>
            </w:r>
          </w:p>
        </w:tc>
        <w:tc>
          <w:tcPr>
            <w:tcW w:type="dxa" w:w="14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Msambweni</w:t>
            </w:r>
          </w:p>
        </w:tc>
        <w:tc>
          <w:tcPr>
            <w:tcW w:type="dxa" w:w="13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Other sites</w:t>
            </w:r>
          </w:p>
        </w:tc>
        <w:tc>
          <w:tcPr>
            <w:tcW w:type="dxa" w:w="976"/>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Total</w:t>
            </w:r>
          </w:p>
        </w:tc>
      </w:tr>
      <w:tr>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Fisher</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25 (38.5%)</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14 (21.5%)</w:t>
            </w:r>
          </w:p>
        </w:tc>
        <w:tc>
          <w:tcPr>
            <w:tcW w:type="dxa" w:w="11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21 (32.3%)</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3 (4.6%)</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2 (3.1%)</w:t>
            </w:r>
          </w:p>
        </w:tc>
        <w:tc>
          <w:tcPr>
            <w:tcW w:type="dxa" w:w="97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65 (100.0%)</w:t>
            </w:r>
          </w:p>
        </w:tc>
      </w:tr>
      <w:tr>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Middleman</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11 (50.0%)</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7 (31.8%)</w:t>
            </w:r>
          </w:p>
        </w:tc>
        <w:tc>
          <w:tcPr>
            <w:tcW w:type="dxa" w:w="11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4 (18.2%)</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97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22 (100.0%)</w:t>
            </w:r>
          </w:p>
        </w:tc>
      </w:tr>
      <w:tr>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Hotelier</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 (20.0%)</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1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4 (80.0%)</w:t>
            </w:r>
          </w:p>
        </w:tc>
        <w:tc>
          <w:tcPr>
            <w:tcW w:type="dxa" w:w="97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5 (100.0%)</w:t>
            </w:r>
          </w:p>
        </w:tc>
      </w:tr>
      <w:tr>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Exporter</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1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4 (100.0%)</w:t>
            </w:r>
          </w:p>
        </w:tc>
        <w:tc>
          <w:tcPr>
            <w:tcW w:type="dxa" w:w="97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4 (100.0%)</w:t>
            </w:r>
          </w:p>
        </w:tc>
      </w:tr>
      <w:tr>
        <w:tc>
          <w:tcPr>
            <w:tcW w:type="dxa" w:w="17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20"/>
                <w:szCs w:val="20"/>
              </w:rPr>
              <w:t xml:space="preserve">Total</w:t>
            </w:r>
          </w:p>
        </w:tc>
        <w:tc>
          <w:tcPr>
            <w:tcW w:type="dxa" w:w="125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37 (38.5%)</w:t>
            </w:r>
          </w:p>
        </w:tc>
        <w:tc>
          <w:tcPr>
            <w:tcW w:type="dxa" w:w="125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21 (21.9%)</w:t>
            </w:r>
          </w:p>
        </w:tc>
        <w:tc>
          <w:tcPr>
            <w:tcW w:type="dxa" w:w="115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25 (26.0%)</w:t>
            </w:r>
          </w:p>
        </w:tc>
        <w:tc>
          <w:tcPr>
            <w:tcW w:type="dxa" w:w="14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3 (3.1%)</w:t>
            </w:r>
          </w:p>
        </w:tc>
        <w:tc>
          <w:tcPr>
            <w:tcW w:type="dxa" w:w="13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10 (10.4%)</w:t>
            </w:r>
          </w:p>
        </w:tc>
        <w:tc>
          <w:tcPr>
            <w:tcW w:type="dxa" w:w="976"/>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96 (100.0%)</w:t>
            </w:r>
          </w:p>
        </w:tc>
      </w:tr>
    </w:tbl>
    <w:p>
      <w:pPr>
        <w:spacing w:after="120" w:before="0" w:line="360"/>
        <w:jc w:val="both"/>
      </w:pPr>
      <w:r>
        <w:rPr>
          <w:rFonts w:ascii="Times New Roman" w:cs="Times New Roman" w:eastAsia="Times New Roman" w:hAnsi="Times New Roman"/>
          <w:color w:val="000000"/>
          <w:sz w:val="24"/>
          <w:szCs w:val="24"/>
        </w:rPr>
        <w:t xml:space="preserve">Table 2 shows that fishers accounted for 65 of the 96 respondents, middlemen for 22, hoteliers for five and exporters for four. The mix differed sharply by site. Shimoni and Majoreni were the only places where fishers and middlemen were both well represented; Vanga returned 21 fishers against four middlemen; Msambweni returned three fishers and nothing else. Hoteliers and exporters sat almost entirely in the Other sites group, which is where the hotels and packhouses buying South Coast crabs actually operate.</w:t>
      </w:r>
    </w:p>
    <w:p>
      <w:pPr>
        <w:spacing w:after="120" w:before="0" w:line="360"/>
        <w:jc w:val="both"/>
      </w:pPr>
      <w:r>
        <w:rPr>
          <w:rFonts w:ascii="Times New Roman" w:cs="Times New Roman" w:eastAsia="Times New Roman" w:hAnsi="Times New Roman"/>
          <w:color w:val="000000"/>
          <w:sz w:val="24"/>
          <w:szCs w:val="24"/>
        </w:rPr>
        <w:t xml:space="preserve">This distribution sets the limits of the site comparisons. No middleman was sampled at Msambweni, so middleman tests use the three sites where traders were interviewed. Msambweni is left out of the middleman tables rather than shown as a column of zeros: that is a gap in the realised sample, not evidence that no middlemen work there. Its three fisher respondents should be read with that in mind.</w:t>
      </w:r>
    </w:p>
    <w:p>
      <w:pPr>
        <w:pStyle w:val="Heading2"/>
        <w:spacing w:after="140" w:before="280" w:line="360"/>
      </w:pPr>
      <w:r>
        <w:rPr>
          <w:rFonts w:ascii="Times New Roman" w:cs="Times New Roman" w:eastAsia="Times New Roman" w:hAnsi="Times New Roman"/>
          <w:b/>
          <w:bCs/>
          <w:color w:val="000000"/>
          <w:sz w:val="26"/>
          <w:szCs w:val="26"/>
        </w:rPr>
        <w:t xml:space="preserve">4.3 Objective One: Profile of Mud Crab Actors and Their Characteristics</w:t>
      </w:r>
    </w:p>
    <w:p>
      <w:pPr>
        <w:spacing w:after="120" w:before="0" w:line="360"/>
        <w:jc w:val="both"/>
      </w:pPr>
      <w:r>
        <w:rPr>
          <w:rFonts w:ascii="Times New Roman" w:cs="Times New Roman" w:eastAsia="Times New Roman" w:hAnsi="Times New Roman"/>
          <w:color w:val="000000"/>
          <w:sz w:val="24"/>
          <w:szCs w:val="24"/>
        </w:rPr>
        <w:t xml:space="preserve">Objective One sought to profile the socio-economic and business characteristics of mud crab fishery actors. Nineteen characteristics were examined, grouped below into demographic and personal characteristics, business and operational characteristics, and knowledge, training and group membership.</w:t>
      </w:r>
    </w:p>
    <w:p>
      <w:pPr>
        <w:pStyle w:val="Heading3"/>
        <w:spacing w:after="120" w:before="240" w:line="360"/>
      </w:pPr>
      <w:r>
        <w:rPr>
          <w:rFonts w:ascii="Times New Roman" w:cs="Times New Roman" w:eastAsia="Times New Roman" w:hAnsi="Times New Roman"/>
          <w:b/>
          <w:bCs/>
          <w:color w:val="000000"/>
          <w:sz w:val="24"/>
          <w:szCs w:val="24"/>
        </w:rPr>
        <w:t xml:space="preserve">4.3.1 Demographic and Personal Characteristics</w:t>
      </w:r>
    </w:p>
    <w:p>
      <w:pPr>
        <w:spacing w:after="0" w:before="240" w:line="240"/>
      </w:pPr>
      <w:r>
        <w:rPr>
          <w:rFonts w:ascii="Times New Roman" w:cs="Times New Roman" w:eastAsia="Times New Roman" w:hAnsi="Times New Roman"/>
          <w:b/>
          <w:bCs/>
          <w:color w:val="000000"/>
          <w:sz w:val="24"/>
          <w:szCs w:val="24"/>
        </w:rPr>
        <w:t xml:space="preserve">Table 3</w:t>
      </w:r>
    </w:p>
    <w:p>
      <w:pPr>
        <w:spacing w:after="120" w:before="0" w:line="240"/>
      </w:pPr>
      <w:r>
        <w:rPr>
          <w:rFonts w:ascii="Times New Roman" w:cs="Times New Roman" w:eastAsia="Times New Roman" w:hAnsi="Times New Roman"/>
          <w:b w:val="false"/>
          <w:bCs w:val="false"/>
          <w:i/>
          <w:iCs/>
          <w:color w:val="000000"/>
          <w:sz w:val="24"/>
          <w:szCs w:val="24"/>
        </w:rPr>
        <w:t xml:space="preserve">Age Group of Fishers, Middlemen, Hoteliers and Exporters by BMU</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1850"/>
        <w:gridCol w:w="1250"/>
        <w:gridCol w:w="900"/>
        <w:gridCol w:w="820"/>
        <w:gridCol w:w="820"/>
        <w:gridCol w:w="760"/>
        <w:gridCol w:w="900"/>
        <w:gridCol w:w="880"/>
        <w:gridCol w:w="846"/>
      </w:tblGrid>
      <w:tr>
        <w:trPr>
          <w:tblHeader/>
        </w:trPr>
        <w:tc>
          <w:tcPr>
            <w:tcW w:type="dxa" w:w="18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17"/>
                <w:szCs w:val="17"/>
              </w:rPr>
              <w:t xml:space="preserve">Characteristic / response</w:t>
            </w:r>
          </w:p>
        </w:tc>
        <w:tc>
          <w:tcPr>
            <w:tcW w:type="dxa" w:w="12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Actor</w:t>
            </w:r>
          </w:p>
        </w:tc>
        <w:tc>
          <w:tcPr>
            <w:tcW w:type="dxa" w:w="9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Overall</w:t>
            </w:r>
          </w:p>
        </w:tc>
        <w:tc>
          <w:tcPr>
            <w:tcW w:type="dxa" w:w="82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Shimoni</w:t>
            </w:r>
          </w:p>
        </w:tc>
        <w:tc>
          <w:tcPr>
            <w:tcW w:type="dxa" w:w="82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Majoreni</w:t>
            </w:r>
          </w:p>
        </w:tc>
        <w:tc>
          <w:tcPr>
            <w:tcW w:type="dxa" w:w="76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Vanga</w:t>
            </w:r>
          </w:p>
        </w:tc>
        <w:tc>
          <w:tcPr>
            <w:tcW w:type="dxa" w:w="9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Msambweni</w:t>
            </w:r>
          </w:p>
        </w:tc>
        <w:tc>
          <w:tcPr>
            <w:tcW w:type="dxa" w:w="88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Other sites</w:t>
            </w:r>
          </w:p>
        </w:tc>
        <w:tc>
          <w:tcPr>
            <w:tcW w:type="dxa" w:w="846"/>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BMU p-value</w:t>
            </w:r>
          </w:p>
        </w:tc>
      </w:tr>
      <w:tr>
        <w:tc>
          <w:tcPr>
            <w:tcW w:type="dxa" w:w="9026"/>
            <w:gridSpan w:val="9"/>
            <w:tcBorders>
              <w:top w:val="none" w:color="FFFFFF" w:sz="0"/>
              <w:left w:val="none" w:color="FFFFFF" w:sz="0"/>
              <w:bottom w:val="none" w:color="FFFFFF" w:sz="0"/>
              <w:right w:val="none" w:color="FFFFFF" w:sz="0"/>
            </w:tcBorders>
            <w:tcMar>
              <w:top w:type="dxa" w:w="90"/>
              <w:left w:type="dxa" w:w="90"/>
              <w:bottom w:type="dxa" w:w="30"/>
              <w:right w:type="dxa" w:w="90"/>
            </w:tcMar>
          </w:tcPr>
          <w:p>
            <w:pPr>
              <w:spacing w:after="20" w:before="20" w:line="240"/>
              <w:jc w:val="left"/>
            </w:pPr>
            <w:r>
              <w:rPr>
                <w:rFonts w:ascii="Times New Roman" w:cs="Times New Roman" w:eastAsia="Times New Roman" w:hAnsi="Times New Roman"/>
                <w:b w:val="false"/>
                <w:bCs w:val="false"/>
                <w:i/>
                <w:iCs/>
                <w:color w:val="000000"/>
                <w:sz w:val="17"/>
                <w:szCs w:val="17"/>
              </w:rPr>
              <w:t xml:space="preserve">Age group</w:t>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Under 18</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(6.2%)</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(16.0%)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.004</w:t>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18-35</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35 (53.8%)</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16 (64.0%)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5 (35.7%)</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12 (57.1%)</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 (66.7%)</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36-49</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12 (18.5%)</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5 (20.0%)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(7.1%)</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6 (28.6%)</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50-60</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10 (15.4%)</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5 (35.7%)</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 (14.3%)</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 (100.0%)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Over 60</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(6.2%)</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 (21.4%)</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(33.3%)</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Under 18</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22</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.932</w:t>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18-35</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5 (22.7%)</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 (27.3%)</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(14.3%)</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(25.0%)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36-49</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11 (50.0%)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6 (54.5%)</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 (42.9%)</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 (50.0%)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50-60</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5 (22.7%)</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 (18.2%)</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 (28.6%)</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(25.0%)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Over 60</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(4.5%)</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(14.3%)</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Under 18</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18-35</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(80.0%)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 (75.0%)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36-49</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(20.0%)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(25.0%)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50-60</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Over 60</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Under 18</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4</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18-35</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36-49</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50-60</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Over 60</w:t>
            </w:r>
          </w:p>
        </w:tc>
        <w:tc>
          <w:tcPr>
            <w:tcW w:type="dxa" w:w="125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c>
          <w:tcPr>
            <w:tcW w:type="dxa" w:w="90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bl>
    <w:p>
      <w:pPr>
        <w:spacing w:after="120" w:before="0" w:line="360"/>
        <w:jc w:val="both"/>
      </w:pPr>
      <w:r>
        <w:rPr>
          <w:rFonts w:ascii="Times New Roman" w:cs="Times New Roman" w:eastAsia="Times New Roman" w:hAnsi="Times New Roman"/>
          <w:color w:val="000000"/>
          <w:sz w:val="24"/>
          <w:szCs w:val="24"/>
        </w:rPr>
        <w:t xml:space="preserve">As shown in Table 3, the largest age band was 18–35 among fishers (35, 53.8%) and hoteliers (4, 80.0%), and 36–49 among middlemen (11, 50.0%) and all four exporters. The 18–35 band led at every fisher site except Majoreni, where it tied with the 50–60 band at 5 (35.7%) each. All four fishers under 18 were at Shimoni. Fisher age was associated with BMU (p = .004); middleman age was not (p = .932).</w:t>
      </w:r>
    </w:p>
    <w:p>
      <w:pPr>
        <w:spacing w:after="0" w:before="240" w:line="240"/>
      </w:pPr>
      <w:r>
        <w:rPr>
          <w:rFonts w:ascii="Times New Roman" w:cs="Times New Roman" w:eastAsia="Times New Roman" w:hAnsi="Times New Roman"/>
          <w:b/>
          <w:bCs/>
          <w:color w:val="000000"/>
          <w:sz w:val="24"/>
          <w:szCs w:val="24"/>
        </w:rPr>
        <w:t xml:space="preserve">Table 4</w:t>
      </w:r>
    </w:p>
    <w:p>
      <w:pPr>
        <w:spacing w:after="120" w:before="0" w:line="240"/>
      </w:pPr>
      <w:r>
        <w:rPr>
          <w:rFonts w:ascii="Times New Roman" w:cs="Times New Roman" w:eastAsia="Times New Roman" w:hAnsi="Times New Roman"/>
          <w:b w:val="false"/>
          <w:bCs w:val="false"/>
          <w:i/>
          <w:iCs/>
          <w:color w:val="000000"/>
          <w:sz w:val="24"/>
          <w:szCs w:val="24"/>
        </w:rPr>
        <w:t xml:space="preserve">Gender of Fishers, Middlemen, Hoteliers and Exporters by BMU</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1850"/>
        <w:gridCol w:w="1250"/>
        <w:gridCol w:w="900"/>
        <w:gridCol w:w="820"/>
        <w:gridCol w:w="820"/>
        <w:gridCol w:w="760"/>
        <w:gridCol w:w="900"/>
        <w:gridCol w:w="880"/>
        <w:gridCol w:w="846"/>
      </w:tblGrid>
      <w:tr>
        <w:trPr>
          <w:tblHeader/>
        </w:trPr>
        <w:tc>
          <w:tcPr>
            <w:tcW w:type="dxa" w:w="18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17"/>
                <w:szCs w:val="17"/>
              </w:rPr>
              <w:t xml:space="preserve">Characteristic / response</w:t>
            </w:r>
          </w:p>
        </w:tc>
        <w:tc>
          <w:tcPr>
            <w:tcW w:type="dxa" w:w="12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Actor</w:t>
            </w:r>
          </w:p>
        </w:tc>
        <w:tc>
          <w:tcPr>
            <w:tcW w:type="dxa" w:w="9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Overall</w:t>
            </w:r>
          </w:p>
        </w:tc>
        <w:tc>
          <w:tcPr>
            <w:tcW w:type="dxa" w:w="82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Shimoni</w:t>
            </w:r>
          </w:p>
        </w:tc>
        <w:tc>
          <w:tcPr>
            <w:tcW w:type="dxa" w:w="82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Majoreni</w:t>
            </w:r>
          </w:p>
        </w:tc>
        <w:tc>
          <w:tcPr>
            <w:tcW w:type="dxa" w:w="76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Vanga</w:t>
            </w:r>
          </w:p>
        </w:tc>
        <w:tc>
          <w:tcPr>
            <w:tcW w:type="dxa" w:w="9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Msambweni</w:t>
            </w:r>
          </w:p>
        </w:tc>
        <w:tc>
          <w:tcPr>
            <w:tcW w:type="dxa" w:w="88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Other sites</w:t>
            </w:r>
          </w:p>
        </w:tc>
        <w:tc>
          <w:tcPr>
            <w:tcW w:type="dxa" w:w="846"/>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BMU p-value</w:t>
            </w:r>
          </w:p>
        </w:tc>
      </w:tr>
      <w:tr>
        <w:tc>
          <w:tcPr>
            <w:tcW w:type="dxa" w:w="9026"/>
            <w:gridSpan w:val="9"/>
            <w:tcBorders>
              <w:top w:val="none" w:color="FFFFFF" w:sz="0"/>
              <w:left w:val="none" w:color="FFFFFF" w:sz="0"/>
              <w:bottom w:val="none" w:color="FFFFFF" w:sz="0"/>
              <w:right w:val="none" w:color="FFFFFF" w:sz="0"/>
            </w:tcBorders>
            <w:tcMar>
              <w:top w:type="dxa" w:w="90"/>
              <w:left w:type="dxa" w:w="90"/>
              <w:bottom w:type="dxa" w:w="30"/>
              <w:right w:type="dxa" w:w="90"/>
            </w:tcMar>
          </w:tcPr>
          <w:p>
            <w:pPr>
              <w:spacing w:after="20" w:before="20" w:line="240"/>
              <w:jc w:val="left"/>
            </w:pPr>
            <w:r>
              <w:rPr>
                <w:rFonts w:ascii="Times New Roman" w:cs="Times New Roman" w:eastAsia="Times New Roman" w:hAnsi="Times New Roman"/>
                <w:b w:val="false"/>
                <w:bCs w:val="false"/>
                <w:i/>
                <w:iCs/>
                <w:color w:val="000000"/>
                <w:sz w:val="17"/>
                <w:szCs w:val="17"/>
              </w:rPr>
              <w:t xml:space="preserve">Gender</w:t>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Male</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65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25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14 (100.0%)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21 (100.0%)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 (100.0%)</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 (100.0%)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Female</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Male</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22</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22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11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7 (100.0%)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Female</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Male</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(80.0%)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Female</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(20.0%)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Male</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4</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Female</w:t>
            </w:r>
          </w:p>
        </w:tc>
        <w:tc>
          <w:tcPr>
            <w:tcW w:type="dxa" w:w="125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c>
          <w:tcPr>
            <w:tcW w:type="dxa" w:w="90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bl>
    <w:p>
      <w:pPr>
        <w:spacing w:after="120" w:before="0" w:line="360"/>
        <w:jc w:val="both"/>
      </w:pPr>
      <w:r>
        <w:rPr>
          <w:rFonts w:ascii="Times New Roman" w:cs="Times New Roman" w:eastAsia="Times New Roman" w:hAnsi="Times New Roman"/>
          <w:color w:val="000000"/>
          <w:sz w:val="24"/>
          <w:szCs w:val="24"/>
        </w:rPr>
        <w:t xml:space="preserve">Table 4 shows a value chain that was almost entirely male: all 65 fishers, all 22 middlemen, four of five hoteliers (80.0%) and all four exporters. The one woman was the hotelier recorded at Shimoni. Gender varied too little among fishers and middlemen to support a test.</w:t>
      </w:r>
    </w:p>
    <w:p>
      <w:pPr>
        <w:spacing w:after="120" w:before="0" w:line="360"/>
        <w:jc w:val="both"/>
      </w:pPr>
      <w:r>
        <w:rPr>
          <w:rFonts w:ascii="Times New Roman" w:cs="Times New Roman" w:eastAsia="Times New Roman" w:hAnsi="Times New Roman"/>
          <w:color w:val="000000"/>
          <w:sz w:val="24"/>
          <w:szCs w:val="24"/>
        </w:rPr>
        <w:t xml:space="preserve">Figure 5 shows primary education as the commonest level among fishers (44, 67.7%) and middlemen (16, 72.7%), while hoteliers held certificates (2, 40.0%) or diplomas (3, 60.0%) and exporters diplomas (3, 75.0%) or a degree (1, 25.0%). No fisher or middleman reported schooling beyond secondary level and 17 fishers (26.2%) reported none at all. Education was not associated with BMU for fishers (p = .334) or middlemen (p = .928).</w:t>
      </w:r>
    </w:p>
    <w:p>
      <w:pPr>
        <w:spacing w:after="0" w:before="240" w:line="240"/>
      </w:pPr>
      <w:r>
        <w:rPr>
          <w:rFonts w:ascii="Times New Roman" w:cs="Times New Roman" w:eastAsia="Times New Roman" w:hAnsi="Times New Roman"/>
          <w:b/>
          <w:bCs/>
          <w:color w:val="000000"/>
          <w:sz w:val="24"/>
          <w:szCs w:val="24"/>
        </w:rPr>
        <w:t xml:space="preserve">Figure 5</w:t>
      </w:r>
    </w:p>
    <w:p>
      <w:pPr>
        <w:spacing w:after="120" w:before="0" w:line="240"/>
      </w:pPr>
      <w:r>
        <w:rPr>
          <w:rFonts w:ascii="Times New Roman" w:cs="Times New Roman" w:eastAsia="Times New Roman" w:hAnsi="Times New Roman"/>
          <w:i/>
          <w:iCs/>
          <w:color w:val="000000"/>
          <w:sz w:val="24"/>
          <w:szCs w:val="24"/>
        </w:rPr>
        <w:t xml:space="preserve">Highest Education Attained Within Each Actor Category</w:t>
      </w:r>
    </w:p>
    <w:p>
      <w:pPr>
        <w:spacing w:after="240"/>
        <w:jc w:val="center"/>
      </w:pPr>
      <w:r>
        <w:drawing>
          <wp:inline distT="0" distB="0" distL="0" distR="0">
            <wp:extent cx="5715000" cy="2628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715000" cy="2628900"/>
                    </a:xfrm>
                    <a:prstGeom prst="rect">
                      <a:avLst/>
                    </a:prstGeom>
                  </pic:spPr>
                </pic:pic>
              </a:graphicData>
            </a:graphic>
          </wp:inline>
        </w:drawing>
      </w:r>
    </w:p>
    <w:p>
      <w:pPr>
        <w:spacing w:after="0" w:before="240" w:line="240"/>
      </w:pPr>
      <w:r>
        <w:rPr>
          <w:rFonts w:ascii="Times New Roman" w:cs="Times New Roman" w:eastAsia="Times New Roman" w:hAnsi="Times New Roman"/>
          <w:b/>
          <w:bCs/>
          <w:color w:val="000000"/>
          <w:sz w:val="24"/>
          <w:szCs w:val="24"/>
        </w:rPr>
        <w:t xml:space="preserve">Table 5</w:t>
      </w:r>
    </w:p>
    <w:p>
      <w:pPr>
        <w:spacing w:after="120" w:before="0" w:line="240"/>
      </w:pPr>
      <w:r>
        <w:rPr>
          <w:rFonts w:ascii="Times New Roman" w:cs="Times New Roman" w:eastAsia="Times New Roman" w:hAnsi="Times New Roman"/>
          <w:b w:val="false"/>
          <w:bCs w:val="false"/>
          <w:i/>
          <w:iCs/>
          <w:color w:val="000000"/>
          <w:sz w:val="24"/>
          <w:szCs w:val="24"/>
        </w:rPr>
        <w:t xml:space="preserve">Ethnic Group of Fishers, Middlemen, Hoteliers and Exporters by BMU</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1850"/>
        <w:gridCol w:w="1250"/>
        <w:gridCol w:w="900"/>
        <w:gridCol w:w="820"/>
        <w:gridCol w:w="820"/>
        <w:gridCol w:w="760"/>
        <w:gridCol w:w="900"/>
        <w:gridCol w:w="880"/>
        <w:gridCol w:w="846"/>
      </w:tblGrid>
      <w:tr>
        <w:trPr>
          <w:tblHeader/>
        </w:trPr>
        <w:tc>
          <w:tcPr>
            <w:tcW w:type="dxa" w:w="18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17"/>
                <w:szCs w:val="17"/>
              </w:rPr>
              <w:t xml:space="preserve">Characteristic / response</w:t>
            </w:r>
          </w:p>
        </w:tc>
        <w:tc>
          <w:tcPr>
            <w:tcW w:type="dxa" w:w="12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Actor</w:t>
            </w:r>
          </w:p>
        </w:tc>
        <w:tc>
          <w:tcPr>
            <w:tcW w:type="dxa" w:w="9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Overall</w:t>
            </w:r>
          </w:p>
        </w:tc>
        <w:tc>
          <w:tcPr>
            <w:tcW w:type="dxa" w:w="82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Shimoni</w:t>
            </w:r>
          </w:p>
        </w:tc>
        <w:tc>
          <w:tcPr>
            <w:tcW w:type="dxa" w:w="82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Majoreni</w:t>
            </w:r>
          </w:p>
        </w:tc>
        <w:tc>
          <w:tcPr>
            <w:tcW w:type="dxa" w:w="76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Vanga</w:t>
            </w:r>
          </w:p>
        </w:tc>
        <w:tc>
          <w:tcPr>
            <w:tcW w:type="dxa" w:w="9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Msambweni</w:t>
            </w:r>
          </w:p>
        </w:tc>
        <w:tc>
          <w:tcPr>
            <w:tcW w:type="dxa" w:w="88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Other sites</w:t>
            </w:r>
          </w:p>
        </w:tc>
        <w:tc>
          <w:tcPr>
            <w:tcW w:type="dxa" w:w="846"/>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BMU p-value</w:t>
            </w:r>
          </w:p>
        </w:tc>
      </w:tr>
      <w:tr>
        <w:tc>
          <w:tcPr>
            <w:tcW w:type="dxa" w:w="9026"/>
            <w:gridSpan w:val="9"/>
            <w:tcBorders>
              <w:top w:val="none" w:color="FFFFFF" w:sz="0"/>
              <w:left w:val="none" w:color="FFFFFF" w:sz="0"/>
              <w:bottom w:val="none" w:color="FFFFFF" w:sz="0"/>
              <w:right w:val="none" w:color="FFFFFF" w:sz="0"/>
            </w:tcBorders>
            <w:tcMar>
              <w:top w:type="dxa" w:w="90"/>
              <w:left w:type="dxa" w:w="90"/>
              <w:bottom w:type="dxa" w:w="30"/>
              <w:right w:type="dxa" w:w="90"/>
            </w:tcMar>
          </w:tcPr>
          <w:p>
            <w:pPr>
              <w:spacing w:after="20" w:before="20" w:line="240"/>
              <w:jc w:val="left"/>
            </w:pPr>
            <w:r>
              <w:rPr>
                <w:rFonts w:ascii="Times New Roman" w:cs="Times New Roman" w:eastAsia="Times New Roman" w:hAnsi="Times New Roman"/>
                <w:b w:val="false"/>
                <w:bCs w:val="false"/>
                <w:i/>
                <w:iCs/>
                <w:color w:val="000000"/>
                <w:sz w:val="17"/>
                <w:szCs w:val="17"/>
              </w:rPr>
              <w:t xml:space="preserve">Ethnic group</w:t>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Digo</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36 (55.4%)</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12 (48.0%)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8 (57.1%)</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13 (61.9%)</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 (66.7%)</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(50.0%)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.368</w:t>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Duruma</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17 (26.2%)</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7 (28.0%)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6 (42.9%)</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(19.0%)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Vumba</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12 (18.5%)</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6 (24.0%)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(19.0%)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(33.3%)</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(50.0%)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Swahili</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Kikuyu</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Chinese</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Digo</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22</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15 (68.2%)</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8 (72.7%)</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5 (71.4%)</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 (50.0%)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.508</w:t>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Duruma</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6 (27.3%)</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 (27.3%)</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(14.3%)</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 (50.0%)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Vumba</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(4.5%)</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(14.3%)</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Swahili</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Kikuyu</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Chinese</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Digo</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 (40.0%)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 (50.0%)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Duruma</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(20.0%)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(25.0%)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Vumba</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 (40.0%)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(25.0%)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Swahili</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Kikuyu</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Chinese</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Digo</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4</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Duruma</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Vumba</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Swahili</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(25.0%)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(25.0%)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Kikuyu</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(25.0%)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(25.0%)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Chinese</w:t>
            </w:r>
          </w:p>
        </w:tc>
        <w:tc>
          <w:tcPr>
            <w:tcW w:type="dxa" w:w="125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c>
          <w:tcPr>
            <w:tcW w:type="dxa" w:w="90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 (50.0%)</w:t>
            </w:r>
          </w:p>
        </w:tc>
        <w:tc>
          <w:tcPr>
            <w:tcW w:type="dxa" w:w="82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 (50.0%)</w:t>
            </w:r>
          </w:p>
        </w:tc>
        <w:tc>
          <w:tcPr>
            <w:tcW w:type="dxa" w:w="846"/>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bl>
    <w:p>
      <w:pPr>
        <w:spacing w:after="120" w:before="0" w:line="360"/>
        <w:jc w:val="both"/>
      </w:pPr>
      <w:r>
        <w:rPr>
          <w:rFonts w:ascii="Times New Roman" w:cs="Times New Roman" w:eastAsia="Times New Roman" w:hAnsi="Times New Roman"/>
          <w:color w:val="000000"/>
          <w:sz w:val="24"/>
          <w:szCs w:val="24"/>
        </w:rPr>
        <w:t xml:space="preserve">Table 5 reports ethnic group. The Digo were the largest group among fishers (36, 55.4%) and middlemen (15, 68.2%), followed by the Duruma and the Vumba, and hoteliers split between Digo (2, 40.0%), Vumba (2, 40.0%) and Duruma (1, 20.0%). Exporters drew on groups absent upstream: Chinese (2, 50.0%), Kikuyu (1, 25.0%) and Swahili (1, 25.0%). Ethnicity was not associated with BMU for fishers (p = .368) or middlemen (p = .508).</w:t>
      </w:r>
    </w:p>
    <w:p>
      <w:pPr>
        <w:spacing w:after="0" w:before="240" w:line="240"/>
      </w:pPr>
      <w:r>
        <w:rPr>
          <w:rFonts w:ascii="Times New Roman" w:cs="Times New Roman" w:eastAsia="Times New Roman" w:hAnsi="Times New Roman"/>
          <w:b/>
          <w:bCs/>
          <w:color w:val="000000"/>
          <w:sz w:val="24"/>
          <w:szCs w:val="24"/>
        </w:rPr>
        <w:t xml:space="preserve">Table 6</w:t>
      </w:r>
    </w:p>
    <w:p>
      <w:pPr>
        <w:spacing w:after="120" w:before="0" w:line="240"/>
      </w:pPr>
      <w:r>
        <w:rPr>
          <w:rFonts w:ascii="Times New Roman" w:cs="Times New Roman" w:eastAsia="Times New Roman" w:hAnsi="Times New Roman"/>
          <w:b w:val="false"/>
          <w:bCs w:val="false"/>
          <w:i/>
          <w:iCs/>
          <w:color w:val="000000"/>
          <w:sz w:val="24"/>
          <w:szCs w:val="24"/>
        </w:rPr>
        <w:t xml:space="preserve">Marital Status of Fishers, Middlemen, Hoteliers and Exporters by BMU</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1850"/>
        <w:gridCol w:w="1250"/>
        <w:gridCol w:w="900"/>
        <w:gridCol w:w="820"/>
        <w:gridCol w:w="820"/>
        <w:gridCol w:w="760"/>
        <w:gridCol w:w="900"/>
        <w:gridCol w:w="880"/>
        <w:gridCol w:w="846"/>
      </w:tblGrid>
      <w:tr>
        <w:trPr>
          <w:tblHeader/>
        </w:trPr>
        <w:tc>
          <w:tcPr>
            <w:tcW w:type="dxa" w:w="18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17"/>
                <w:szCs w:val="17"/>
              </w:rPr>
              <w:t xml:space="preserve">Characteristic / response</w:t>
            </w:r>
          </w:p>
        </w:tc>
        <w:tc>
          <w:tcPr>
            <w:tcW w:type="dxa" w:w="12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Actor</w:t>
            </w:r>
          </w:p>
        </w:tc>
        <w:tc>
          <w:tcPr>
            <w:tcW w:type="dxa" w:w="9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Overall</w:t>
            </w:r>
          </w:p>
        </w:tc>
        <w:tc>
          <w:tcPr>
            <w:tcW w:type="dxa" w:w="82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Shimoni</w:t>
            </w:r>
          </w:p>
        </w:tc>
        <w:tc>
          <w:tcPr>
            <w:tcW w:type="dxa" w:w="82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Majoreni</w:t>
            </w:r>
          </w:p>
        </w:tc>
        <w:tc>
          <w:tcPr>
            <w:tcW w:type="dxa" w:w="76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Vanga</w:t>
            </w:r>
          </w:p>
        </w:tc>
        <w:tc>
          <w:tcPr>
            <w:tcW w:type="dxa" w:w="9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Msambweni</w:t>
            </w:r>
          </w:p>
        </w:tc>
        <w:tc>
          <w:tcPr>
            <w:tcW w:type="dxa" w:w="88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Other sites</w:t>
            </w:r>
          </w:p>
        </w:tc>
        <w:tc>
          <w:tcPr>
            <w:tcW w:type="dxa" w:w="846"/>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BMU p-value</w:t>
            </w:r>
          </w:p>
        </w:tc>
      </w:tr>
      <w:tr>
        <w:tc>
          <w:tcPr>
            <w:tcW w:type="dxa" w:w="9026"/>
            <w:gridSpan w:val="9"/>
            <w:tcBorders>
              <w:top w:val="none" w:color="FFFFFF" w:sz="0"/>
              <w:left w:val="none" w:color="FFFFFF" w:sz="0"/>
              <w:bottom w:val="none" w:color="FFFFFF" w:sz="0"/>
              <w:right w:val="none" w:color="FFFFFF" w:sz="0"/>
            </w:tcBorders>
            <w:tcMar>
              <w:top w:type="dxa" w:w="90"/>
              <w:left w:type="dxa" w:w="90"/>
              <w:bottom w:type="dxa" w:w="30"/>
              <w:right w:type="dxa" w:w="90"/>
            </w:tcMar>
          </w:tcPr>
          <w:p>
            <w:pPr>
              <w:spacing w:after="20" w:before="20" w:line="240"/>
              <w:jc w:val="left"/>
            </w:pPr>
            <w:r>
              <w:rPr>
                <w:rFonts w:ascii="Times New Roman" w:cs="Times New Roman" w:eastAsia="Times New Roman" w:hAnsi="Times New Roman"/>
                <w:b w:val="false"/>
                <w:bCs w:val="false"/>
                <w:i/>
                <w:iCs/>
                <w:color w:val="000000"/>
                <w:sz w:val="17"/>
                <w:szCs w:val="17"/>
              </w:rPr>
              <w:t xml:space="preserve">Marital status</w:t>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Single</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20 (30.8%)</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12 (48.0%)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5 (35.7%)</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 (14.3%)</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.049</w:t>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Married</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41 (63.1%)</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12 (48.0%)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8 (57.1%)</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18 (85.7%)</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 (66.7%)</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(50.0%)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Separated / divorced</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 (4.6%)</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(7.1%)</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(33.3%)</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(50.0%)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Widowed</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(1.5%)</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(4.0%)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Single</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22</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 (9.1%)</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(9.1%)</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(25.0%)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.665</w:t>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Married</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20 (90.9%)</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10 (90.9%)</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7 (100.0%)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 (75.0%)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Separated / divorced</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Widowed</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Single</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 (40.0%)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(25.0%)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Married</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 (60.0%)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 (75.0%)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Separated / divorced</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Widowed</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Single</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4</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Married</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Separated / divorced</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Widowed</w:t>
            </w:r>
          </w:p>
        </w:tc>
        <w:tc>
          <w:tcPr>
            <w:tcW w:type="dxa" w:w="125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c>
          <w:tcPr>
            <w:tcW w:type="dxa" w:w="90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bl>
    <w:p>
      <w:pPr>
        <w:spacing w:after="120" w:before="0" w:line="360"/>
        <w:jc w:val="both"/>
      </w:pPr>
      <w:r>
        <w:rPr>
          <w:rFonts w:ascii="Times New Roman" w:cs="Times New Roman" w:eastAsia="Times New Roman" w:hAnsi="Times New Roman"/>
          <w:color w:val="000000"/>
          <w:sz w:val="24"/>
          <w:szCs w:val="24"/>
        </w:rPr>
        <w:t xml:space="preserve">Table 6 shows most fishers (41, 63.1%) and almost all middlemen (20, 90.9%) married, as were all four exporters; hoteliers split two single (40.0%) to three married (60.0%). Marital status was associated with BMU among fishers at the margin (p = .049) but not among middlemen (p = .665).</w:t>
      </w:r>
    </w:p>
    <w:p>
      <w:pPr>
        <w:spacing w:after="0" w:before="240" w:line="240"/>
      </w:pPr>
      <w:r>
        <w:rPr>
          <w:rFonts w:ascii="Times New Roman" w:cs="Times New Roman" w:eastAsia="Times New Roman" w:hAnsi="Times New Roman"/>
          <w:b/>
          <w:bCs/>
          <w:color w:val="000000"/>
          <w:sz w:val="24"/>
          <w:szCs w:val="24"/>
        </w:rPr>
        <w:t xml:space="preserve">Table 7</w:t>
      </w:r>
    </w:p>
    <w:p>
      <w:pPr>
        <w:spacing w:after="120" w:before="0" w:line="240"/>
      </w:pPr>
      <w:r>
        <w:rPr>
          <w:rFonts w:ascii="Times New Roman" w:cs="Times New Roman" w:eastAsia="Times New Roman" w:hAnsi="Times New Roman"/>
          <w:b w:val="false"/>
          <w:bCs w:val="false"/>
          <w:i/>
          <w:iCs/>
          <w:color w:val="000000"/>
          <w:sz w:val="24"/>
          <w:szCs w:val="24"/>
        </w:rPr>
        <w:t xml:space="preserve">Years of Experience of Fishers, Middlemen, Hoteliers and Exporters by BMU</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1850"/>
        <w:gridCol w:w="1250"/>
        <w:gridCol w:w="900"/>
        <w:gridCol w:w="820"/>
        <w:gridCol w:w="820"/>
        <w:gridCol w:w="760"/>
        <w:gridCol w:w="900"/>
        <w:gridCol w:w="880"/>
        <w:gridCol w:w="846"/>
      </w:tblGrid>
      <w:tr>
        <w:trPr>
          <w:tblHeader/>
        </w:trPr>
        <w:tc>
          <w:tcPr>
            <w:tcW w:type="dxa" w:w="18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17"/>
                <w:szCs w:val="17"/>
              </w:rPr>
              <w:t xml:space="preserve">Characteristic / response</w:t>
            </w:r>
          </w:p>
        </w:tc>
        <w:tc>
          <w:tcPr>
            <w:tcW w:type="dxa" w:w="12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Actor</w:t>
            </w:r>
          </w:p>
        </w:tc>
        <w:tc>
          <w:tcPr>
            <w:tcW w:type="dxa" w:w="9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Overall</w:t>
            </w:r>
          </w:p>
        </w:tc>
        <w:tc>
          <w:tcPr>
            <w:tcW w:type="dxa" w:w="82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Shimoni</w:t>
            </w:r>
          </w:p>
        </w:tc>
        <w:tc>
          <w:tcPr>
            <w:tcW w:type="dxa" w:w="82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Majoreni</w:t>
            </w:r>
          </w:p>
        </w:tc>
        <w:tc>
          <w:tcPr>
            <w:tcW w:type="dxa" w:w="76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Vanga</w:t>
            </w:r>
          </w:p>
        </w:tc>
        <w:tc>
          <w:tcPr>
            <w:tcW w:type="dxa" w:w="9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Msambweni</w:t>
            </w:r>
          </w:p>
        </w:tc>
        <w:tc>
          <w:tcPr>
            <w:tcW w:type="dxa" w:w="88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Other sites</w:t>
            </w:r>
          </w:p>
        </w:tc>
        <w:tc>
          <w:tcPr>
            <w:tcW w:type="dxa" w:w="846"/>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BMU p-value</w:t>
            </w:r>
          </w:p>
        </w:tc>
      </w:tr>
      <w:tr>
        <w:tc>
          <w:tcPr>
            <w:tcW w:type="dxa" w:w="9026"/>
            <w:gridSpan w:val="9"/>
            <w:tcBorders>
              <w:top w:val="none" w:color="FFFFFF" w:sz="0"/>
              <w:left w:val="none" w:color="FFFFFF" w:sz="0"/>
              <w:bottom w:val="none" w:color="FFFFFF" w:sz="0"/>
              <w:right w:val="none" w:color="FFFFFF" w:sz="0"/>
            </w:tcBorders>
            <w:tcMar>
              <w:top w:type="dxa" w:w="90"/>
              <w:left w:type="dxa" w:w="90"/>
              <w:bottom w:type="dxa" w:w="30"/>
              <w:right w:type="dxa" w:w="90"/>
            </w:tcMar>
          </w:tcPr>
          <w:p>
            <w:pPr>
              <w:spacing w:after="20" w:before="20" w:line="240"/>
              <w:jc w:val="left"/>
            </w:pPr>
            <w:r>
              <w:rPr>
                <w:rFonts w:ascii="Times New Roman" w:cs="Times New Roman" w:eastAsia="Times New Roman" w:hAnsi="Times New Roman"/>
                <w:b w:val="false"/>
                <w:bCs w:val="false"/>
                <w:i/>
                <w:iCs/>
                <w:color w:val="000000"/>
                <w:sz w:val="17"/>
                <w:szCs w:val="17"/>
              </w:rPr>
              <w:t xml:space="preserve">Years of experience in the mud crab fishery</w:t>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Less than 5 years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(1.5%)</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(7.1%)</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.204</w:t>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5-10 years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22 (33.8%)</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10 (40.0%)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 (21.4%)</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8 (38.1%)</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(33.3%)</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11-20 years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22 (33.8%)</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12 (48.0%)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 (21.4%)</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6 (28.6%)</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(33.3%)</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Over 20 years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20 (30.8%)</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 (12.0%)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7 (50.0%)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7 (33.3%)</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(33.3%)</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 (100.0%)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Less than 5 years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22</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.747</w:t>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5-10 years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 (13.6%)</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 (18.2%)</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(25.0%)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11-20 years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 (13.6%)</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 (18.2%)</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(14.3%)</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Over 20 years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16 (72.7%)</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7 (63.6%)</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6 (85.7%)</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 (75.0%)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Less than 5 years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(80.0%)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 (75.0%)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5-10 years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(20.0%)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(25.0%)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11-20 years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Over 20 years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Less than 5 years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4</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 (50.0%)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 (50.0%)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5-10 years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 (50.0%)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 (50.0%)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11-20 years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Over 20 years</w:t>
            </w:r>
          </w:p>
        </w:tc>
        <w:tc>
          <w:tcPr>
            <w:tcW w:type="dxa" w:w="125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c>
          <w:tcPr>
            <w:tcW w:type="dxa" w:w="90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bl>
    <w:p>
      <w:pPr>
        <w:spacing w:after="120" w:before="0" w:line="360"/>
        <w:jc w:val="both"/>
      </w:pPr>
      <w:r>
        <w:rPr>
          <w:rFonts w:ascii="Times New Roman" w:cs="Times New Roman" w:eastAsia="Times New Roman" w:hAnsi="Times New Roman"/>
          <w:color w:val="000000"/>
          <w:sz w:val="24"/>
          <w:szCs w:val="24"/>
        </w:rPr>
        <w:t xml:space="preserve">Table 7 gives experience, which spread evenly across the fisher bands, 5–10 years (22, 33.8%), 11–20 years (22, 33.8%) and over 20 years (20, 30.8%), while 16 of 22 middlemen (72.7%) had more than twenty years. Hoteliers were newest, four of five (80.0%) under five years. Experience was not associated with BMU for fishers (p = .204) or middlemen (p = .747).</w:t>
      </w:r>
    </w:p>
    <w:p>
      <w:pPr>
        <w:spacing w:after="120" w:before="0" w:line="360"/>
        <w:jc w:val="both"/>
      </w:pPr>
      <w:r>
        <w:rPr>
          <w:rFonts w:ascii="Times New Roman" w:cs="Times New Roman" w:eastAsia="Times New Roman" w:hAnsi="Times New Roman"/>
          <w:color w:val="000000"/>
          <w:sz w:val="24"/>
          <w:szCs w:val="24"/>
        </w:rPr>
        <w:t xml:space="preserve">Read together, Tables 3 to 7 and Figure 5 show fishers and middlemen as demographically similar in some respects and distinct in others. Both were almost entirely male, primarily educated and drawn mainly from the Digo, Duruma and Vumba, and neither education nor ethnicity was associated with BMU. They diverged on age and experience: fishers concentrated in the 18–35 band, with age the only demographic characteristic significantly associated with BMU, while middlemen were older and markedly more experienced. Hoteliers and exporters held higher qualifications throughout, and exporters drew on ethnic groups absent upstream. The profile of a mud crab actor therefore follows position in the chain far more than landing site.</w:t>
      </w:r>
    </w:p>
    <w:p>
      <w:pPr>
        <w:pStyle w:val="Heading3"/>
        <w:spacing w:after="120" w:before="240" w:line="360"/>
      </w:pPr>
      <w:r>
        <w:rPr>
          <w:rFonts w:ascii="Times New Roman" w:cs="Times New Roman" w:eastAsia="Times New Roman" w:hAnsi="Times New Roman"/>
          <w:b/>
          <w:bCs/>
          <w:color w:val="000000"/>
          <w:sz w:val="24"/>
          <w:szCs w:val="24"/>
        </w:rPr>
        <w:t xml:space="preserve">4.3.2 Business and Operational Characteristics</w:t>
      </w:r>
    </w:p>
    <w:p>
      <w:pPr>
        <w:spacing w:after="0" w:before="240" w:line="240"/>
      </w:pPr>
      <w:r>
        <w:rPr>
          <w:rFonts w:ascii="Times New Roman" w:cs="Times New Roman" w:eastAsia="Times New Roman" w:hAnsi="Times New Roman"/>
          <w:b/>
          <w:bCs/>
          <w:color w:val="000000"/>
          <w:sz w:val="24"/>
          <w:szCs w:val="24"/>
        </w:rPr>
        <w:t xml:space="preserve">Table 8</w:t>
      </w:r>
    </w:p>
    <w:p>
      <w:pPr>
        <w:spacing w:after="120" w:before="0" w:line="240"/>
      </w:pPr>
      <w:r>
        <w:rPr>
          <w:rFonts w:ascii="Times New Roman" w:cs="Times New Roman" w:eastAsia="Times New Roman" w:hAnsi="Times New Roman"/>
          <w:b w:val="false"/>
          <w:bCs w:val="false"/>
          <w:i/>
          <w:iCs/>
          <w:color w:val="000000"/>
          <w:sz w:val="24"/>
          <w:szCs w:val="24"/>
        </w:rPr>
        <w:t xml:space="preserve">Primary Role and Business Ownership of Fishers, Middlemen, Hoteliers and Exporters by BMU</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1850"/>
        <w:gridCol w:w="1250"/>
        <w:gridCol w:w="900"/>
        <w:gridCol w:w="820"/>
        <w:gridCol w:w="820"/>
        <w:gridCol w:w="760"/>
        <w:gridCol w:w="900"/>
        <w:gridCol w:w="880"/>
        <w:gridCol w:w="846"/>
      </w:tblGrid>
      <w:tr>
        <w:trPr>
          <w:tblHeader/>
        </w:trPr>
        <w:tc>
          <w:tcPr>
            <w:tcW w:type="dxa" w:w="18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17"/>
                <w:szCs w:val="17"/>
              </w:rPr>
              <w:t xml:space="preserve">Characteristic / response</w:t>
            </w:r>
          </w:p>
        </w:tc>
        <w:tc>
          <w:tcPr>
            <w:tcW w:type="dxa" w:w="12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Actor</w:t>
            </w:r>
          </w:p>
        </w:tc>
        <w:tc>
          <w:tcPr>
            <w:tcW w:type="dxa" w:w="9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Overall</w:t>
            </w:r>
          </w:p>
        </w:tc>
        <w:tc>
          <w:tcPr>
            <w:tcW w:type="dxa" w:w="82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Shimoni</w:t>
            </w:r>
          </w:p>
        </w:tc>
        <w:tc>
          <w:tcPr>
            <w:tcW w:type="dxa" w:w="82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Majoreni</w:t>
            </w:r>
          </w:p>
        </w:tc>
        <w:tc>
          <w:tcPr>
            <w:tcW w:type="dxa" w:w="76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Vanga</w:t>
            </w:r>
          </w:p>
        </w:tc>
        <w:tc>
          <w:tcPr>
            <w:tcW w:type="dxa" w:w="9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Msambweni</w:t>
            </w:r>
          </w:p>
        </w:tc>
        <w:tc>
          <w:tcPr>
            <w:tcW w:type="dxa" w:w="88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Other sites</w:t>
            </w:r>
          </w:p>
        </w:tc>
        <w:tc>
          <w:tcPr>
            <w:tcW w:type="dxa" w:w="846"/>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BMU p-value</w:t>
            </w:r>
          </w:p>
        </w:tc>
      </w:tr>
      <w:tr>
        <w:tc>
          <w:tcPr>
            <w:tcW w:type="dxa" w:w="9026"/>
            <w:gridSpan w:val="9"/>
            <w:tcBorders>
              <w:top w:val="none" w:color="FFFFFF" w:sz="0"/>
              <w:left w:val="none" w:color="FFFFFF" w:sz="0"/>
              <w:bottom w:val="none" w:color="FFFFFF" w:sz="0"/>
              <w:right w:val="none" w:color="FFFFFF" w:sz="0"/>
            </w:tcBorders>
            <w:tcMar>
              <w:top w:type="dxa" w:w="90"/>
              <w:left w:type="dxa" w:w="90"/>
              <w:bottom w:type="dxa" w:w="30"/>
              <w:right w:type="dxa" w:w="90"/>
            </w:tcMar>
          </w:tcPr>
          <w:p>
            <w:pPr>
              <w:spacing w:after="20" w:before="20" w:line="240"/>
              <w:jc w:val="left"/>
            </w:pPr>
            <w:r>
              <w:rPr>
                <w:rFonts w:ascii="Times New Roman" w:cs="Times New Roman" w:eastAsia="Times New Roman" w:hAnsi="Times New Roman"/>
                <w:b w:val="false"/>
                <w:bCs w:val="false"/>
                <w:i/>
                <w:iCs/>
                <w:color w:val="000000"/>
                <w:sz w:val="17"/>
                <w:szCs w:val="17"/>
              </w:rPr>
              <w:t xml:space="preserve">Primary role in the mud crab fishery</w:t>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Crabber</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65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25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14 (100.0%)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21 (100.0%)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 (100.0%)</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 (100.0%)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Exporter</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Marketer</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Processor</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Crabber</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22</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Exporter</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Marketer</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22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11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7 (100.0%)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Processor</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Crabber</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Exporter</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Marketer</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Processor</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5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Crabber</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4</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Exporter</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Marketer</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Processor</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9026"/>
            <w:gridSpan w:val="9"/>
            <w:tcBorders>
              <w:top w:val="none" w:color="FFFFFF" w:sz="0"/>
              <w:left w:val="none" w:color="FFFFFF" w:sz="0"/>
              <w:bottom w:val="none" w:color="FFFFFF" w:sz="0"/>
              <w:right w:val="none" w:color="FFFFFF" w:sz="0"/>
            </w:tcBorders>
            <w:tcMar>
              <w:top w:type="dxa" w:w="90"/>
              <w:left w:type="dxa" w:w="90"/>
              <w:bottom w:type="dxa" w:w="30"/>
              <w:right w:type="dxa" w:w="90"/>
            </w:tcMar>
          </w:tcPr>
          <w:p>
            <w:pPr>
              <w:spacing w:after="20" w:before="20" w:line="240"/>
              <w:jc w:val="left"/>
            </w:pPr>
            <w:r>
              <w:rPr>
                <w:rFonts w:ascii="Times New Roman" w:cs="Times New Roman" w:eastAsia="Times New Roman" w:hAnsi="Times New Roman"/>
                <w:b w:val="false"/>
                <w:bCs w:val="false"/>
                <w:i/>
                <w:iCs/>
                <w:color w:val="000000"/>
                <w:sz w:val="17"/>
                <w:szCs w:val="17"/>
              </w:rPr>
              <w:t xml:space="preserve">Owns or manages a mud crab operation</w:t>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Yes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65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25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14 (100.0%)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21 (100.0%)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 (100.0%)</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 (100.0%)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Yes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22</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22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11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7 (100.0%)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Yes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5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Yes</w:t>
            </w:r>
          </w:p>
        </w:tc>
        <w:tc>
          <w:tcPr>
            <w:tcW w:type="dxa" w:w="125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4</w:t>
            </w:r>
          </w:p>
        </w:tc>
        <w:tc>
          <w:tcPr>
            <w:tcW w:type="dxa" w:w="90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2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46"/>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bl>
    <w:p>
      <w:pPr>
        <w:spacing w:after="120" w:before="0" w:line="360"/>
        <w:jc w:val="both"/>
      </w:pPr>
      <w:r>
        <w:rPr>
          <w:rFonts w:ascii="Times New Roman" w:cs="Times New Roman" w:eastAsia="Times New Roman" w:hAnsi="Times New Roman"/>
          <w:color w:val="000000"/>
          <w:sz w:val="24"/>
          <w:szCs w:val="24"/>
        </w:rPr>
        <w:t xml:space="preserve">Table 8 shows primary role coinciding exactly with actor category, fishers recorded as crabbers, middlemen as marketers, hoteliers as processors and exporters as exporters, each at 100.0%. Every respondent in all four categories owned or managed the operation described. Neither item varied enough within fishers or middlemen to support a test.</w:t>
      </w:r>
    </w:p>
    <w:p>
      <w:pPr>
        <w:spacing w:after="0" w:before="240" w:line="240"/>
      </w:pPr>
      <w:r>
        <w:rPr>
          <w:rFonts w:ascii="Times New Roman" w:cs="Times New Roman" w:eastAsia="Times New Roman" w:hAnsi="Times New Roman"/>
          <w:b/>
          <w:bCs/>
          <w:color w:val="000000"/>
          <w:sz w:val="24"/>
          <w:szCs w:val="24"/>
        </w:rPr>
        <w:t xml:space="preserve">Table 9</w:t>
      </w:r>
    </w:p>
    <w:p>
      <w:pPr>
        <w:spacing w:after="120" w:before="0" w:line="240"/>
      </w:pPr>
      <w:r>
        <w:rPr>
          <w:rFonts w:ascii="Times New Roman" w:cs="Times New Roman" w:eastAsia="Times New Roman" w:hAnsi="Times New Roman"/>
          <w:b w:val="false"/>
          <w:bCs w:val="false"/>
          <w:i/>
          <w:iCs/>
          <w:color w:val="000000"/>
          <w:sz w:val="24"/>
          <w:szCs w:val="24"/>
        </w:rPr>
        <w:t xml:space="preserve">Scale of Operation of Fishers, Middlemen, Hoteliers and Exporters by BMU</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1850"/>
        <w:gridCol w:w="1250"/>
        <w:gridCol w:w="900"/>
        <w:gridCol w:w="820"/>
        <w:gridCol w:w="820"/>
        <w:gridCol w:w="760"/>
        <w:gridCol w:w="900"/>
        <w:gridCol w:w="880"/>
        <w:gridCol w:w="846"/>
      </w:tblGrid>
      <w:tr>
        <w:trPr>
          <w:tblHeader/>
        </w:trPr>
        <w:tc>
          <w:tcPr>
            <w:tcW w:type="dxa" w:w="18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17"/>
                <w:szCs w:val="17"/>
              </w:rPr>
              <w:t xml:space="preserve">Characteristic / response</w:t>
            </w:r>
          </w:p>
        </w:tc>
        <w:tc>
          <w:tcPr>
            <w:tcW w:type="dxa" w:w="12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Actor</w:t>
            </w:r>
          </w:p>
        </w:tc>
        <w:tc>
          <w:tcPr>
            <w:tcW w:type="dxa" w:w="9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Overall</w:t>
            </w:r>
          </w:p>
        </w:tc>
        <w:tc>
          <w:tcPr>
            <w:tcW w:type="dxa" w:w="82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Shimoni</w:t>
            </w:r>
          </w:p>
        </w:tc>
        <w:tc>
          <w:tcPr>
            <w:tcW w:type="dxa" w:w="82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Majoreni</w:t>
            </w:r>
          </w:p>
        </w:tc>
        <w:tc>
          <w:tcPr>
            <w:tcW w:type="dxa" w:w="76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Vanga</w:t>
            </w:r>
          </w:p>
        </w:tc>
        <w:tc>
          <w:tcPr>
            <w:tcW w:type="dxa" w:w="9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Msambweni</w:t>
            </w:r>
          </w:p>
        </w:tc>
        <w:tc>
          <w:tcPr>
            <w:tcW w:type="dxa" w:w="88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Other sites</w:t>
            </w:r>
          </w:p>
        </w:tc>
        <w:tc>
          <w:tcPr>
            <w:tcW w:type="dxa" w:w="846"/>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BMU p-value</w:t>
            </w:r>
          </w:p>
        </w:tc>
      </w:tr>
      <w:tr>
        <w:tc>
          <w:tcPr>
            <w:tcW w:type="dxa" w:w="9026"/>
            <w:gridSpan w:val="9"/>
            <w:tcBorders>
              <w:top w:val="none" w:color="FFFFFF" w:sz="0"/>
              <w:left w:val="none" w:color="FFFFFF" w:sz="0"/>
              <w:bottom w:val="none" w:color="FFFFFF" w:sz="0"/>
              <w:right w:val="none" w:color="FFFFFF" w:sz="0"/>
            </w:tcBorders>
            <w:tcMar>
              <w:top w:type="dxa" w:w="90"/>
              <w:left w:type="dxa" w:w="90"/>
              <w:bottom w:type="dxa" w:w="30"/>
              <w:right w:type="dxa" w:w="90"/>
            </w:tcMar>
          </w:tcPr>
          <w:p>
            <w:pPr>
              <w:spacing w:after="20" w:before="20" w:line="240"/>
              <w:jc w:val="left"/>
            </w:pPr>
            <w:r>
              <w:rPr>
                <w:rFonts w:ascii="Times New Roman" w:cs="Times New Roman" w:eastAsia="Times New Roman" w:hAnsi="Times New Roman"/>
                <w:b w:val="false"/>
                <w:bCs w:val="false"/>
                <w:i/>
                <w:iCs/>
                <w:color w:val="000000"/>
                <w:sz w:val="17"/>
                <w:szCs w:val="17"/>
              </w:rPr>
              <w:t xml:space="preserve">Scale of operation</w:t>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Small-scale</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64 (98.5%)</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25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14 (100.0%)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20 (95.2%)</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 (100.0%)</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 (100.0%)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.606</w:t>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Medium-scale</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(1.5%)</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(4.8%)</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Large-scale</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Small-scale</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22</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10 (45.5%)</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8 (72.7%)</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 (28.6%)</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.050</w:t>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Medium-scale</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10 (45.5%)</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 (18.2%)</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5 (71.4%)</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 (75.0%)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Large-scale</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 (9.1%)</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(9.1%)</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(25.0%)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Small-scale</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Medium-scale</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5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Large-scale</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Small-scale</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4</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Medium-scale</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Large-scale</w:t>
            </w:r>
          </w:p>
        </w:tc>
        <w:tc>
          <w:tcPr>
            <w:tcW w:type="dxa" w:w="125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c>
          <w:tcPr>
            <w:tcW w:type="dxa" w:w="90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2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46"/>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bl>
    <w:p>
      <w:pPr>
        <w:spacing w:after="120" w:before="0" w:line="360"/>
        <w:jc w:val="both"/>
      </w:pPr>
      <w:r>
        <w:rPr>
          <w:rFonts w:ascii="Times New Roman" w:cs="Times New Roman" w:eastAsia="Times New Roman" w:hAnsi="Times New Roman"/>
          <w:color w:val="000000"/>
          <w:sz w:val="24"/>
          <w:szCs w:val="24"/>
        </w:rPr>
        <w:t xml:space="preserve">Table 9 shows fisher operations almost entirely small-scale (64, 98.5%), with one medium-scale exception at Vanga. Middleman scale was mixed, 10 small-scale (45.5%), 10 medium-scale (45.5%) and 2 large-scale (9.1%), and the medium-scale share rose from 2 (18.2%) at Shimoni to 5 (71.4%) at Majoreni and 3 (75.0%) at Vanga. That association approached but did not reach significance (p = .050) and is treated here as provisional. All five hoteliers operated at medium scale and all four exporters at large scale. Fisher scale was not associated with BMU (p = .606).</w:t>
      </w:r>
    </w:p>
    <w:p>
      <w:pPr>
        <w:spacing w:after="120" w:before="0" w:line="360"/>
        <w:jc w:val="both"/>
      </w:pPr>
      <w:r>
        <w:rPr>
          <w:rFonts w:ascii="Times New Roman" w:cs="Times New Roman" w:eastAsia="Times New Roman" w:hAnsi="Times New Roman"/>
          <w:color w:val="000000"/>
          <w:sz w:val="24"/>
          <w:szCs w:val="24"/>
        </w:rPr>
        <w:t xml:space="preserve">Figure 6 gives the monthly income band. Most fishers fell below KSh 13,900 (52, 80.0%), every middleman fell in the next band up, KSh 13,900–69,500, four of five hoteliers (80.0%) in that same band and one (20.0%) in the highest, and all three exporters who answered in the highest, KSh 69,501–139,000. Fisher income band came close to significance against BMU but did not reach it (p = .057).</w:t>
      </w:r>
    </w:p>
    <w:p>
      <w:pPr>
        <w:spacing w:after="0" w:before="240" w:line="240"/>
      </w:pPr>
      <w:r>
        <w:rPr>
          <w:rFonts w:ascii="Times New Roman" w:cs="Times New Roman" w:eastAsia="Times New Roman" w:hAnsi="Times New Roman"/>
          <w:b/>
          <w:bCs/>
          <w:color w:val="000000"/>
          <w:sz w:val="24"/>
          <w:szCs w:val="24"/>
        </w:rPr>
        <w:t xml:space="preserve">Table 10</w:t>
      </w:r>
    </w:p>
    <w:p>
      <w:pPr>
        <w:spacing w:after="120" w:before="0" w:line="240"/>
      </w:pPr>
      <w:r>
        <w:rPr>
          <w:rFonts w:ascii="Times New Roman" w:cs="Times New Roman" w:eastAsia="Times New Roman" w:hAnsi="Times New Roman"/>
          <w:b w:val="false"/>
          <w:bCs w:val="false"/>
          <w:i/>
          <w:iCs/>
          <w:color w:val="000000"/>
          <w:sz w:val="24"/>
          <w:szCs w:val="24"/>
        </w:rPr>
        <w:t xml:space="preserve">Reported Monthly Income and Age of Respondents by Actor Category</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2100"/>
        <w:gridCol w:w="1000"/>
        <w:gridCol w:w="1250"/>
        <w:gridCol w:w="1150"/>
        <w:gridCol w:w="1150"/>
        <w:gridCol w:w="1500"/>
        <w:gridCol w:w="876"/>
      </w:tblGrid>
      <w:tr>
        <w:trPr>
          <w:tblHeader/>
        </w:trPr>
        <w:tc>
          <w:tcPr>
            <w:tcW w:type="dxa" w:w="21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20"/>
                <w:szCs w:val="20"/>
              </w:rPr>
              <w:t xml:space="preserve">Actor category</w:t>
            </w:r>
          </w:p>
        </w:tc>
        <w:tc>
          <w:tcPr>
            <w:tcW w:type="dxa" w:w="10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Valid n</w:t>
            </w:r>
          </w:p>
        </w:tc>
        <w:tc>
          <w:tcPr>
            <w:tcW w:type="dxa" w:w="12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M</w:t>
            </w:r>
          </w:p>
        </w:tc>
        <w:tc>
          <w:tcPr>
            <w:tcW w:type="dxa" w:w="11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SD</w:t>
            </w:r>
          </w:p>
        </w:tc>
        <w:tc>
          <w:tcPr>
            <w:tcW w:type="dxa" w:w="11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Mdn</w:t>
            </w:r>
          </w:p>
        </w:tc>
        <w:tc>
          <w:tcPr>
            <w:tcW w:type="dxa" w:w="15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IQR (Q1–Q3)</w:t>
            </w:r>
          </w:p>
        </w:tc>
        <w:tc>
          <w:tcPr>
            <w:tcW w:type="dxa" w:w="876"/>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Range</w:t>
            </w:r>
          </w:p>
        </w:tc>
      </w:tr>
      <w:tr>
        <w:tc>
          <w:tcPr>
            <w:tcW w:type="dxa" w:w="9026"/>
            <w:gridSpan w:val="7"/>
            <w:tcBorders>
              <w:top w:val="none" w:color="FFFFFF" w:sz="0"/>
              <w:left w:val="none" w:color="FFFFFF" w:sz="0"/>
              <w:bottom w:val="none" w:color="FFFFFF" w:sz="0"/>
              <w:right w:val="none" w:color="FFFFFF" w:sz="0"/>
            </w:tcBorders>
            <w:tcMar>
              <w:top w:type="dxa" w:w="90"/>
              <w:left w:type="dxa" w:w="90"/>
              <w:bottom w:type="dxa" w:w="30"/>
              <w:right w:type="dxa" w:w="90"/>
            </w:tcMar>
          </w:tcPr>
          <w:p>
            <w:pPr>
              <w:spacing w:after="20" w:before="20" w:line="240"/>
              <w:jc w:val="left"/>
            </w:pPr>
            <w:r>
              <w:rPr>
                <w:rFonts w:ascii="Times New Roman" w:cs="Times New Roman" w:eastAsia="Times New Roman" w:hAnsi="Times New Roman"/>
                <w:b w:val="false"/>
                <w:bCs w:val="false"/>
                <w:i/>
                <w:iCs/>
                <w:color w:val="000000"/>
                <w:sz w:val="20"/>
                <w:szCs w:val="20"/>
              </w:rPr>
              <w:t xml:space="preserve">Reported monthly mud crab income (KSh)</w:t>
            </w:r>
          </w:p>
        </w:tc>
      </w:tr>
      <w:tr>
        <w:tc>
          <w:tcPr>
            <w:tcW w:type="dxa" w:w="21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Fisher</w:t>
            </w:r>
          </w:p>
        </w:tc>
        <w:tc>
          <w:tcPr>
            <w:tcW w:type="dxa" w:w="10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65</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8,969.2</w:t>
            </w:r>
          </w:p>
        </w:tc>
        <w:tc>
          <w:tcPr>
            <w:tcW w:type="dxa" w:w="11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6,745.3</w:t>
            </w:r>
          </w:p>
        </w:tc>
        <w:tc>
          <w:tcPr>
            <w:tcW w:type="dxa" w:w="11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6,000.0</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5,000.0–10,000.0</w:t>
            </w:r>
          </w:p>
        </w:tc>
        <w:tc>
          <w:tcPr>
            <w:tcW w:type="dxa" w:w="87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4,000.0–50,000.0</w:t>
            </w:r>
          </w:p>
        </w:tc>
      </w:tr>
      <w:tr>
        <w:tc>
          <w:tcPr>
            <w:tcW w:type="dxa" w:w="21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Middleman</w:t>
            </w:r>
          </w:p>
        </w:tc>
        <w:tc>
          <w:tcPr>
            <w:tcW w:type="dxa" w:w="10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22</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27,954.5</w:t>
            </w:r>
          </w:p>
        </w:tc>
        <w:tc>
          <w:tcPr>
            <w:tcW w:type="dxa" w:w="11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11,407.9</w:t>
            </w:r>
          </w:p>
        </w:tc>
        <w:tc>
          <w:tcPr>
            <w:tcW w:type="dxa" w:w="11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25,000.0</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20,000.0–30,000.0</w:t>
            </w:r>
          </w:p>
        </w:tc>
        <w:tc>
          <w:tcPr>
            <w:tcW w:type="dxa" w:w="87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15,000.0–50,000.0</w:t>
            </w:r>
          </w:p>
        </w:tc>
      </w:tr>
      <w:tr>
        <w:tc>
          <w:tcPr>
            <w:tcW w:type="dxa" w:w="21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Hotelier</w:t>
            </w:r>
          </w:p>
        </w:tc>
        <w:tc>
          <w:tcPr>
            <w:tcW w:type="dxa" w:w="10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5</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43,000.0</w:t>
            </w:r>
          </w:p>
        </w:tc>
        <w:tc>
          <w:tcPr>
            <w:tcW w:type="dxa" w:w="11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34,568.8</w:t>
            </w:r>
          </w:p>
        </w:tc>
        <w:tc>
          <w:tcPr>
            <w:tcW w:type="dxa" w:w="11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30,000.0</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20,000.0–50,000.0</w:t>
            </w:r>
          </w:p>
        </w:tc>
        <w:tc>
          <w:tcPr>
            <w:tcW w:type="dxa" w:w="87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15,000.0–100,000.0</w:t>
            </w:r>
          </w:p>
        </w:tc>
      </w:tr>
      <w:tr>
        <w:tc>
          <w:tcPr>
            <w:tcW w:type="dxa" w:w="21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Exporter</w:t>
            </w:r>
          </w:p>
        </w:tc>
        <w:tc>
          <w:tcPr>
            <w:tcW w:type="dxa" w:w="10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3</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90,000.0</w:t>
            </w:r>
          </w:p>
        </w:tc>
        <w:tc>
          <w:tcPr>
            <w:tcW w:type="dxa" w:w="11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17,320.5</w:t>
            </w:r>
          </w:p>
        </w:tc>
        <w:tc>
          <w:tcPr>
            <w:tcW w:type="dxa" w:w="11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100,000.0</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85,000.0–100,000.0</w:t>
            </w:r>
          </w:p>
        </w:tc>
        <w:tc>
          <w:tcPr>
            <w:tcW w:type="dxa" w:w="87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70,000.0–100,000.0</w:t>
            </w:r>
          </w:p>
        </w:tc>
      </w:tr>
      <w:tr>
        <w:tc>
          <w:tcPr>
            <w:tcW w:type="dxa" w:w="21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All actors</w:t>
            </w:r>
          </w:p>
        </w:tc>
        <w:tc>
          <w:tcPr>
            <w:tcW w:type="dxa" w:w="10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95</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17,715.8</w:t>
            </w:r>
          </w:p>
        </w:tc>
        <w:tc>
          <w:tcPr>
            <w:tcW w:type="dxa" w:w="11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19,886.7</w:t>
            </w:r>
          </w:p>
        </w:tc>
        <w:tc>
          <w:tcPr>
            <w:tcW w:type="dxa" w:w="11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10,000.0</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5,000.0–20,000.0</w:t>
            </w:r>
          </w:p>
        </w:tc>
        <w:tc>
          <w:tcPr>
            <w:tcW w:type="dxa" w:w="87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4,000.0–100,000.0</w:t>
            </w:r>
          </w:p>
        </w:tc>
      </w:tr>
      <w:tr>
        <w:tc>
          <w:tcPr>
            <w:tcW w:type="dxa" w:w="9026"/>
            <w:gridSpan w:val="7"/>
            <w:tcBorders>
              <w:top w:val="none" w:color="FFFFFF" w:sz="0"/>
              <w:left w:val="none" w:color="FFFFFF" w:sz="0"/>
              <w:bottom w:val="none" w:color="FFFFFF" w:sz="0"/>
              <w:right w:val="none" w:color="FFFFFF" w:sz="0"/>
            </w:tcBorders>
            <w:tcMar>
              <w:top w:type="dxa" w:w="90"/>
              <w:left w:type="dxa" w:w="90"/>
              <w:bottom w:type="dxa" w:w="30"/>
              <w:right w:type="dxa" w:w="90"/>
            </w:tcMar>
          </w:tcPr>
          <w:p>
            <w:pPr>
              <w:spacing w:after="20" w:before="20" w:line="240"/>
              <w:jc w:val="left"/>
            </w:pPr>
            <w:r>
              <w:rPr>
                <w:rFonts w:ascii="Times New Roman" w:cs="Times New Roman" w:eastAsia="Times New Roman" w:hAnsi="Times New Roman"/>
                <w:b w:val="false"/>
                <w:bCs w:val="false"/>
                <w:i/>
                <w:iCs/>
                <w:color w:val="000000"/>
                <w:sz w:val="20"/>
                <w:szCs w:val="20"/>
              </w:rPr>
              <w:t xml:space="preserve">Age in completed years</w:t>
            </w:r>
          </w:p>
        </w:tc>
      </w:tr>
      <w:tr>
        <w:tc>
          <w:tcPr>
            <w:tcW w:type="dxa" w:w="21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Fisher</w:t>
            </w:r>
          </w:p>
        </w:tc>
        <w:tc>
          <w:tcPr>
            <w:tcW w:type="dxa" w:w="10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65</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36</w:t>
            </w:r>
          </w:p>
        </w:tc>
        <w:tc>
          <w:tcPr>
            <w:tcW w:type="dxa" w:w="11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15</w:t>
            </w:r>
          </w:p>
        </w:tc>
        <w:tc>
          <w:tcPr>
            <w:tcW w:type="dxa" w:w="11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32</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25–45</w:t>
            </w:r>
          </w:p>
        </w:tc>
        <w:tc>
          <w:tcPr>
            <w:tcW w:type="dxa" w:w="87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14–77</w:t>
            </w:r>
          </w:p>
        </w:tc>
      </w:tr>
      <w:tr>
        <w:tc>
          <w:tcPr>
            <w:tcW w:type="dxa" w:w="21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Middleman</w:t>
            </w:r>
          </w:p>
        </w:tc>
        <w:tc>
          <w:tcPr>
            <w:tcW w:type="dxa" w:w="10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22</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44</w:t>
            </w:r>
          </w:p>
        </w:tc>
        <w:tc>
          <w:tcPr>
            <w:tcW w:type="dxa" w:w="11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11</w:t>
            </w:r>
          </w:p>
        </w:tc>
        <w:tc>
          <w:tcPr>
            <w:tcW w:type="dxa" w:w="11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45</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37–51</w:t>
            </w:r>
          </w:p>
        </w:tc>
        <w:tc>
          <w:tcPr>
            <w:tcW w:type="dxa" w:w="87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24–65</w:t>
            </w:r>
          </w:p>
        </w:tc>
      </w:tr>
      <w:tr>
        <w:tc>
          <w:tcPr>
            <w:tcW w:type="dxa" w:w="21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Hotelier</w:t>
            </w:r>
          </w:p>
        </w:tc>
        <w:tc>
          <w:tcPr>
            <w:tcW w:type="dxa" w:w="10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5</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33</w:t>
            </w:r>
          </w:p>
        </w:tc>
        <w:tc>
          <w:tcPr>
            <w:tcW w:type="dxa" w:w="11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9</w:t>
            </w:r>
          </w:p>
        </w:tc>
        <w:tc>
          <w:tcPr>
            <w:tcW w:type="dxa" w:w="11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29</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28–32</w:t>
            </w:r>
          </w:p>
        </w:tc>
        <w:tc>
          <w:tcPr>
            <w:tcW w:type="dxa" w:w="87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26–48</w:t>
            </w:r>
          </w:p>
        </w:tc>
      </w:tr>
      <w:tr>
        <w:tc>
          <w:tcPr>
            <w:tcW w:type="dxa" w:w="21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Exporter</w:t>
            </w:r>
          </w:p>
        </w:tc>
        <w:tc>
          <w:tcPr>
            <w:tcW w:type="dxa" w:w="10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4</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44</w:t>
            </w:r>
          </w:p>
        </w:tc>
        <w:tc>
          <w:tcPr>
            <w:tcW w:type="dxa" w:w="11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5</w:t>
            </w:r>
          </w:p>
        </w:tc>
        <w:tc>
          <w:tcPr>
            <w:tcW w:type="dxa" w:w="11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45</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41–48</w:t>
            </w:r>
          </w:p>
        </w:tc>
        <w:tc>
          <w:tcPr>
            <w:tcW w:type="dxa" w:w="87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38–48</w:t>
            </w:r>
          </w:p>
        </w:tc>
      </w:tr>
      <w:tr>
        <w:tc>
          <w:tcPr>
            <w:tcW w:type="dxa" w:w="210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All actors</w:t>
            </w:r>
          </w:p>
        </w:tc>
        <w:tc>
          <w:tcPr>
            <w:tcW w:type="dxa" w:w="100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96</w:t>
            </w:r>
          </w:p>
        </w:tc>
        <w:tc>
          <w:tcPr>
            <w:tcW w:type="dxa" w:w="125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38</w:t>
            </w:r>
          </w:p>
        </w:tc>
        <w:tc>
          <w:tcPr>
            <w:tcW w:type="dxa" w:w="115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14</w:t>
            </w:r>
          </w:p>
        </w:tc>
        <w:tc>
          <w:tcPr>
            <w:tcW w:type="dxa" w:w="115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36</w:t>
            </w:r>
          </w:p>
        </w:tc>
        <w:tc>
          <w:tcPr>
            <w:tcW w:type="dxa" w:w="150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27–48</w:t>
            </w:r>
          </w:p>
        </w:tc>
        <w:tc>
          <w:tcPr>
            <w:tcW w:type="dxa" w:w="876"/>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14–77</w:t>
            </w:r>
          </w:p>
        </w:tc>
      </w:tr>
    </w:tbl>
    <w:p>
      <w:pPr>
        <w:spacing w:after="120" w:before="0" w:line="360"/>
        <w:jc w:val="both"/>
      </w:pPr>
      <w:r>
        <w:rPr>
          <w:rFonts w:ascii="Times New Roman" w:cs="Times New Roman" w:eastAsia="Times New Roman" w:hAnsi="Times New Roman"/>
          <w:color w:val="000000"/>
          <w:sz w:val="24"/>
          <w:szCs w:val="24"/>
        </w:rPr>
        <w:t xml:space="preserve">Table 10 gives the underlying figures: fishers averaged KSh 8,969.2 a month with a median of KSh 6,000.0, middlemen KSh 27,954.5, hoteliers KSh 43,000.0 and the three exporters who answered KSh 90,000.0. An exporter therefore reported roughly ten times a fisher’s monthly mud crab income. Mean age rose from 36 years among fishers to 44 among middlemen and exporters, with hoteliers at 33.</w:t>
      </w:r>
    </w:p>
    <w:p>
      <w:pPr>
        <w:spacing w:after="0" w:before="240" w:line="240"/>
      </w:pPr>
      <w:r>
        <w:rPr>
          <w:rFonts w:ascii="Times New Roman" w:cs="Times New Roman" w:eastAsia="Times New Roman" w:hAnsi="Times New Roman"/>
          <w:b/>
          <w:bCs/>
          <w:color w:val="000000"/>
          <w:sz w:val="24"/>
          <w:szCs w:val="24"/>
        </w:rPr>
        <w:t xml:space="preserve">Figure 6</w:t>
      </w:r>
    </w:p>
    <w:p>
      <w:pPr>
        <w:spacing w:after="120" w:before="0" w:line="240"/>
      </w:pPr>
      <w:r>
        <w:rPr>
          <w:rFonts w:ascii="Times New Roman" w:cs="Times New Roman" w:eastAsia="Times New Roman" w:hAnsi="Times New Roman"/>
          <w:i/>
          <w:iCs/>
          <w:color w:val="000000"/>
          <w:sz w:val="24"/>
          <w:szCs w:val="24"/>
        </w:rPr>
        <w:t xml:space="preserve">Monthly Mud Crab Income Band Within Each Actor Category</w:t>
      </w:r>
    </w:p>
    <w:p>
      <w:pPr>
        <w:spacing w:after="240"/>
        <w:jc w:val="center"/>
      </w:pPr>
      <w:r>
        <w:drawing>
          <wp:inline distT="0" distB="0" distL="0" distR="0">
            <wp:extent cx="5715000" cy="2619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715000" cy="2619375"/>
                    </a:xfrm>
                    <a:prstGeom prst="rect">
                      <a:avLst/>
                    </a:prstGeom>
                  </pic:spPr>
                </pic:pic>
              </a:graphicData>
            </a:graphic>
          </wp:inline>
        </w:drawing>
      </w:r>
    </w:p>
    <w:p>
      <w:pPr>
        <w:spacing w:after="0" w:before="240" w:line="240"/>
      </w:pPr>
      <w:r>
        <w:rPr>
          <w:rFonts w:ascii="Times New Roman" w:cs="Times New Roman" w:eastAsia="Times New Roman" w:hAnsi="Times New Roman"/>
          <w:b/>
          <w:bCs/>
          <w:color w:val="000000"/>
          <w:sz w:val="24"/>
          <w:szCs w:val="24"/>
        </w:rPr>
        <w:t xml:space="preserve">Table 11</w:t>
      </w:r>
    </w:p>
    <w:p>
      <w:pPr>
        <w:spacing w:after="120" w:before="0" w:line="240"/>
      </w:pPr>
      <w:r>
        <w:rPr>
          <w:rFonts w:ascii="Times New Roman" w:cs="Times New Roman" w:eastAsia="Times New Roman" w:hAnsi="Times New Roman"/>
          <w:b w:val="false"/>
          <w:bCs w:val="false"/>
          <w:i/>
          <w:iCs/>
          <w:color w:val="000000"/>
          <w:sz w:val="24"/>
          <w:szCs w:val="24"/>
        </w:rPr>
        <w:t xml:space="preserve">Other Income Activities, Operating Licence and Loan Use by Actor and BMU</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1850"/>
        <w:gridCol w:w="1250"/>
        <w:gridCol w:w="900"/>
        <w:gridCol w:w="820"/>
        <w:gridCol w:w="820"/>
        <w:gridCol w:w="760"/>
        <w:gridCol w:w="900"/>
        <w:gridCol w:w="880"/>
        <w:gridCol w:w="846"/>
      </w:tblGrid>
      <w:tr>
        <w:trPr>
          <w:tblHeader/>
        </w:trPr>
        <w:tc>
          <w:tcPr>
            <w:tcW w:type="dxa" w:w="18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17"/>
                <w:szCs w:val="17"/>
              </w:rPr>
              <w:t xml:space="preserve">Characteristic / response</w:t>
            </w:r>
          </w:p>
        </w:tc>
        <w:tc>
          <w:tcPr>
            <w:tcW w:type="dxa" w:w="12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Actor</w:t>
            </w:r>
          </w:p>
        </w:tc>
        <w:tc>
          <w:tcPr>
            <w:tcW w:type="dxa" w:w="9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Overall</w:t>
            </w:r>
          </w:p>
        </w:tc>
        <w:tc>
          <w:tcPr>
            <w:tcW w:type="dxa" w:w="82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Shimoni</w:t>
            </w:r>
          </w:p>
        </w:tc>
        <w:tc>
          <w:tcPr>
            <w:tcW w:type="dxa" w:w="82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Majoreni</w:t>
            </w:r>
          </w:p>
        </w:tc>
        <w:tc>
          <w:tcPr>
            <w:tcW w:type="dxa" w:w="76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Vanga</w:t>
            </w:r>
          </w:p>
        </w:tc>
        <w:tc>
          <w:tcPr>
            <w:tcW w:type="dxa" w:w="9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Msambweni</w:t>
            </w:r>
          </w:p>
        </w:tc>
        <w:tc>
          <w:tcPr>
            <w:tcW w:type="dxa" w:w="88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Other sites</w:t>
            </w:r>
          </w:p>
        </w:tc>
        <w:tc>
          <w:tcPr>
            <w:tcW w:type="dxa" w:w="846"/>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BMU p-value</w:t>
            </w:r>
          </w:p>
        </w:tc>
      </w:tr>
      <w:tr>
        <w:tc>
          <w:tcPr>
            <w:tcW w:type="dxa" w:w="9026"/>
            <w:gridSpan w:val="9"/>
            <w:tcBorders>
              <w:top w:val="none" w:color="FFFFFF" w:sz="0"/>
              <w:left w:val="none" w:color="FFFFFF" w:sz="0"/>
              <w:bottom w:val="none" w:color="FFFFFF" w:sz="0"/>
              <w:right w:val="none" w:color="FFFFFF" w:sz="0"/>
            </w:tcBorders>
            <w:tcMar>
              <w:top w:type="dxa" w:w="90"/>
              <w:left w:type="dxa" w:w="90"/>
              <w:bottom w:type="dxa" w:w="30"/>
              <w:right w:type="dxa" w:w="90"/>
            </w:tcMar>
          </w:tcPr>
          <w:p>
            <w:pPr>
              <w:spacing w:after="20" w:before="20" w:line="240"/>
              <w:jc w:val="left"/>
            </w:pPr>
            <w:r>
              <w:rPr>
                <w:rFonts w:ascii="Times New Roman" w:cs="Times New Roman" w:eastAsia="Times New Roman" w:hAnsi="Times New Roman"/>
                <w:b w:val="false"/>
                <w:bCs w:val="false"/>
                <w:i/>
                <w:iCs/>
                <w:color w:val="000000"/>
                <w:sz w:val="17"/>
                <w:szCs w:val="17"/>
              </w:rPr>
              <w:t xml:space="preserve">Engages in other income activities</w:t>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Yes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13 (20.0%)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7 (28.0%)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 (21.4%)</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(4.8%)</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(33.3%)</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(50.0%)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.234</w:t>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No</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52 (80.0%)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18 (72.0%)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11 (78.6%)</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20 (95.2%)</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 (66.7%)</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(50.0%)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Yes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22</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22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11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7 (100.0%)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No</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Yes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5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No</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Yes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4</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No</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9026"/>
            <w:gridSpan w:val="9"/>
            <w:tcBorders>
              <w:top w:val="none" w:color="FFFFFF" w:sz="0"/>
              <w:left w:val="none" w:color="FFFFFF" w:sz="0"/>
              <w:bottom w:val="none" w:color="FFFFFF" w:sz="0"/>
              <w:right w:val="none" w:color="FFFFFF" w:sz="0"/>
            </w:tcBorders>
            <w:tcMar>
              <w:top w:type="dxa" w:w="90"/>
              <w:left w:type="dxa" w:w="90"/>
              <w:bottom w:type="dxa" w:w="30"/>
              <w:right w:type="dxa" w:w="90"/>
            </w:tcMar>
          </w:tcPr>
          <w:p>
            <w:pPr>
              <w:spacing w:after="20" w:before="20" w:line="240"/>
              <w:jc w:val="left"/>
            </w:pPr>
            <w:r>
              <w:rPr>
                <w:rFonts w:ascii="Times New Roman" w:cs="Times New Roman" w:eastAsia="Times New Roman" w:hAnsi="Times New Roman"/>
                <w:b w:val="false"/>
                <w:bCs w:val="false"/>
                <w:i/>
                <w:iCs/>
                <w:color w:val="000000"/>
                <w:sz w:val="17"/>
                <w:szCs w:val="17"/>
              </w:rPr>
              <w:t xml:space="preserve">Holds an operating licence</w:t>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Yes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64</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8 (12.5%)</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 (8.0%)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 (15.4%)</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 (14.3%)</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(50.0%)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.840</w:t>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No</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56 (87.5%)</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23 (92.0%)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11 (84.6%)</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18 (85.7%)</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 (100.0%)</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(50.0%)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Yes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22</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6 (27.3%)</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 (18.2%)</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 (28.6%)</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 (50.0%)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.580</w:t>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No</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16 (72.7%)</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9 (81.8%)</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5 (71.4%)</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 (50.0%)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Yes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5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No</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Yes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4</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No</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9026"/>
            <w:gridSpan w:val="9"/>
            <w:tcBorders>
              <w:top w:val="none" w:color="FFFFFF" w:sz="0"/>
              <w:left w:val="none" w:color="FFFFFF" w:sz="0"/>
              <w:bottom w:val="none" w:color="FFFFFF" w:sz="0"/>
              <w:right w:val="none" w:color="FFFFFF" w:sz="0"/>
            </w:tcBorders>
            <w:tcMar>
              <w:top w:type="dxa" w:w="90"/>
              <w:left w:type="dxa" w:w="90"/>
              <w:bottom w:type="dxa" w:w="30"/>
              <w:right w:type="dxa" w:w="90"/>
            </w:tcMar>
          </w:tcPr>
          <w:p>
            <w:pPr>
              <w:spacing w:after="20" w:before="20" w:line="240"/>
              <w:jc w:val="left"/>
            </w:pPr>
            <w:r>
              <w:rPr>
                <w:rFonts w:ascii="Times New Roman" w:cs="Times New Roman" w:eastAsia="Times New Roman" w:hAnsi="Times New Roman"/>
                <w:b w:val="false"/>
                <w:bCs w:val="false"/>
                <w:i/>
                <w:iCs/>
                <w:color w:val="000000"/>
                <w:sz w:val="17"/>
                <w:szCs w:val="17"/>
              </w:rPr>
              <w:t xml:space="preserve">Uses loans to facilitate business</w:t>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Yes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No</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65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25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14 (100.0%)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21 (100.0%)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 (100.0%)</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 (100.0%)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Yes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22</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16 (72.7%)</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8 (72.7%)</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(57.1%)</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.311</w:t>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No</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6 (27.3%)</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 (27.3%)</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 (42.9%)</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Yes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No</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5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Yes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4</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 (50.0%)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 (50.0%)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No</w:t>
            </w:r>
          </w:p>
        </w:tc>
        <w:tc>
          <w:tcPr>
            <w:tcW w:type="dxa" w:w="125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c>
          <w:tcPr>
            <w:tcW w:type="dxa" w:w="90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 (50.0%)</w:t>
            </w:r>
          </w:p>
        </w:tc>
        <w:tc>
          <w:tcPr>
            <w:tcW w:type="dxa" w:w="82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 (50.0%)</w:t>
            </w:r>
          </w:p>
        </w:tc>
        <w:tc>
          <w:tcPr>
            <w:tcW w:type="dxa" w:w="846"/>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bl>
    <w:p>
      <w:pPr>
        <w:spacing w:after="120" w:before="0" w:line="360"/>
        <w:jc w:val="both"/>
      </w:pPr>
      <w:r>
        <w:rPr>
          <w:rFonts w:ascii="Times New Roman" w:cs="Times New Roman" w:eastAsia="Times New Roman" w:hAnsi="Times New Roman"/>
          <w:color w:val="000000"/>
          <w:sz w:val="24"/>
          <w:szCs w:val="24"/>
        </w:rPr>
        <w:t xml:space="preserve">Table 11 covers three indicators of business formality and Figure 7 sets licensing, credit, training and collective membership side by side. Only 13 fishers (20.0%) reported another income activity, against every middleman, hotelier and exporter. Operating licences were held by 8 of 64 fishers (12.5%) and 6 of 22 middlemen (27.3%) against every hotelier and exporter. No fisher used a business loan, whereas 16 middlemen (72.7%) did, rising to all four (100.0%) at Vanga, and two of four exporters (50.0%). None of the three items was significantly associated with BMU.</w:t>
      </w:r>
    </w:p>
    <w:p>
      <w:pPr>
        <w:spacing w:after="0" w:before="240" w:line="240"/>
      </w:pPr>
      <w:r>
        <w:rPr>
          <w:rFonts w:ascii="Times New Roman" w:cs="Times New Roman" w:eastAsia="Times New Roman" w:hAnsi="Times New Roman"/>
          <w:b/>
          <w:bCs/>
          <w:color w:val="000000"/>
          <w:sz w:val="24"/>
          <w:szCs w:val="24"/>
        </w:rPr>
        <w:t xml:space="preserve">Figure 7</w:t>
      </w:r>
    </w:p>
    <w:p>
      <w:pPr>
        <w:spacing w:after="120" w:before="0" w:line="240"/>
      </w:pPr>
      <w:r>
        <w:rPr>
          <w:rFonts w:ascii="Times New Roman" w:cs="Times New Roman" w:eastAsia="Times New Roman" w:hAnsi="Times New Roman"/>
          <w:i/>
          <w:iCs/>
          <w:color w:val="000000"/>
          <w:sz w:val="24"/>
          <w:szCs w:val="24"/>
        </w:rPr>
        <w:t xml:space="preserve">Licensing, Credit, Training and Collective Membership by Actor Category</w:t>
      </w:r>
    </w:p>
    <w:p>
      <w:pPr>
        <w:spacing w:after="240"/>
        <w:jc w:val="center"/>
      </w:pPr>
      <w:r>
        <w:drawing>
          <wp:inline distT="0" distB="0" distL="0" distR="0">
            <wp:extent cx="5715000" cy="2228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2228850"/>
                    </a:xfrm>
                    <a:prstGeom prst="rect">
                      <a:avLst/>
                    </a:prstGeom>
                  </pic:spPr>
                </pic:pic>
              </a:graphicData>
            </a:graphic>
          </wp:inline>
        </w:drawing>
      </w:r>
    </w:p>
    <w:p>
      <w:pPr>
        <w:spacing w:after="0" w:before="240" w:line="240"/>
      </w:pPr>
      <w:r>
        <w:rPr>
          <w:rFonts w:ascii="Times New Roman" w:cs="Times New Roman" w:eastAsia="Times New Roman" w:hAnsi="Times New Roman"/>
          <w:b/>
          <w:bCs/>
          <w:color w:val="000000"/>
          <w:sz w:val="24"/>
          <w:szCs w:val="24"/>
        </w:rPr>
        <w:t xml:space="preserve">Table 12</w:t>
      </w:r>
    </w:p>
    <w:p>
      <w:pPr>
        <w:spacing w:after="120" w:before="0" w:line="240"/>
      </w:pPr>
      <w:r>
        <w:rPr>
          <w:rFonts w:ascii="Times New Roman" w:cs="Times New Roman" w:eastAsia="Times New Roman" w:hAnsi="Times New Roman"/>
          <w:b w:val="false"/>
          <w:bCs w:val="false"/>
          <w:i/>
          <w:iCs/>
          <w:color w:val="000000"/>
          <w:sz w:val="24"/>
          <w:szCs w:val="24"/>
        </w:rPr>
        <w:t xml:space="preserve">Main Source of Business Credit by Actor and BMU</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1850"/>
        <w:gridCol w:w="1250"/>
        <w:gridCol w:w="900"/>
        <w:gridCol w:w="820"/>
        <w:gridCol w:w="820"/>
        <w:gridCol w:w="760"/>
        <w:gridCol w:w="900"/>
        <w:gridCol w:w="880"/>
        <w:gridCol w:w="846"/>
      </w:tblGrid>
      <w:tr>
        <w:trPr>
          <w:tblHeader/>
        </w:trPr>
        <w:tc>
          <w:tcPr>
            <w:tcW w:type="dxa" w:w="18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17"/>
                <w:szCs w:val="17"/>
              </w:rPr>
              <w:t xml:space="preserve">Characteristic / response</w:t>
            </w:r>
          </w:p>
        </w:tc>
        <w:tc>
          <w:tcPr>
            <w:tcW w:type="dxa" w:w="12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Actor</w:t>
            </w:r>
          </w:p>
        </w:tc>
        <w:tc>
          <w:tcPr>
            <w:tcW w:type="dxa" w:w="9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Overall</w:t>
            </w:r>
          </w:p>
        </w:tc>
        <w:tc>
          <w:tcPr>
            <w:tcW w:type="dxa" w:w="82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Shimoni</w:t>
            </w:r>
          </w:p>
        </w:tc>
        <w:tc>
          <w:tcPr>
            <w:tcW w:type="dxa" w:w="82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Majoreni</w:t>
            </w:r>
          </w:p>
        </w:tc>
        <w:tc>
          <w:tcPr>
            <w:tcW w:type="dxa" w:w="76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Vanga</w:t>
            </w:r>
          </w:p>
        </w:tc>
        <w:tc>
          <w:tcPr>
            <w:tcW w:type="dxa" w:w="9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Msambweni</w:t>
            </w:r>
          </w:p>
        </w:tc>
        <w:tc>
          <w:tcPr>
            <w:tcW w:type="dxa" w:w="88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Other sites</w:t>
            </w:r>
          </w:p>
        </w:tc>
        <w:tc>
          <w:tcPr>
            <w:tcW w:type="dxa" w:w="846"/>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BMU p-value</w:t>
            </w:r>
          </w:p>
        </w:tc>
      </w:tr>
      <w:tr>
        <w:tc>
          <w:tcPr>
            <w:tcW w:type="dxa" w:w="9026"/>
            <w:gridSpan w:val="9"/>
            <w:tcBorders>
              <w:top w:val="none" w:color="FFFFFF" w:sz="0"/>
              <w:left w:val="none" w:color="FFFFFF" w:sz="0"/>
              <w:bottom w:val="none" w:color="FFFFFF" w:sz="0"/>
              <w:right w:val="none" w:color="FFFFFF" w:sz="0"/>
            </w:tcBorders>
            <w:tcMar>
              <w:top w:type="dxa" w:w="90"/>
              <w:left w:type="dxa" w:w="90"/>
              <w:bottom w:type="dxa" w:w="30"/>
              <w:right w:type="dxa" w:w="90"/>
            </w:tcMar>
          </w:tcPr>
          <w:p>
            <w:pPr>
              <w:spacing w:after="20" w:before="20" w:line="240"/>
              <w:jc w:val="left"/>
            </w:pPr>
            <w:r>
              <w:rPr>
                <w:rFonts w:ascii="Times New Roman" w:cs="Times New Roman" w:eastAsia="Times New Roman" w:hAnsi="Times New Roman"/>
                <w:b w:val="false"/>
                <w:bCs w:val="false"/>
                <w:i/>
                <w:iCs/>
                <w:color w:val="000000"/>
                <w:sz w:val="17"/>
                <w:szCs w:val="17"/>
              </w:rPr>
              <w:t xml:space="preserve">Main source of business credit</w:t>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Exporters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.124</w:t>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Formal institutions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Middlemen</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61 (93.8%)</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25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13 (92.9%)</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19 (90.5%)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 (66.7%)</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 (100.0%)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Middlemen and relatives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(6.2%)</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(7.1%)</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 (9.5%)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(33.3%)</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Exporters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22</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12 (54.5%)</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(36.4%)</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(57.1%)</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.099</w:t>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Formal institutions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Middlemen</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10 (45.5%)</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7 (63.6%)</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 (42.9%)</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Middlemen and relatives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Exporters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Formal institutions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Middlemen</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Middlemen and relatives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Exporters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4</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Formal institutions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Middlemen</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Middlemen and relatives</w:t>
            </w:r>
          </w:p>
        </w:tc>
        <w:tc>
          <w:tcPr>
            <w:tcW w:type="dxa" w:w="125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c>
          <w:tcPr>
            <w:tcW w:type="dxa" w:w="90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bl>
    <w:p>
      <w:pPr>
        <w:spacing w:after="120" w:before="0" w:line="360"/>
        <w:jc w:val="both"/>
      </w:pPr>
      <w:r>
        <w:rPr>
          <w:rFonts w:ascii="Times New Roman" w:cs="Times New Roman" w:eastAsia="Times New Roman" w:hAnsi="Times New Roman"/>
          <w:color w:val="000000"/>
          <w:sz w:val="24"/>
          <w:szCs w:val="24"/>
        </w:rPr>
        <w:t xml:space="preserve">Table 12 shows where credit came from. Fishers who borrowed relied overwhelmingly on middlemen (61, 93.8%), with 4 (6.2%) naming middlemen and relatives together. Middlemen relied more on exporters (12, 54.5%) than on other middlemen (10, 45.5%), and all four exporters on formal institutions. No hotelier reported a credit source. Credit source was not significantly associated with BMU for fishers (p = .124) or middlemen (p = .099).</w:t>
      </w:r>
    </w:p>
    <w:p>
      <w:pPr>
        <w:spacing w:after="120" w:before="0" w:line="360"/>
        <w:jc w:val="both"/>
      </w:pPr>
      <w:r>
        <w:rPr>
          <w:rFonts w:ascii="Times New Roman" w:cs="Times New Roman" w:eastAsia="Times New Roman" w:hAnsi="Times New Roman"/>
          <w:color w:val="000000"/>
          <w:sz w:val="24"/>
          <w:szCs w:val="24"/>
        </w:rPr>
        <w:t xml:space="preserve">Considered together, Tables 8 to 12 and Figure 6 describe a business structure that scales and formalises down the chain. Scale rose from fishers, almost uniformly small-scale, through middlemen, whose scale varied by site and approached significance, to hoteliers at medium scale and exporters at large. Income followed the same gradient and licensing was rare upstream but universal downstream. Credit traced the line in reverse: fishers borrowed from middlemen, middlemen from exporters, exporters from banks, a single chain of dependency running from the landing beach to the export market. The actor categories are successive positions of unequal formality and unequal access to finance, not simply different occupations.</w:t>
      </w:r>
    </w:p>
    <w:p>
      <w:pPr>
        <w:pStyle w:val="Heading3"/>
        <w:spacing w:after="120" w:before="240" w:line="360"/>
      </w:pPr>
      <w:r>
        <w:rPr>
          <w:rFonts w:ascii="Times New Roman" w:cs="Times New Roman" w:eastAsia="Times New Roman" w:hAnsi="Times New Roman"/>
          <w:b/>
          <w:bCs/>
          <w:color w:val="000000"/>
          <w:sz w:val="24"/>
          <w:szCs w:val="24"/>
        </w:rPr>
        <w:t xml:space="preserve">4.3.3 Knowledge, Training and Group Membership</w:t>
      </w:r>
    </w:p>
    <w:p>
      <w:pPr>
        <w:spacing w:after="0" w:before="240" w:line="240"/>
      </w:pPr>
      <w:r>
        <w:rPr>
          <w:rFonts w:ascii="Times New Roman" w:cs="Times New Roman" w:eastAsia="Times New Roman" w:hAnsi="Times New Roman"/>
          <w:b/>
          <w:bCs/>
          <w:color w:val="000000"/>
          <w:sz w:val="24"/>
          <w:szCs w:val="24"/>
        </w:rPr>
        <w:t xml:space="preserve">Table 13</w:t>
      </w:r>
    </w:p>
    <w:p>
      <w:pPr>
        <w:spacing w:after="120" w:before="0" w:line="240"/>
      </w:pPr>
      <w:r>
        <w:rPr>
          <w:rFonts w:ascii="Times New Roman" w:cs="Times New Roman" w:eastAsia="Times New Roman" w:hAnsi="Times New Roman"/>
          <w:b w:val="false"/>
          <w:bCs w:val="false"/>
          <w:i/>
          <w:iCs/>
          <w:color w:val="000000"/>
          <w:sz w:val="24"/>
          <w:szCs w:val="24"/>
        </w:rPr>
        <w:t xml:space="preserve">Knowledge Acquisition and Formal Training by Actor and BMU</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1850"/>
        <w:gridCol w:w="1250"/>
        <w:gridCol w:w="900"/>
        <w:gridCol w:w="820"/>
        <w:gridCol w:w="820"/>
        <w:gridCol w:w="760"/>
        <w:gridCol w:w="900"/>
        <w:gridCol w:w="880"/>
        <w:gridCol w:w="846"/>
      </w:tblGrid>
      <w:tr>
        <w:trPr>
          <w:tblHeader/>
        </w:trPr>
        <w:tc>
          <w:tcPr>
            <w:tcW w:type="dxa" w:w="18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17"/>
                <w:szCs w:val="17"/>
              </w:rPr>
              <w:t xml:space="preserve">Characteristic / response</w:t>
            </w:r>
          </w:p>
        </w:tc>
        <w:tc>
          <w:tcPr>
            <w:tcW w:type="dxa" w:w="12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Actor</w:t>
            </w:r>
          </w:p>
        </w:tc>
        <w:tc>
          <w:tcPr>
            <w:tcW w:type="dxa" w:w="9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Overall</w:t>
            </w:r>
          </w:p>
        </w:tc>
        <w:tc>
          <w:tcPr>
            <w:tcW w:type="dxa" w:w="82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Shimoni</w:t>
            </w:r>
          </w:p>
        </w:tc>
        <w:tc>
          <w:tcPr>
            <w:tcW w:type="dxa" w:w="82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Majoreni</w:t>
            </w:r>
          </w:p>
        </w:tc>
        <w:tc>
          <w:tcPr>
            <w:tcW w:type="dxa" w:w="76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Vanga</w:t>
            </w:r>
          </w:p>
        </w:tc>
        <w:tc>
          <w:tcPr>
            <w:tcW w:type="dxa" w:w="9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Msambweni</w:t>
            </w:r>
          </w:p>
        </w:tc>
        <w:tc>
          <w:tcPr>
            <w:tcW w:type="dxa" w:w="88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Other sites</w:t>
            </w:r>
          </w:p>
        </w:tc>
        <w:tc>
          <w:tcPr>
            <w:tcW w:type="dxa" w:w="846"/>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BMU p-value</w:t>
            </w:r>
          </w:p>
        </w:tc>
      </w:tr>
      <w:tr>
        <w:tc>
          <w:tcPr>
            <w:tcW w:type="dxa" w:w="9026"/>
            <w:gridSpan w:val="9"/>
            <w:tcBorders>
              <w:top w:val="none" w:color="FFFFFF" w:sz="0"/>
              <w:left w:val="none" w:color="FFFFFF" w:sz="0"/>
              <w:bottom w:val="none" w:color="FFFFFF" w:sz="0"/>
              <w:right w:val="none" w:color="FFFFFF" w:sz="0"/>
            </w:tcBorders>
            <w:tcMar>
              <w:top w:type="dxa" w:w="90"/>
              <w:left w:type="dxa" w:w="90"/>
              <w:bottom w:type="dxa" w:w="30"/>
              <w:right w:type="dxa" w:w="90"/>
            </w:tcMar>
          </w:tcPr>
          <w:p>
            <w:pPr>
              <w:spacing w:after="20" w:before="20" w:line="240"/>
              <w:jc w:val="left"/>
            </w:pPr>
            <w:r>
              <w:rPr>
                <w:rFonts w:ascii="Times New Roman" w:cs="Times New Roman" w:eastAsia="Times New Roman" w:hAnsi="Times New Roman"/>
                <w:b w:val="false"/>
                <w:bCs w:val="false"/>
                <w:i/>
                <w:iCs/>
                <w:color w:val="000000"/>
                <w:sz w:val="17"/>
                <w:szCs w:val="17"/>
              </w:rPr>
              <w:t xml:space="preserve">How mud crab knowledge and skills were acquired</w:t>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Family tradition</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64</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41 (64.1%)</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19 (79.2%)</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8 (57.1%)</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11 (52.4%)</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(33.3%)</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 (100.0%)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.194</w:t>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Other source</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23 (35.9%)</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5 (20.8%)</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6 (42.9%)</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10 (47.6%)</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 (66.7%)</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Family tradition</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Other source</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Family tradition</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Other source</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Family tradition</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Other source</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9026"/>
            <w:gridSpan w:val="9"/>
            <w:tcBorders>
              <w:top w:val="none" w:color="FFFFFF" w:sz="0"/>
              <w:left w:val="none" w:color="FFFFFF" w:sz="0"/>
              <w:bottom w:val="none" w:color="FFFFFF" w:sz="0"/>
              <w:right w:val="none" w:color="FFFFFF" w:sz="0"/>
            </w:tcBorders>
            <w:tcMar>
              <w:top w:type="dxa" w:w="90"/>
              <w:left w:type="dxa" w:w="90"/>
              <w:bottom w:type="dxa" w:w="30"/>
              <w:right w:type="dxa" w:w="90"/>
            </w:tcMar>
          </w:tcPr>
          <w:p>
            <w:pPr>
              <w:spacing w:after="20" w:before="20" w:line="240"/>
              <w:jc w:val="left"/>
            </w:pPr>
            <w:r>
              <w:rPr>
                <w:rFonts w:ascii="Times New Roman" w:cs="Times New Roman" w:eastAsia="Times New Roman" w:hAnsi="Times New Roman"/>
                <w:b w:val="false"/>
                <w:bCs w:val="false"/>
                <w:i/>
                <w:iCs/>
                <w:color w:val="000000"/>
                <w:sz w:val="17"/>
                <w:szCs w:val="17"/>
              </w:rPr>
              <w:t xml:space="preserve">Received formal mud crab training</w:t>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Yes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5 (7.7%)</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(4.0%)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 (21.4%)</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(33.3%)</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.035</w:t>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No</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60 (92.3%)</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24 (96.0%)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11 (78.6%)</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21 (100.0%)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 (66.7%)</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 (100.0%)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Yes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No</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Yes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No</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Yes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No</w:t>
            </w:r>
          </w:p>
        </w:tc>
        <w:tc>
          <w:tcPr>
            <w:tcW w:type="dxa" w:w="125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c>
          <w:tcPr>
            <w:tcW w:type="dxa" w:w="90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bl>
    <w:p>
      <w:pPr>
        <w:spacing w:after="120" w:before="0" w:line="360"/>
        <w:jc w:val="both"/>
      </w:pPr>
      <w:r>
        <w:rPr>
          <w:rFonts w:ascii="Times New Roman" w:cs="Times New Roman" w:eastAsia="Times New Roman" w:hAnsi="Times New Roman"/>
          <w:color w:val="000000"/>
          <w:sz w:val="24"/>
          <w:szCs w:val="24"/>
        </w:rPr>
        <w:t xml:space="preserve">Table 13 covers how fishers learned the trade and whether they had been trained. Both items were put to fishers only. Family tradition was the leading route into the fishery (41 of 64, 64.1%), ranging from 19 (79.2%) at Shimoni to 1 (33.3%) at Msambweni, and was not associated with BMU (p = .194). Formal training was rare: only 5 of 65 fishers (7.7%) had received any, and training did vary by site (p = .035), with 3 of 14 trained fishers at Majoreni (21.4%) against 1 of 25 at Shimoni (4.0%) and none at Vanga.</w:t>
      </w:r>
    </w:p>
    <w:p>
      <w:pPr>
        <w:spacing w:after="0" w:before="240" w:line="240"/>
      </w:pPr>
      <w:r>
        <w:rPr>
          <w:rFonts w:ascii="Times New Roman" w:cs="Times New Roman" w:eastAsia="Times New Roman" w:hAnsi="Times New Roman"/>
          <w:b/>
          <w:bCs/>
          <w:color w:val="000000"/>
          <w:sz w:val="24"/>
          <w:szCs w:val="24"/>
        </w:rPr>
        <w:t xml:space="preserve">Table 14</w:t>
      </w:r>
    </w:p>
    <w:p>
      <w:pPr>
        <w:spacing w:after="120" w:before="0" w:line="240"/>
      </w:pPr>
      <w:r>
        <w:rPr>
          <w:rFonts w:ascii="Times New Roman" w:cs="Times New Roman" w:eastAsia="Times New Roman" w:hAnsi="Times New Roman"/>
          <w:b w:val="false"/>
          <w:bCs w:val="false"/>
          <w:i/>
          <w:iCs/>
          <w:color w:val="000000"/>
          <w:sz w:val="24"/>
          <w:szCs w:val="24"/>
        </w:rPr>
        <w:t xml:space="preserve">Cooperative Membership, Self-Help Group Participation and Primary Market Supplied by Actor and BMU</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1850"/>
        <w:gridCol w:w="1250"/>
        <w:gridCol w:w="900"/>
        <w:gridCol w:w="820"/>
        <w:gridCol w:w="820"/>
        <w:gridCol w:w="760"/>
        <w:gridCol w:w="900"/>
        <w:gridCol w:w="880"/>
        <w:gridCol w:w="846"/>
      </w:tblGrid>
      <w:tr>
        <w:trPr>
          <w:tblHeader/>
        </w:trPr>
        <w:tc>
          <w:tcPr>
            <w:tcW w:type="dxa" w:w="18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17"/>
                <w:szCs w:val="17"/>
              </w:rPr>
              <w:t xml:space="preserve">Characteristic / response</w:t>
            </w:r>
          </w:p>
        </w:tc>
        <w:tc>
          <w:tcPr>
            <w:tcW w:type="dxa" w:w="12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Actor</w:t>
            </w:r>
          </w:p>
        </w:tc>
        <w:tc>
          <w:tcPr>
            <w:tcW w:type="dxa" w:w="9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Overall</w:t>
            </w:r>
          </w:p>
        </w:tc>
        <w:tc>
          <w:tcPr>
            <w:tcW w:type="dxa" w:w="82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Shimoni</w:t>
            </w:r>
          </w:p>
        </w:tc>
        <w:tc>
          <w:tcPr>
            <w:tcW w:type="dxa" w:w="82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Majoreni</w:t>
            </w:r>
          </w:p>
        </w:tc>
        <w:tc>
          <w:tcPr>
            <w:tcW w:type="dxa" w:w="76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Vanga</w:t>
            </w:r>
          </w:p>
        </w:tc>
        <w:tc>
          <w:tcPr>
            <w:tcW w:type="dxa" w:w="9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Msambweni</w:t>
            </w:r>
          </w:p>
        </w:tc>
        <w:tc>
          <w:tcPr>
            <w:tcW w:type="dxa" w:w="88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Other sites</w:t>
            </w:r>
          </w:p>
        </w:tc>
        <w:tc>
          <w:tcPr>
            <w:tcW w:type="dxa" w:w="846"/>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BMU p-value</w:t>
            </w:r>
          </w:p>
        </w:tc>
      </w:tr>
      <w:tr>
        <w:tc>
          <w:tcPr>
            <w:tcW w:type="dxa" w:w="9026"/>
            <w:gridSpan w:val="9"/>
            <w:tcBorders>
              <w:top w:val="none" w:color="FFFFFF" w:sz="0"/>
              <w:left w:val="none" w:color="FFFFFF" w:sz="0"/>
              <w:bottom w:val="none" w:color="FFFFFF" w:sz="0"/>
              <w:right w:val="none" w:color="FFFFFF" w:sz="0"/>
            </w:tcBorders>
            <w:tcMar>
              <w:top w:type="dxa" w:w="90"/>
              <w:left w:type="dxa" w:w="90"/>
              <w:bottom w:type="dxa" w:w="30"/>
              <w:right w:type="dxa" w:w="90"/>
            </w:tcMar>
          </w:tcPr>
          <w:p>
            <w:pPr>
              <w:spacing w:after="20" w:before="20" w:line="240"/>
              <w:jc w:val="left"/>
            </w:pPr>
            <w:r>
              <w:rPr>
                <w:rFonts w:ascii="Times New Roman" w:cs="Times New Roman" w:eastAsia="Times New Roman" w:hAnsi="Times New Roman"/>
                <w:b w:val="false"/>
                <w:bCs w:val="false"/>
                <w:i/>
                <w:iCs/>
                <w:color w:val="000000"/>
                <w:sz w:val="17"/>
                <w:szCs w:val="17"/>
              </w:rPr>
              <w:t xml:space="preserve">Member of a cooperative or association</w:t>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No</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65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25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14 (100.0%)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21 (100.0%)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 (100.0%)</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 (100.0%)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No</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22</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22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11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7 (100.0%)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No</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5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No</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4</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9026"/>
            <w:gridSpan w:val="9"/>
            <w:tcBorders>
              <w:top w:val="none" w:color="FFFFFF" w:sz="0"/>
              <w:left w:val="none" w:color="FFFFFF" w:sz="0"/>
              <w:bottom w:val="none" w:color="FFFFFF" w:sz="0"/>
              <w:right w:val="none" w:color="FFFFFF" w:sz="0"/>
            </w:tcBorders>
            <w:tcMar>
              <w:top w:type="dxa" w:w="90"/>
              <w:left w:type="dxa" w:w="90"/>
              <w:bottom w:type="dxa" w:w="30"/>
              <w:right w:type="dxa" w:w="90"/>
            </w:tcMar>
          </w:tcPr>
          <w:p>
            <w:pPr>
              <w:spacing w:after="20" w:before="20" w:line="240"/>
              <w:jc w:val="left"/>
            </w:pPr>
            <w:r>
              <w:rPr>
                <w:rFonts w:ascii="Times New Roman" w:cs="Times New Roman" w:eastAsia="Times New Roman" w:hAnsi="Times New Roman"/>
                <w:b w:val="false"/>
                <w:bCs w:val="false"/>
                <w:i/>
                <w:iCs/>
                <w:color w:val="000000"/>
                <w:sz w:val="17"/>
                <w:szCs w:val="17"/>
              </w:rPr>
              <w:t xml:space="preserve">Participates in a self-help group</w:t>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No</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65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25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14 (100.0%)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21 (100.0%)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 (100.0%)</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 (100.0%)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No</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22</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22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11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7 (100.0%)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No</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5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No</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4</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9026"/>
            <w:gridSpan w:val="9"/>
            <w:tcBorders>
              <w:top w:val="none" w:color="FFFFFF" w:sz="0"/>
              <w:left w:val="none" w:color="FFFFFF" w:sz="0"/>
              <w:bottom w:val="none" w:color="FFFFFF" w:sz="0"/>
              <w:right w:val="none" w:color="FFFFFF" w:sz="0"/>
            </w:tcBorders>
            <w:tcMar>
              <w:top w:type="dxa" w:w="90"/>
              <w:left w:type="dxa" w:w="90"/>
              <w:bottom w:type="dxa" w:w="30"/>
              <w:right w:type="dxa" w:w="90"/>
            </w:tcMar>
          </w:tcPr>
          <w:p>
            <w:pPr>
              <w:spacing w:after="20" w:before="20" w:line="240"/>
              <w:jc w:val="left"/>
            </w:pPr>
            <w:r>
              <w:rPr>
                <w:rFonts w:ascii="Times New Roman" w:cs="Times New Roman" w:eastAsia="Times New Roman" w:hAnsi="Times New Roman"/>
                <w:b w:val="false"/>
                <w:bCs w:val="false"/>
                <w:i/>
                <w:iCs/>
                <w:color w:val="000000"/>
                <w:sz w:val="17"/>
                <w:szCs w:val="17"/>
              </w:rPr>
              <w:t xml:space="preserve">Primary market supplied</w:t>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Local markets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65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25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14 (100.0%)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21 (100.0%)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 (100.0%)</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 (100.0%)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Export markets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Local markets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22</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22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11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7 (100.0%)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Export markets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Local markets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5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Export markets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Local markets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4</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Export markets</w:t>
            </w:r>
          </w:p>
        </w:tc>
        <w:tc>
          <w:tcPr>
            <w:tcW w:type="dxa" w:w="125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c>
          <w:tcPr>
            <w:tcW w:type="dxa" w:w="90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2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46"/>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bl>
    <w:p>
      <w:pPr>
        <w:spacing w:after="120" w:before="0" w:line="360"/>
        <w:jc w:val="both"/>
      </w:pPr>
      <w:r>
        <w:rPr>
          <w:rFonts w:ascii="Times New Roman" w:cs="Times New Roman" w:eastAsia="Times New Roman" w:hAnsi="Times New Roman"/>
          <w:color w:val="000000"/>
          <w:sz w:val="24"/>
          <w:szCs w:val="24"/>
        </w:rPr>
        <w:t xml:space="preserve">As shown in Table 14, no fisher, middleman, hotelier or exporter reported membership of a cooperative or association, or participation in a self-help group. The figure was 0% in every actor category at every site. Primary market divided cleanly by actor: fishers, middlemen and hoteliers supplied local markets exclusively, while all four exporters supplied export markets exclusively.</w:t>
      </w:r>
    </w:p>
    <w:p>
      <w:pPr>
        <w:spacing w:after="120" w:before="0" w:line="360"/>
        <w:jc w:val="both"/>
      </w:pPr>
      <w:r>
        <w:rPr>
          <w:rFonts w:ascii="Times New Roman" w:cs="Times New Roman" w:eastAsia="Times New Roman" w:hAnsi="Times New Roman"/>
          <w:color w:val="000000"/>
          <w:sz w:val="24"/>
          <w:szCs w:val="24"/>
        </w:rPr>
        <w:t xml:space="preserve">Tables 13 and 14 together point to a fishery with very little institutional support or formal organisation. Most fishers learned the trade at home rather than through instruction, and fewer than one in twelve had received any training. Not one respondent in any actor category, upstream or downstream, belonged to a cooperative, an association or a self-help group. The single point of formal structure in the chain was the market channel itself, which divided the domestic and international segments of the trade cleanly and categorically. For Objective One, the absence of any collective body at any node is the most consequential single finding: it means every actor in this chain negotiates alone.</w:t>
      </w:r>
    </w:p>
    <w:p>
      <w:pPr>
        <w:pStyle w:val="Heading3"/>
        <w:spacing w:after="120" w:before="240" w:line="360"/>
      </w:pPr>
      <w:r>
        <w:rPr>
          <w:rFonts w:ascii="Times New Roman" w:cs="Times New Roman" w:eastAsia="Times New Roman" w:hAnsi="Times New Roman"/>
          <w:b/>
          <w:bCs/>
          <w:color w:val="000000"/>
          <w:sz w:val="24"/>
          <w:szCs w:val="24"/>
        </w:rPr>
        <w:t xml:space="preserve">4.3.4 Summary of Objective One</w:t>
      </w:r>
    </w:p>
    <w:p>
      <w:pPr>
        <w:spacing w:after="120" w:before="0" w:line="360"/>
        <w:jc w:val="both"/>
      </w:pPr>
      <w:r>
        <w:rPr>
          <w:rFonts w:ascii="Times New Roman" w:cs="Times New Roman" w:eastAsia="Times New Roman" w:hAnsi="Times New Roman"/>
          <w:color w:val="000000"/>
          <w:sz w:val="24"/>
          <w:szCs w:val="24"/>
        </w:rPr>
        <w:t xml:space="preserve">Objective One describes four actor categories that differ in the same direction on almost every measure. Fishers were younger, schooled to primary level or below, small-scale, minimally licensed, untrained and un-diversified, and they borrowed from the middlemen who buy from them. Middlemen were older and far more experienced. Hoteliers and exporters were formally qualified, fully licensed and operating at a scale the upstream nodes do not reach. Fisher age was the only demographic characteristic significantly associated with BMU.</w:t>
      </w:r>
    </w:p>
    <w:p>
      <w:pPr>
        <w:pStyle w:val="Heading3"/>
        <w:spacing w:after="120" w:before="240" w:line="360"/>
      </w:pPr>
      <w:r>
        <w:rPr>
          <w:rFonts w:ascii="Times New Roman" w:cs="Times New Roman" w:eastAsia="Times New Roman" w:hAnsi="Times New Roman"/>
          <w:b/>
          <w:bCs/>
          <w:color w:val="000000"/>
          <w:sz w:val="24"/>
          <w:szCs w:val="24"/>
        </w:rPr>
        <w:t xml:space="preserve">4.3.5 Discussion of Findings in Relation to Previous Studies</w:t>
      </w:r>
    </w:p>
    <w:p>
      <w:pPr>
        <w:spacing w:after="120" w:before="0" w:line="360"/>
        <w:jc w:val="both"/>
      </w:pPr>
      <w:r>
        <w:rPr>
          <w:rFonts w:ascii="Times New Roman" w:cs="Times New Roman" w:eastAsia="Times New Roman" w:hAnsi="Times New Roman"/>
          <w:color w:val="000000"/>
          <w:sz w:val="24"/>
          <w:szCs w:val="24"/>
        </w:rPr>
        <w:t xml:space="preserve">The profile is young to middle-aged and almost entirely male, which fits accounts of the Kenyan mud crab fishery as a small-scale coastal livelihood in mangrove-dependent communities (Mirera, 2017a; Fondo &amp; Ogutu, 2021). Fisher age was the one demographic characteristic that varied significantly by BMU, so age composition can differ from site to site even where the wider social profile does not. The near absence of women reflects a sampling frame built on landing-site registers, not an absence of women from crab-related work.</w:t>
      </w:r>
    </w:p>
    <w:p>
      <w:pPr>
        <w:spacing w:after="120" w:before="0" w:line="360"/>
        <w:jc w:val="both"/>
      </w:pPr>
      <w:r>
        <w:rPr>
          <w:rFonts w:ascii="Times New Roman" w:cs="Times New Roman" w:eastAsia="Times New Roman" w:hAnsi="Times New Roman"/>
          <w:color w:val="000000"/>
          <w:sz w:val="24"/>
          <w:szCs w:val="24"/>
        </w:rPr>
        <w:t xml:space="preserve">Qualifications, scale, income, licensing and formality all rise together towards the downstream end of the chain. Mirera (2014a, 2017a) draws the same line between community-level harvesting and market-facing trade, though neither study establishes education as the cause of occupational position. Ownership was universal at every node, so the earnings gradient cannot be put down to who owns the enterprise. The hotelier and exporter figures rest on five and four respondents drawn mostly from outside the four BMUs, and carry that uncertainty.</w:t>
      </w:r>
    </w:p>
    <w:p>
      <w:pPr>
        <w:spacing w:after="120" w:before="0" w:line="360"/>
        <w:jc w:val="both"/>
      </w:pPr>
      <w:r>
        <w:rPr>
          <w:rFonts w:ascii="Times New Roman" w:cs="Times New Roman" w:eastAsia="Times New Roman" w:hAnsi="Times New Roman"/>
          <w:color w:val="000000"/>
          <w:sz w:val="24"/>
          <w:szCs w:val="24"/>
        </w:rPr>
        <w:t xml:space="preserve">Credit runs vertically. Fishers borrowed from middlemen, middlemen from exporters, exporters from banks. Crona et al. (2016) describe such advances as enabling and constraining at once, solving an immediate cash problem while narrowing where the seller can sell; Béné et al. (2007) treat informal credit in small-scale fisheries as both safety net and a mechanism of persistent low returns. This survey did not record amounts, terms or duration, so it cannot say which description fits. It does show that the person lending to a fisher is the person buying from him.</w:t>
      </w:r>
    </w:p>
    <w:p>
      <w:pPr>
        <w:spacing w:after="120" w:before="0" w:line="360"/>
        <w:jc w:val="both"/>
      </w:pPr>
      <w:r>
        <w:rPr>
          <w:rFonts w:ascii="Times New Roman" w:cs="Times New Roman" w:eastAsia="Times New Roman" w:hAnsi="Times New Roman"/>
          <w:color w:val="000000"/>
          <w:sz w:val="24"/>
          <w:szCs w:val="24"/>
        </w:rPr>
        <w:t xml:space="preserve">Learning stayed informal, with family tradition the commonest route in and formal training rare. That contrasts with the organised community-group model Mirera (2014a) examined, where organisation was central to small-scale mud crab aquaculture. Not one respondent at any node belonged to a cooperative, an association or a self-help group. Gutiérrez et al. (2011) found that leadership and visible benefits, rather than the existence of a group, separate the successful cases; that nothing survives here suggests earlier attempts offered members little they could point to. Evidence from organised aquaculture groups should not be assumed to describe independent capture-fishery actors (Fondo &amp; Ogutu, 2021).</w:t>
      </w:r>
    </w:p>
    <w:p>
      <w:pPr>
        <w:pStyle w:val="Heading2"/>
        <w:spacing w:after="140" w:before="280" w:line="360"/>
      </w:pPr>
      <w:r>
        <w:rPr>
          <w:rFonts w:ascii="Times New Roman" w:cs="Times New Roman" w:eastAsia="Times New Roman" w:hAnsi="Times New Roman"/>
          <w:b/>
          <w:bCs/>
          <w:color w:val="000000"/>
          <w:sz w:val="26"/>
          <w:szCs w:val="26"/>
        </w:rPr>
        <w:t xml:space="preserve">4.4 Objective Two: Functions Performed by Actors at Each Market Node</w:t>
      </w:r>
    </w:p>
    <w:p>
      <w:pPr>
        <w:spacing w:after="120" w:before="0" w:line="360"/>
        <w:jc w:val="both"/>
      </w:pPr>
      <w:r>
        <w:rPr>
          <w:rFonts w:ascii="Times New Roman" w:cs="Times New Roman" w:eastAsia="Times New Roman" w:hAnsi="Times New Roman"/>
          <w:color w:val="000000"/>
          <w:sz w:val="24"/>
          <w:szCs w:val="24"/>
        </w:rPr>
        <w:t xml:space="preserve">Objective Two examined what each actor category actually does with a mud crab: how it is obtained, prepared, graded, packed, moved, priced and paid for. The results are grouped into acquisition and disposal, buyers and market channels, handling and transport, grading and quality, losses, payment and price setting, trading relationships, and reported prices.</w:t>
      </w:r>
    </w:p>
    <w:p>
      <w:pPr>
        <w:pStyle w:val="Heading3"/>
        <w:spacing w:after="120" w:before="240" w:line="360"/>
      </w:pPr>
      <w:r>
        <w:rPr>
          <w:rFonts w:ascii="Times New Roman" w:cs="Times New Roman" w:eastAsia="Times New Roman" w:hAnsi="Times New Roman"/>
          <w:b/>
          <w:bCs/>
          <w:color w:val="000000"/>
          <w:sz w:val="24"/>
          <w:szCs w:val="24"/>
        </w:rPr>
        <w:t xml:space="preserve">4.4.1 Acquisition of Crabs and Disposal of the Catch</w:t>
      </w:r>
    </w:p>
    <w:p>
      <w:pPr>
        <w:spacing w:after="0" w:before="240" w:line="240"/>
      </w:pPr>
      <w:r>
        <w:rPr>
          <w:rFonts w:ascii="Times New Roman" w:cs="Times New Roman" w:eastAsia="Times New Roman" w:hAnsi="Times New Roman"/>
          <w:b/>
          <w:bCs/>
          <w:color w:val="000000"/>
          <w:sz w:val="24"/>
          <w:szCs w:val="24"/>
        </w:rPr>
        <w:t xml:space="preserve">Table 15</w:t>
      </w:r>
    </w:p>
    <w:p>
      <w:pPr>
        <w:spacing w:after="120" w:before="0" w:line="240"/>
      </w:pPr>
      <w:r>
        <w:rPr>
          <w:rFonts w:ascii="Times New Roman" w:cs="Times New Roman" w:eastAsia="Times New Roman" w:hAnsi="Times New Roman"/>
          <w:b w:val="false"/>
          <w:bCs w:val="false"/>
          <w:i/>
          <w:iCs/>
          <w:color w:val="000000"/>
          <w:sz w:val="24"/>
          <w:szCs w:val="24"/>
        </w:rPr>
        <w:t xml:space="preserve">How Mud Crabs Are Acquired and Source of Crabs for Sale by Actor and BMU</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1850"/>
        <w:gridCol w:w="1250"/>
        <w:gridCol w:w="900"/>
        <w:gridCol w:w="820"/>
        <w:gridCol w:w="820"/>
        <w:gridCol w:w="760"/>
        <w:gridCol w:w="900"/>
        <w:gridCol w:w="880"/>
        <w:gridCol w:w="846"/>
      </w:tblGrid>
      <w:tr>
        <w:trPr>
          <w:tblHeader/>
        </w:trPr>
        <w:tc>
          <w:tcPr>
            <w:tcW w:type="dxa" w:w="18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17"/>
                <w:szCs w:val="17"/>
              </w:rPr>
              <w:t xml:space="preserve">Characteristic / response</w:t>
            </w:r>
          </w:p>
        </w:tc>
        <w:tc>
          <w:tcPr>
            <w:tcW w:type="dxa" w:w="12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Actor</w:t>
            </w:r>
          </w:p>
        </w:tc>
        <w:tc>
          <w:tcPr>
            <w:tcW w:type="dxa" w:w="9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Overall</w:t>
            </w:r>
          </w:p>
        </w:tc>
        <w:tc>
          <w:tcPr>
            <w:tcW w:type="dxa" w:w="82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Shimoni</w:t>
            </w:r>
          </w:p>
        </w:tc>
        <w:tc>
          <w:tcPr>
            <w:tcW w:type="dxa" w:w="82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Majoreni</w:t>
            </w:r>
          </w:p>
        </w:tc>
        <w:tc>
          <w:tcPr>
            <w:tcW w:type="dxa" w:w="76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Vanga</w:t>
            </w:r>
          </w:p>
        </w:tc>
        <w:tc>
          <w:tcPr>
            <w:tcW w:type="dxa" w:w="9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Msambweni</w:t>
            </w:r>
          </w:p>
        </w:tc>
        <w:tc>
          <w:tcPr>
            <w:tcW w:type="dxa" w:w="88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Other sites</w:t>
            </w:r>
          </w:p>
        </w:tc>
        <w:tc>
          <w:tcPr>
            <w:tcW w:type="dxa" w:w="846"/>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BMU p-value</w:t>
            </w:r>
          </w:p>
        </w:tc>
      </w:tr>
      <w:tr>
        <w:tc>
          <w:tcPr>
            <w:tcW w:type="dxa" w:w="9026"/>
            <w:gridSpan w:val="9"/>
            <w:tcBorders>
              <w:top w:val="none" w:color="FFFFFF" w:sz="0"/>
              <w:left w:val="none" w:color="FFFFFF" w:sz="0"/>
              <w:bottom w:val="none" w:color="FFFFFF" w:sz="0"/>
              <w:right w:val="none" w:color="FFFFFF" w:sz="0"/>
            </w:tcBorders>
            <w:tcMar>
              <w:top w:type="dxa" w:w="90"/>
              <w:left w:type="dxa" w:w="90"/>
              <w:bottom w:type="dxa" w:w="30"/>
              <w:right w:type="dxa" w:w="90"/>
            </w:tcMar>
          </w:tcPr>
          <w:p>
            <w:pPr>
              <w:spacing w:after="20" w:before="20" w:line="240"/>
              <w:jc w:val="left"/>
            </w:pPr>
            <w:r>
              <w:rPr>
                <w:rFonts w:ascii="Times New Roman" w:cs="Times New Roman" w:eastAsia="Times New Roman" w:hAnsi="Times New Roman"/>
                <w:b w:val="false"/>
                <w:bCs w:val="false"/>
                <w:i/>
                <w:iCs/>
                <w:color w:val="000000"/>
                <w:sz w:val="17"/>
                <w:szCs w:val="17"/>
              </w:rPr>
              <w:t xml:space="preserve">How mud crabs are acquired</w:t>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Catching</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65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25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14 (100.0%)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21 (100.0%)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 (100.0%)</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 (100.0%)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Purchasing</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Catching</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22</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Purchasing</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22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11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7 (100.0%)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Catching</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Purchasing</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5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Catching</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4</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Purchasing</w:t>
            </w:r>
          </w:p>
        </w:tc>
        <w:tc>
          <w:tcPr>
            <w:tcW w:type="dxa" w:w="125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c>
          <w:tcPr>
            <w:tcW w:type="dxa" w:w="90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2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46"/>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bl>
    <w:p>
      <w:pPr>
        <w:spacing w:after="120" w:before="0" w:line="360"/>
        <w:jc w:val="both"/>
      </w:pPr>
      <w:r>
        <w:rPr>
          <w:rFonts w:ascii="Times New Roman" w:cs="Times New Roman" w:eastAsia="Times New Roman" w:hAnsi="Times New Roman"/>
          <w:color w:val="000000"/>
          <w:sz w:val="24"/>
          <w:szCs w:val="24"/>
        </w:rPr>
        <w:t xml:space="preserve">Table 15 divides the chain at its first joint. All 65 fishers obtained crabs by catching them and every middleman, hotelier and exporter by purchase, at every site. Figure 8 shows the source following the same division: fishers caught personally, 21 of 22 middlemen (95.5%) bought from other middlemen, all five hoteliers bought from middlemen and all four exporters from middlemen or agents. The one middleman who caught personally was at Shimoni.</w:t>
      </w:r>
    </w:p>
    <w:p>
      <w:pPr>
        <w:spacing w:after="0" w:before="240" w:line="240"/>
      </w:pPr>
      <w:r>
        <w:rPr>
          <w:rFonts w:ascii="Times New Roman" w:cs="Times New Roman" w:eastAsia="Times New Roman" w:hAnsi="Times New Roman"/>
          <w:b/>
          <w:bCs/>
          <w:color w:val="000000"/>
          <w:sz w:val="24"/>
          <w:szCs w:val="24"/>
        </w:rPr>
        <w:t xml:space="preserve">Figure 8</w:t>
      </w:r>
    </w:p>
    <w:p>
      <w:pPr>
        <w:spacing w:after="120" w:before="0" w:line="240"/>
      </w:pPr>
      <w:r>
        <w:rPr>
          <w:rFonts w:ascii="Times New Roman" w:cs="Times New Roman" w:eastAsia="Times New Roman" w:hAnsi="Times New Roman"/>
          <w:i/>
          <w:iCs/>
          <w:color w:val="000000"/>
          <w:sz w:val="24"/>
          <w:szCs w:val="24"/>
        </w:rPr>
        <w:t xml:space="preserve">Source of Crabs for Sale Within Each Actor Category</w:t>
      </w:r>
    </w:p>
    <w:p>
      <w:pPr>
        <w:spacing w:after="240"/>
        <w:jc w:val="center"/>
      </w:pPr>
      <w:r>
        <w:drawing>
          <wp:inline distT="0" distB="0" distL="0" distR="0">
            <wp:extent cx="5715000" cy="2000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2000250"/>
                    </a:xfrm>
                    <a:prstGeom prst="rect">
                      <a:avLst/>
                    </a:prstGeom>
                  </pic:spPr>
                </pic:pic>
              </a:graphicData>
            </a:graphic>
          </wp:inline>
        </w:drawing>
      </w:r>
    </w:p>
    <w:p>
      <w:pPr>
        <w:spacing w:after="120" w:before="0" w:line="360"/>
        <w:jc w:val="both"/>
      </w:pPr>
      <w:r>
        <w:rPr>
          <w:rFonts w:ascii="Times New Roman" w:cs="Times New Roman" w:eastAsia="Times New Roman" w:hAnsi="Times New Roman"/>
          <w:color w:val="000000"/>
          <w:sz w:val="24"/>
          <w:szCs w:val="24"/>
        </w:rPr>
        <w:t xml:space="preserve">Figure 9 covers harvesting gear, answered by fishers and by the one middleman who also caught. Hand collection dominated (47 of 65, 72.3%), ranging from 8 (57.1%) at Majoreni to 2 (100.0%) in the Other sites group, followed by scoop nets (9, 13.8%) and hooked sticks (8, 12.3%), with a single report of sweep nets. Gear was not associated with BMU (p = .144).</w:t>
      </w:r>
    </w:p>
    <w:p>
      <w:pPr>
        <w:spacing w:after="0" w:before="240" w:line="240"/>
      </w:pPr>
      <w:r>
        <w:rPr>
          <w:rFonts w:ascii="Times New Roman" w:cs="Times New Roman" w:eastAsia="Times New Roman" w:hAnsi="Times New Roman"/>
          <w:b/>
          <w:bCs/>
          <w:color w:val="000000"/>
          <w:sz w:val="24"/>
          <w:szCs w:val="24"/>
        </w:rPr>
        <w:t xml:space="preserve">Figure 9</w:t>
      </w:r>
    </w:p>
    <w:p>
      <w:pPr>
        <w:spacing w:after="120" w:before="0" w:line="240"/>
      </w:pPr>
      <w:r>
        <w:rPr>
          <w:rFonts w:ascii="Times New Roman" w:cs="Times New Roman" w:eastAsia="Times New Roman" w:hAnsi="Times New Roman"/>
          <w:i/>
          <w:iCs/>
          <w:color w:val="000000"/>
          <w:sz w:val="24"/>
          <w:szCs w:val="24"/>
        </w:rPr>
        <w:t xml:space="preserve">Fishing or Collection Gear Used by Fishers Within Each BMU</w:t>
      </w:r>
    </w:p>
    <w:p>
      <w:pPr>
        <w:spacing w:after="240"/>
        <w:jc w:val="center"/>
      </w:pPr>
      <w:r>
        <w:drawing>
          <wp:inline distT="0" distB="0" distL="0" distR="0">
            <wp:extent cx="5715000" cy="2676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2676525"/>
                    </a:xfrm>
                    <a:prstGeom prst="rect">
                      <a:avLst/>
                    </a:prstGeom>
                  </pic:spPr>
                </pic:pic>
              </a:graphicData>
            </a:graphic>
          </wp:inline>
        </w:drawing>
      </w:r>
    </w:p>
    <w:p>
      <w:pPr>
        <w:spacing w:after="120" w:before="0" w:line="360"/>
        <w:jc w:val="both"/>
      </w:pPr>
      <w:r>
        <w:rPr>
          <w:rFonts w:ascii="Times New Roman" w:cs="Times New Roman" w:eastAsia="Times New Roman" w:hAnsi="Times New Roman"/>
          <w:color w:val="000000"/>
          <w:sz w:val="24"/>
          <w:szCs w:val="24"/>
        </w:rPr>
        <w:t xml:space="preserve">Figure 10 gives the daily catch. The commonest band was 5–10 kg (44 of 65 fishers, 67.7%), ranging from 8 (57.1%) at Majoreni to 17 (81.0%) at Vanga; 14 fishers (21.5%) reported more than 10 kg and 6 (9.2%) reported 4–5 kg, the latter concentrated at Msambweni (1, 33.3%). Daily catch was not associated with BMU (p = .453). The item was not put to middlemen, hoteliers or exporters, whose columns are blank.</w:t>
      </w:r>
    </w:p>
    <w:p>
      <w:pPr>
        <w:spacing w:after="0" w:before="240" w:line="240"/>
      </w:pPr>
      <w:r>
        <w:rPr>
          <w:rFonts w:ascii="Times New Roman" w:cs="Times New Roman" w:eastAsia="Times New Roman" w:hAnsi="Times New Roman"/>
          <w:b/>
          <w:bCs/>
          <w:color w:val="000000"/>
          <w:sz w:val="24"/>
          <w:szCs w:val="24"/>
        </w:rPr>
        <w:t xml:space="preserve">Figure 10</w:t>
      </w:r>
    </w:p>
    <w:p>
      <w:pPr>
        <w:spacing w:after="120" w:before="0" w:line="240"/>
      </w:pPr>
      <w:r>
        <w:rPr>
          <w:rFonts w:ascii="Times New Roman" w:cs="Times New Roman" w:eastAsia="Times New Roman" w:hAnsi="Times New Roman"/>
          <w:i/>
          <w:iCs/>
          <w:color w:val="000000"/>
          <w:sz w:val="24"/>
          <w:szCs w:val="24"/>
        </w:rPr>
        <w:t xml:space="preserve">Daily Mud Crab Catch Reported by Fishers Within Each BMU</w:t>
      </w:r>
    </w:p>
    <w:p>
      <w:pPr>
        <w:spacing w:after="240"/>
        <w:jc w:val="center"/>
      </w:pPr>
      <w:r>
        <w:drawing>
          <wp:inline distT="0" distB="0" distL="0" distR="0">
            <wp:extent cx="5715000" cy="27336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2733675"/>
                    </a:xfrm>
                    <a:prstGeom prst="rect">
                      <a:avLst/>
                    </a:prstGeom>
                  </pic:spPr>
                </pic:pic>
              </a:graphicData>
            </a:graphic>
          </wp:inline>
        </w:drawing>
      </w:r>
    </w:p>
    <w:p>
      <w:pPr>
        <w:spacing w:after="0" w:before="240" w:line="240"/>
      </w:pPr>
      <w:r>
        <w:rPr>
          <w:rFonts w:ascii="Times New Roman" w:cs="Times New Roman" w:eastAsia="Times New Roman" w:hAnsi="Times New Roman"/>
          <w:b/>
          <w:bCs/>
          <w:color w:val="000000"/>
          <w:sz w:val="24"/>
          <w:szCs w:val="24"/>
        </w:rPr>
        <w:t xml:space="preserve">Table 16</w:t>
      </w:r>
    </w:p>
    <w:p>
      <w:pPr>
        <w:spacing w:after="120" w:before="0" w:line="240"/>
      </w:pPr>
      <w:r>
        <w:rPr>
          <w:rFonts w:ascii="Times New Roman" w:cs="Times New Roman" w:eastAsia="Times New Roman" w:hAnsi="Times New Roman"/>
          <w:b w:val="false"/>
          <w:bCs w:val="false"/>
          <w:i/>
          <w:iCs/>
          <w:color w:val="000000"/>
          <w:sz w:val="24"/>
          <w:szCs w:val="24"/>
        </w:rPr>
        <w:t xml:space="preserve">Proportion of Catch Sold and Travel Time from Fishing Grounds to Market by Actor and BMU</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1850"/>
        <w:gridCol w:w="1250"/>
        <w:gridCol w:w="900"/>
        <w:gridCol w:w="820"/>
        <w:gridCol w:w="820"/>
        <w:gridCol w:w="760"/>
        <w:gridCol w:w="900"/>
        <w:gridCol w:w="880"/>
        <w:gridCol w:w="846"/>
      </w:tblGrid>
      <w:tr>
        <w:trPr>
          <w:tblHeader/>
        </w:trPr>
        <w:tc>
          <w:tcPr>
            <w:tcW w:type="dxa" w:w="18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17"/>
                <w:szCs w:val="17"/>
              </w:rPr>
              <w:t xml:space="preserve">Characteristic / response</w:t>
            </w:r>
          </w:p>
        </w:tc>
        <w:tc>
          <w:tcPr>
            <w:tcW w:type="dxa" w:w="12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Actor</w:t>
            </w:r>
          </w:p>
        </w:tc>
        <w:tc>
          <w:tcPr>
            <w:tcW w:type="dxa" w:w="9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Overall</w:t>
            </w:r>
          </w:p>
        </w:tc>
        <w:tc>
          <w:tcPr>
            <w:tcW w:type="dxa" w:w="82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Shimoni</w:t>
            </w:r>
          </w:p>
        </w:tc>
        <w:tc>
          <w:tcPr>
            <w:tcW w:type="dxa" w:w="82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Majoreni</w:t>
            </w:r>
          </w:p>
        </w:tc>
        <w:tc>
          <w:tcPr>
            <w:tcW w:type="dxa" w:w="76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Vanga</w:t>
            </w:r>
          </w:p>
        </w:tc>
        <w:tc>
          <w:tcPr>
            <w:tcW w:type="dxa" w:w="9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Msambweni</w:t>
            </w:r>
          </w:p>
        </w:tc>
        <w:tc>
          <w:tcPr>
            <w:tcW w:type="dxa" w:w="88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Other sites</w:t>
            </w:r>
          </w:p>
        </w:tc>
        <w:tc>
          <w:tcPr>
            <w:tcW w:type="dxa" w:w="846"/>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BMU p-value</w:t>
            </w:r>
          </w:p>
        </w:tc>
      </w:tr>
      <w:tr>
        <w:tc>
          <w:tcPr>
            <w:tcW w:type="dxa" w:w="9026"/>
            <w:gridSpan w:val="9"/>
            <w:tcBorders>
              <w:top w:val="none" w:color="FFFFFF" w:sz="0"/>
              <w:left w:val="none" w:color="FFFFFF" w:sz="0"/>
              <w:bottom w:val="none" w:color="FFFFFF" w:sz="0"/>
              <w:right w:val="none" w:color="FFFFFF" w:sz="0"/>
            </w:tcBorders>
            <w:tcMar>
              <w:top w:type="dxa" w:w="90"/>
              <w:left w:type="dxa" w:w="90"/>
              <w:bottom w:type="dxa" w:w="30"/>
              <w:right w:type="dxa" w:w="90"/>
            </w:tcMar>
          </w:tcPr>
          <w:p>
            <w:pPr>
              <w:spacing w:after="20" w:before="20" w:line="240"/>
              <w:jc w:val="left"/>
            </w:pPr>
            <w:r>
              <w:rPr>
                <w:rFonts w:ascii="Times New Roman" w:cs="Times New Roman" w:eastAsia="Times New Roman" w:hAnsi="Times New Roman"/>
                <w:b w:val="false"/>
                <w:bCs w:val="false"/>
                <w:i/>
                <w:iCs/>
                <w:color w:val="000000"/>
                <w:sz w:val="17"/>
                <w:szCs w:val="17"/>
              </w:rPr>
              <w:t xml:space="preserve">Proportion of catch sold</w:t>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Whole catch</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52 (80.0%)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20 (80.0%)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13 (92.9%)</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15 (71.4%)</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 (66.7%)</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 (100.0%)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.452</w:t>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Three-quarters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13 (20.0%)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5 (20.0%)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(7.1%)</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6 (28.6%)</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(33.3%)</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Whole catch</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Three-quarters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Whole catch</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Three-quarters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Whole catch</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Three-quarters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9026"/>
            <w:gridSpan w:val="9"/>
            <w:tcBorders>
              <w:top w:val="none" w:color="FFFFFF" w:sz="0"/>
              <w:left w:val="none" w:color="FFFFFF" w:sz="0"/>
              <w:bottom w:val="none" w:color="FFFFFF" w:sz="0"/>
              <w:right w:val="none" w:color="FFFFFF" w:sz="0"/>
            </w:tcBorders>
            <w:tcMar>
              <w:top w:type="dxa" w:w="90"/>
              <w:left w:type="dxa" w:w="90"/>
              <w:bottom w:type="dxa" w:w="30"/>
              <w:right w:type="dxa" w:w="90"/>
            </w:tcMar>
          </w:tcPr>
          <w:p>
            <w:pPr>
              <w:spacing w:after="20" w:before="20" w:line="240"/>
              <w:jc w:val="left"/>
            </w:pPr>
            <w:r>
              <w:rPr>
                <w:rFonts w:ascii="Times New Roman" w:cs="Times New Roman" w:eastAsia="Times New Roman" w:hAnsi="Times New Roman"/>
                <w:b w:val="false"/>
                <w:bCs w:val="false"/>
                <w:i/>
                <w:iCs/>
                <w:color w:val="000000"/>
                <w:sz w:val="17"/>
                <w:szCs w:val="17"/>
              </w:rPr>
              <w:t xml:space="preserve">Travel time from fishing grounds to market</w:t>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1 hour</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22 (33.8%)</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(16.0%)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9 (64.3%)</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8 (38.1%)</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(50.0%)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.010</w:t>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6 hours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43 (66.2%)</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21 (84.0%)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5 (35.7%)</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13 (61.9%)</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 (100.0%)</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(50.0%)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1 hour</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6 hours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1 hour</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6 hours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1 hour</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6 hours</w:t>
            </w:r>
          </w:p>
        </w:tc>
        <w:tc>
          <w:tcPr>
            <w:tcW w:type="dxa" w:w="125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c>
          <w:tcPr>
            <w:tcW w:type="dxa" w:w="90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bl>
    <w:p>
      <w:pPr>
        <w:spacing w:after="120" w:before="0" w:line="360"/>
        <w:jc w:val="both"/>
      </w:pPr>
      <w:r>
        <w:rPr>
          <w:rFonts w:ascii="Times New Roman" w:cs="Times New Roman" w:eastAsia="Times New Roman" w:hAnsi="Times New Roman"/>
          <w:color w:val="000000"/>
          <w:sz w:val="24"/>
          <w:szCs w:val="24"/>
        </w:rPr>
        <w:t xml:space="preserve">Table 16 reports what fishers did with the catch. Selling the whole catch was the norm (52, 80.0%), ranging from 2 (66.7%) at Msambweni to 13 (92.9%) at Majoreni, and the remaining 13 fishers (20.0%) sold three-quarters. Travel time to market was six hours for 43 fishers (66.2%) and one hour for 22 (33.8%), and it varied significantly by site (p = .010): 21 of 25 Shimoni fishers (84.0%) and all three at Msambweni reported six hours against 5 of 14 at Majoreni (35.7%). Proportion sold was not associated with BMU (p = .452).</w:t>
      </w:r>
    </w:p>
    <w:p>
      <w:pPr>
        <w:spacing w:after="120" w:before="0" w:line="360"/>
        <w:jc w:val="both"/>
      </w:pPr>
      <w:r>
        <w:rPr>
          <w:rFonts w:ascii="Times New Roman" w:cs="Times New Roman" w:eastAsia="Times New Roman" w:hAnsi="Times New Roman"/>
          <w:color w:val="000000"/>
          <w:sz w:val="24"/>
          <w:szCs w:val="24"/>
        </w:rPr>
        <w:t xml:space="preserve">Tables 15 and 16 and Figures 8 to 10 establish the harvesting node as a seller with no holding capacity and no alternative to immediate sale. A fisher who lands 5 to 10 kg of live crab, carries it on foot for up to six hours and disposes of the whole catch the same day cannot wait for a better offer. Majoreni fishers reached market fastest, and Majoreni also turns out to be the site where fishers received the best price.</w:t>
      </w:r>
    </w:p>
    <w:p>
      <w:pPr>
        <w:pStyle w:val="Heading3"/>
        <w:spacing w:after="120" w:before="240" w:line="360"/>
      </w:pPr>
      <w:r>
        <w:rPr>
          <w:rFonts w:ascii="Times New Roman" w:cs="Times New Roman" w:eastAsia="Times New Roman" w:hAnsi="Times New Roman"/>
          <w:b/>
          <w:bCs/>
          <w:color w:val="000000"/>
          <w:sz w:val="24"/>
          <w:szCs w:val="24"/>
        </w:rPr>
        <w:t xml:space="preserve">4.4.2 Buyers and Market Channels</w:t>
      </w:r>
    </w:p>
    <w:p>
      <w:pPr>
        <w:spacing w:after="120" w:before="0" w:line="360"/>
        <w:jc w:val="both"/>
      </w:pPr>
      <w:r>
        <w:rPr>
          <w:rFonts w:ascii="Times New Roman" w:cs="Times New Roman" w:eastAsia="Times New Roman" w:hAnsi="Times New Roman"/>
          <w:color w:val="000000"/>
          <w:sz w:val="24"/>
          <w:szCs w:val="24"/>
        </w:rPr>
        <w:t xml:space="preserve">Figure 11 shows who each actor sold to. Every fisher, at every site, sold to a first-level middleman. Middlemen sold on to company agents (9, 40.9%), second-level middlemen (7, 31.8%) or exporters (5, 22.7%), with one selling to another first-level middleman; the company-agent share ran from 3 (27.3%) at Shimoni to 3 (75.0%) at Vanga, and buyer category was not associated with BMU (p = .656). Hoteliers sold to consumers and exporters to importers, in both cases without exception.</w:t>
      </w:r>
    </w:p>
    <w:p>
      <w:pPr>
        <w:spacing w:after="0" w:before="240" w:line="240"/>
      </w:pPr>
      <w:r>
        <w:rPr>
          <w:rFonts w:ascii="Times New Roman" w:cs="Times New Roman" w:eastAsia="Times New Roman" w:hAnsi="Times New Roman"/>
          <w:b/>
          <w:bCs/>
          <w:color w:val="000000"/>
          <w:sz w:val="24"/>
          <w:szCs w:val="24"/>
        </w:rPr>
        <w:t xml:space="preserve">Figure 11</w:t>
      </w:r>
    </w:p>
    <w:p>
      <w:pPr>
        <w:spacing w:after="120" w:before="0" w:line="240"/>
      </w:pPr>
      <w:r>
        <w:rPr>
          <w:rFonts w:ascii="Times New Roman" w:cs="Times New Roman" w:eastAsia="Times New Roman" w:hAnsi="Times New Roman"/>
          <w:i/>
          <w:iCs/>
          <w:color w:val="000000"/>
          <w:sz w:val="24"/>
          <w:szCs w:val="24"/>
        </w:rPr>
        <w:t xml:space="preserve">Main Buyer Category Within Each Actor Category</w:t>
      </w:r>
    </w:p>
    <w:p>
      <w:pPr>
        <w:spacing w:after="240"/>
        <w:jc w:val="center"/>
      </w:pPr>
      <w:r>
        <w:drawing>
          <wp:inline distT="0" distB="0" distL="0" distR="0">
            <wp:extent cx="5715000" cy="2428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15000" cy="2428875"/>
                    </a:xfrm>
                    <a:prstGeom prst="rect">
                      <a:avLst/>
                    </a:prstGeom>
                  </pic:spPr>
                </pic:pic>
              </a:graphicData>
            </a:graphic>
          </wp:inline>
        </w:drawing>
      </w:r>
    </w:p>
    <w:p>
      <w:pPr>
        <w:spacing w:after="0" w:before="240" w:line="240"/>
      </w:pPr>
      <w:r>
        <w:rPr>
          <w:rFonts w:ascii="Times New Roman" w:cs="Times New Roman" w:eastAsia="Times New Roman" w:hAnsi="Times New Roman"/>
          <w:b/>
          <w:bCs/>
          <w:color w:val="000000"/>
          <w:sz w:val="24"/>
          <w:szCs w:val="24"/>
        </w:rPr>
        <w:t xml:space="preserve">Table 17</w:t>
      </w:r>
    </w:p>
    <w:p>
      <w:pPr>
        <w:spacing w:after="120" w:before="0" w:line="240"/>
      </w:pPr>
      <w:r>
        <w:rPr>
          <w:rFonts w:ascii="Times New Roman" w:cs="Times New Roman" w:eastAsia="Times New Roman" w:hAnsi="Times New Roman"/>
          <w:b w:val="false"/>
          <w:bCs w:val="false"/>
          <w:i/>
          <w:iCs/>
          <w:color w:val="000000"/>
          <w:sz w:val="24"/>
          <w:szCs w:val="24"/>
        </w:rPr>
        <w:t xml:space="preserve">Primary Market Channel and Contact With Final Consumers by Actor and BMU</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1850"/>
        <w:gridCol w:w="1250"/>
        <w:gridCol w:w="900"/>
        <w:gridCol w:w="820"/>
        <w:gridCol w:w="820"/>
        <w:gridCol w:w="760"/>
        <w:gridCol w:w="900"/>
        <w:gridCol w:w="880"/>
        <w:gridCol w:w="846"/>
      </w:tblGrid>
      <w:tr>
        <w:trPr>
          <w:tblHeader/>
        </w:trPr>
        <w:tc>
          <w:tcPr>
            <w:tcW w:type="dxa" w:w="18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17"/>
                <w:szCs w:val="17"/>
              </w:rPr>
              <w:t xml:space="preserve">Characteristic / response</w:t>
            </w:r>
          </w:p>
        </w:tc>
        <w:tc>
          <w:tcPr>
            <w:tcW w:type="dxa" w:w="12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Actor</w:t>
            </w:r>
          </w:p>
        </w:tc>
        <w:tc>
          <w:tcPr>
            <w:tcW w:type="dxa" w:w="9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Overall</w:t>
            </w:r>
          </w:p>
        </w:tc>
        <w:tc>
          <w:tcPr>
            <w:tcW w:type="dxa" w:w="82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Shimoni</w:t>
            </w:r>
          </w:p>
        </w:tc>
        <w:tc>
          <w:tcPr>
            <w:tcW w:type="dxa" w:w="82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Majoreni</w:t>
            </w:r>
          </w:p>
        </w:tc>
        <w:tc>
          <w:tcPr>
            <w:tcW w:type="dxa" w:w="76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Vanga</w:t>
            </w:r>
          </w:p>
        </w:tc>
        <w:tc>
          <w:tcPr>
            <w:tcW w:type="dxa" w:w="9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Msambweni</w:t>
            </w:r>
          </w:p>
        </w:tc>
        <w:tc>
          <w:tcPr>
            <w:tcW w:type="dxa" w:w="88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Other sites</w:t>
            </w:r>
          </w:p>
        </w:tc>
        <w:tc>
          <w:tcPr>
            <w:tcW w:type="dxa" w:w="846"/>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BMU p-value</w:t>
            </w:r>
          </w:p>
        </w:tc>
      </w:tr>
      <w:tr>
        <w:tc>
          <w:tcPr>
            <w:tcW w:type="dxa" w:w="9026"/>
            <w:gridSpan w:val="9"/>
            <w:tcBorders>
              <w:top w:val="none" w:color="FFFFFF" w:sz="0"/>
              <w:left w:val="none" w:color="FFFFFF" w:sz="0"/>
              <w:bottom w:val="none" w:color="FFFFFF" w:sz="0"/>
              <w:right w:val="none" w:color="FFFFFF" w:sz="0"/>
            </w:tcBorders>
            <w:tcMar>
              <w:top w:type="dxa" w:w="90"/>
              <w:left w:type="dxa" w:w="90"/>
              <w:bottom w:type="dxa" w:w="30"/>
              <w:right w:type="dxa" w:w="90"/>
            </w:tcMar>
          </w:tcPr>
          <w:p>
            <w:pPr>
              <w:spacing w:after="20" w:before="20" w:line="240"/>
              <w:jc w:val="left"/>
            </w:pPr>
            <w:r>
              <w:rPr>
                <w:rFonts w:ascii="Times New Roman" w:cs="Times New Roman" w:eastAsia="Times New Roman" w:hAnsi="Times New Roman"/>
                <w:b w:val="false"/>
                <w:bCs w:val="false"/>
                <w:i/>
                <w:iCs/>
                <w:color w:val="000000"/>
                <w:sz w:val="17"/>
                <w:szCs w:val="17"/>
              </w:rPr>
              <w:t xml:space="preserve">Primary market channel</w:t>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Export markets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Local markets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65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25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14 (100.0%)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21 (100.0%)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 (100.0%)</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 (100.0%)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Restaurants and hotels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Export markets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22</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Local markets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22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11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7 (100.0%)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Restaurants and hotels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Export markets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Local markets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Restaurants and hotels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5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Export markets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4</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Local markets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Restaurants and hotels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9026"/>
            <w:gridSpan w:val="9"/>
            <w:tcBorders>
              <w:top w:val="none" w:color="FFFFFF" w:sz="0"/>
              <w:left w:val="none" w:color="FFFFFF" w:sz="0"/>
              <w:bottom w:val="none" w:color="FFFFFF" w:sz="0"/>
              <w:right w:val="none" w:color="FFFFFF" w:sz="0"/>
            </w:tcBorders>
            <w:tcMar>
              <w:top w:type="dxa" w:w="90"/>
              <w:left w:type="dxa" w:w="90"/>
              <w:bottom w:type="dxa" w:w="30"/>
              <w:right w:type="dxa" w:w="90"/>
            </w:tcMar>
          </w:tcPr>
          <w:p>
            <w:pPr>
              <w:spacing w:after="20" w:before="20" w:line="240"/>
              <w:jc w:val="left"/>
            </w:pPr>
            <w:r>
              <w:rPr>
                <w:rFonts w:ascii="Times New Roman" w:cs="Times New Roman" w:eastAsia="Times New Roman" w:hAnsi="Times New Roman"/>
                <w:b w:val="false"/>
                <w:bCs w:val="false"/>
                <w:i/>
                <w:iCs/>
                <w:color w:val="000000"/>
                <w:sz w:val="17"/>
                <w:szCs w:val="17"/>
              </w:rPr>
              <w:t xml:space="preserve">Contact with final consumers</w:t>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Through intermediaries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65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25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14 (100.0%)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21 (100.0%)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 (100.0%)</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 (100.0%)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Direct contact</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Through intermediaries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22</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22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11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7 (100.0%)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Direct contact</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Through intermediaries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Direct contact</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5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Through intermediaries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4</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Direct contact</w:t>
            </w:r>
          </w:p>
        </w:tc>
        <w:tc>
          <w:tcPr>
            <w:tcW w:type="dxa" w:w="125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c>
          <w:tcPr>
            <w:tcW w:type="dxa" w:w="90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2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46"/>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bl>
    <w:p>
      <w:pPr>
        <w:spacing w:after="120" w:before="0" w:line="360"/>
        <w:jc w:val="both"/>
      </w:pPr>
      <w:r>
        <w:rPr>
          <w:rFonts w:ascii="Times New Roman" w:cs="Times New Roman" w:eastAsia="Times New Roman" w:hAnsi="Times New Roman"/>
          <w:color w:val="000000"/>
          <w:sz w:val="24"/>
          <w:szCs w:val="24"/>
        </w:rPr>
        <w:t xml:space="preserve">Table 17 completes the picture. Fishers and middlemen supplied local markets only, hoteliers restaurants and hotels, exporters export markets. Contact with the final consumer divided as cleanly: all 65 fishers and all 22 middlemen reached the consumer only through intermediaries, while all five hoteliers and all four exporters dealt with the end buyer directly. Neither item varied enough within fishers or middlemen to support a test against BMU.</w:t>
      </w:r>
    </w:p>
    <w:p>
      <w:pPr>
        <w:spacing w:after="120" w:before="0" w:line="360"/>
        <w:jc w:val="both"/>
      </w:pPr>
      <w:r>
        <w:rPr>
          <w:rFonts w:ascii="Times New Roman" w:cs="Times New Roman" w:eastAsia="Times New Roman" w:hAnsi="Times New Roman"/>
          <w:color w:val="000000"/>
          <w:sz w:val="24"/>
          <w:szCs w:val="24"/>
        </w:rPr>
        <w:t xml:space="preserve">Table 17 and Figure 11 answer a central part of Objective Two. The actors who know what a crab finally sells for are the two groups furthest from the water, and the two groups who catch and aggregate it never meet the person who eats it. That informational distance underlies the price results reported later in this chapter.</w:t>
      </w:r>
    </w:p>
    <w:p>
      <w:pPr>
        <w:spacing w:after="0" w:before="240" w:line="240"/>
      </w:pPr>
      <w:r>
        <w:rPr>
          <w:rFonts w:ascii="Times New Roman" w:cs="Times New Roman" w:eastAsia="Times New Roman" w:hAnsi="Times New Roman"/>
          <w:b/>
          <w:bCs/>
          <w:color w:val="000000"/>
          <w:sz w:val="24"/>
          <w:szCs w:val="24"/>
        </w:rPr>
        <w:t xml:space="preserve">Table 18</w:t>
      </w:r>
    </w:p>
    <w:p>
      <w:pPr>
        <w:spacing w:after="120" w:before="0" w:line="240"/>
      </w:pPr>
      <w:r>
        <w:rPr>
          <w:rFonts w:ascii="Times New Roman" w:cs="Times New Roman" w:eastAsia="Times New Roman" w:hAnsi="Times New Roman"/>
          <w:b w:val="false"/>
          <w:bCs w:val="false"/>
          <w:i/>
          <w:iCs/>
          <w:color w:val="000000"/>
          <w:sz w:val="24"/>
          <w:szCs w:val="24"/>
        </w:rPr>
        <w:t xml:space="preserve">Number of Buyers, State of Crabs Sold and Regularity of the Main Buyer by Actor and BMU</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1850"/>
        <w:gridCol w:w="1250"/>
        <w:gridCol w:w="900"/>
        <w:gridCol w:w="820"/>
        <w:gridCol w:w="820"/>
        <w:gridCol w:w="760"/>
        <w:gridCol w:w="900"/>
        <w:gridCol w:w="880"/>
        <w:gridCol w:w="846"/>
      </w:tblGrid>
      <w:tr>
        <w:trPr>
          <w:tblHeader/>
        </w:trPr>
        <w:tc>
          <w:tcPr>
            <w:tcW w:type="dxa" w:w="18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17"/>
                <w:szCs w:val="17"/>
              </w:rPr>
              <w:t xml:space="preserve">Characteristic / response</w:t>
            </w:r>
          </w:p>
        </w:tc>
        <w:tc>
          <w:tcPr>
            <w:tcW w:type="dxa" w:w="12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Actor</w:t>
            </w:r>
          </w:p>
        </w:tc>
        <w:tc>
          <w:tcPr>
            <w:tcW w:type="dxa" w:w="9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Overall</w:t>
            </w:r>
          </w:p>
        </w:tc>
        <w:tc>
          <w:tcPr>
            <w:tcW w:type="dxa" w:w="82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Shimoni</w:t>
            </w:r>
          </w:p>
        </w:tc>
        <w:tc>
          <w:tcPr>
            <w:tcW w:type="dxa" w:w="82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Majoreni</w:t>
            </w:r>
          </w:p>
        </w:tc>
        <w:tc>
          <w:tcPr>
            <w:tcW w:type="dxa" w:w="76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Vanga</w:t>
            </w:r>
          </w:p>
        </w:tc>
        <w:tc>
          <w:tcPr>
            <w:tcW w:type="dxa" w:w="9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Msambweni</w:t>
            </w:r>
          </w:p>
        </w:tc>
        <w:tc>
          <w:tcPr>
            <w:tcW w:type="dxa" w:w="88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Other sites</w:t>
            </w:r>
          </w:p>
        </w:tc>
        <w:tc>
          <w:tcPr>
            <w:tcW w:type="dxa" w:w="846"/>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BMU p-value</w:t>
            </w:r>
          </w:p>
        </w:tc>
      </w:tr>
      <w:tr>
        <w:tc>
          <w:tcPr>
            <w:tcW w:type="dxa" w:w="9026"/>
            <w:gridSpan w:val="9"/>
            <w:tcBorders>
              <w:top w:val="none" w:color="FFFFFF" w:sz="0"/>
              <w:left w:val="none" w:color="FFFFFF" w:sz="0"/>
              <w:bottom w:val="none" w:color="FFFFFF" w:sz="0"/>
              <w:right w:val="none" w:color="FFFFFF" w:sz="0"/>
            </w:tcBorders>
            <w:tcMar>
              <w:top w:type="dxa" w:w="90"/>
              <w:left w:type="dxa" w:w="90"/>
              <w:bottom w:type="dxa" w:w="30"/>
              <w:right w:type="dxa" w:w="90"/>
            </w:tcMar>
          </w:tcPr>
          <w:p>
            <w:pPr>
              <w:spacing w:after="20" w:before="20" w:line="240"/>
              <w:jc w:val="left"/>
            </w:pPr>
            <w:r>
              <w:rPr>
                <w:rFonts w:ascii="Times New Roman" w:cs="Times New Roman" w:eastAsia="Times New Roman" w:hAnsi="Times New Roman"/>
                <w:b w:val="false"/>
                <w:bCs w:val="false"/>
                <w:i/>
                <w:iCs/>
                <w:color w:val="000000"/>
                <w:sz w:val="17"/>
                <w:szCs w:val="17"/>
              </w:rPr>
              <w:t xml:space="preserve">Number of buyers reported</w:t>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One buyer</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50 (76.9%)</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17 (68.0%)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10 (71.4%)</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18 (85.7%)</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 (100.0%)</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 (100.0%)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.412</w:t>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Two buyers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15 (23.1%)</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8 (32.0%)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(28.6%)</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 (14.3%)</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One buyer</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Two buyers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One buyer</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Two buyers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One buyer</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Two buyers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9026"/>
            <w:gridSpan w:val="9"/>
            <w:tcBorders>
              <w:top w:val="none" w:color="FFFFFF" w:sz="0"/>
              <w:left w:val="none" w:color="FFFFFF" w:sz="0"/>
              <w:bottom w:val="none" w:color="FFFFFF" w:sz="0"/>
              <w:right w:val="none" w:color="FFFFFF" w:sz="0"/>
            </w:tcBorders>
            <w:tcMar>
              <w:top w:type="dxa" w:w="90"/>
              <w:left w:type="dxa" w:w="90"/>
              <w:bottom w:type="dxa" w:w="30"/>
              <w:right w:type="dxa" w:w="90"/>
            </w:tcMar>
          </w:tcPr>
          <w:p>
            <w:pPr>
              <w:spacing w:after="20" w:before="20" w:line="240"/>
              <w:jc w:val="left"/>
            </w:pPr>
            <w:r>
              <w:rPr>
                <w:rFonts w:ascii="Times New Roman" w:cs="Times New Roman" w:eastAsia="Times New Roman" w:hAnsi="Times New Roman"/>
                <w:b w:val="false"/>
                <w:bCs w:val="false"/>
                <w:i/>
                <w:iCs/>
                <w:color w:val="000000"/>
                <w:sz w:val="17"/>
                <w:szCs w:val="17"/>
              </w:rPr>
              <w:t xml:space="preserve">State of mud crabs sold</w:t>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Live</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65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25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14 (100.0%)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21 (100.0%)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 (100.0%)</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 (100.0%)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Live</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Live</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Live</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9026"/>
            <w:gridSpan w:val="9"/>
            <w:tcBorders>
              <w:top w:val="none" w:color="FFFFFF" w:sz="0"/>
              <w:left w:val="none" w:color="FFFFFF" w:sz="0"/>
              <w:bottom w:val="none" w:color="FFFFFF" w:sz="0"/>
              <w:right w:val="none" w:color="FFFFFF" w:sz="0"/>
            </w:tcBorders>
            <w:tcMar>
              <w:top w:type="dxa" w:w="90"/>
              <w:left w:type="dxa" w:w="90"/>
              <w:bottom w:type="dxa" w:w="30"/>
              <w:right w:type="dxa" w:w="90"/>
            </w:tcMar>
          </w:tcPr>
          <w:p>
            <w:pPr>
              <w:spacing w:after="20" w:before="20" w:line="240"/>
              <w:jc w:val="left"/>
            </w:pPr>
            <w:r>
              <w:rPr>
                <w:rFonts w:ascii="Times New Roman" w:cs="Times New Roman" w:eastAsia="Times New Roman" w:hAnsi="Times New Roman"/>
                <w:b w:val="false"/>
                <w:bCs w:val="false"/>
                <w:i/>
                <w:iCs/>
                <w:color w:val="000000"/>
                <w:sz w:val="17"/>
                <w:szCs w:val="17"/>
              </w:rPr>
              <w:t xml:space="preserve">Main buyer is regular</w:t>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Yes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65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25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14 (100.0%)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21 (100.0%)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 (100.0%)</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 (100.0%)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Yes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22</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22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11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7 (100.0%)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Yes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5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Yes</w:t>
            </w:r>
          </w:p>
        </w:tc>
        <w:tc>
          <w:tcPr>
            <w:tcW w:type="dxa" w:w="125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4</w:t>
            </w:r>
          </w:p>
        </w:tc>
        <w:tc>
          <w:tcPr>
            <w:tcW w:type="dxa" w:w="90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2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46"/>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bl>
    <w:p>
      <w:pPr>
        <w:spacing w:after="120" w:before="0" w:line="360"/>
        <w:jc w:val="both"/>
      </w:pPr>
      <w:r>
        <w:rPr>
          <w:rFonts w:ascii="Times New Roman" w:cs="Times New Roman" w:eastAsia="Times New Roman" w:hAnsi="Times New Roman"/>
          <w:color w:val="000000"/>
          <w:sz w:val="24"/>
          <w:szCs w:val="24"/>
        </w:rPr>
        <w:t xml:space="preserve">Table 18 records buyer numbers and the condition in which crabs changed hands. Among fishers, 50 (76.9%) reported a single buyer and 15 (23.1%) reported two, the single-buyer share ranging from 17 (68.0%) at Shimoni to all three (100.0%) at Msambweni; the number of buyers was not associated with BMU (p = .412). The item was not put to the other three categories. All 65 fishers sold crabs live, and every respondent in all four actor categories, 96 of 96, said their main buyer was a regular one.</w:t>
      </w:r>
    </w:p>
    <w:p>
      <w:pPr>
        <w:spacing w:after="120" w:before="0" w:line="360"/>
        <w:jc w:val="both"/>
      </w:pPr>
      <w:r>
        <w:rPr>
          <w:rFonts w:ascii="Times New Roman" w:cs="Times New Roman" w:eastAsia="Times New Roman" w:hAnsi="Times New Roman"/>
          <w:color w:val="000000"/>
          <w:sz w:val="24"/>
          <w:szCs w:val="24"/>
        </w:rPr>
        <w:t xml:space="preserve">Those rows describe a market with almost no spot trading at the harvesting node. Three quarters of fishers dealt with one buyer, that buyer was a regular, and the crab was live and therefore perishable at the moment of sale. A seller in that position has little practical ability to decline the price offered.</w:t>
      </w:r>
    </w:p>
    <w:p>
      <w:pPr>
        <w:spacing w:after="0" w:before="240" w:line="240"/>
      </w:pPr>
      <w:r>
        <w:rPr>
          <w:rFonts w:ascii="Times New Roman" w:cs="Times New Roman" w:eastAsia="Times New Roman" w:hAnsi="Times New Roman"/>
          <w:b/>
          <w:bCs/>
          <w:color w:val="000000"/>
          <w:sz w:val="24"/>
          <w:szCs w:val="24"/>
        </w:rPr>
        <w:t xml:space="preserve">Table 19</w:t>
      </w:r>
    </w:p>
    <w:p>
      <w:pPr>
        <w:spacing w:after="120" w:before="0" w:line="240"/>
      </w:pPr>
      <w:r>
        <w:rPr>
          <w:rFonts w:ascii="Times New Roman" w:cs="Times New Roman" w:eastAsia="Times New Roman" w:hAnsi="Times New Roman"/>
          <w:b w:val="false"/>
          <w:bCs w:val="false"/>
          <w:i/>
          <w:iCs/>
          <w:color w:val="000000"/>
          <w:sz w:val="24"/>
          <w:szCs w:val="24"/>
        </w:rPr>
        <w:t xml:space="preserve">Location of Sale and Knowledge of the Onward Sale by Actor and BMU</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1850"/>
        <w:gridCol w:w="1250"/>
        <w:gridCol w:w="900"/>
        <w:gridCol w:w="820"/>
        <w:gridCol w:w="820"/>
        <w:gridCol w:w="760"/>
        <w:gridCol w:w="900"/>
        <w:gridCol w:w="880"/>
        <w:gridCol w:w="846"/>
      </w:tblGrid>
      <w:tr>
        <w:trPr>
          <w:tblHeader/>
        </w:trPr>
        <w:tc>
          <w:tcPr>
            <w:tcW w:type="dxa" w:w="18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17"/>
                <w:szCs w:val="17"/>
              </w:rPr>
              <w:t xml:space="preserve">Characteristic / response</w:t>
            </w:r>
          </w:p>
        </w:tc>
        <w:tc>
          <w:tcPr>
            <w:tcW w:type="dxa" w:w="12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Actor</w:t>
            </w:r>
          </w:p>
        </w:tc>
        <w:tc>
          <w:tcPr>
            <w:tcW w:type="dxa" w:w="9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Overall</w:t>
            </w:r>
          </w:p>
        </w:tc>
        <w:tc>
          <w:tcPr>
            <w:tcW w:type="dxa" w:w="82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Shimoni</w:t>
            </w:r>
          </w:p>
        </w:tc>
        <w:tc>
          <w:tcPr>
            <w:tcW w:type="dxa" w:w="82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Majoreni</w:t>
            </w:r>
          </w:p>
        </w:tc>
        <w:tc>
          <w:tcPr>
            <w:tcW w:type="dxa" w:w="76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Vanga</w:t>
            </w:r>
          </w:p>
        </w:tc>
        <w:tc>
          <w:tcPr>
            <w:tcW w:type="dxa" w:w="9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Msambweni</w:t>
            </w:r>
          </w:p>
        </w:tc>
        <w:tc>
          <w:tcPr>
            <w:tcW w:type="dxa" w:w="88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Other sites</w:t>
            </w:r>
          </w:p>
        </w:tc>
        <w:tc>
          <w:tcPr>
            <w:tcW w:type="dxa" w:w="846"/>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BMU p-value</w:t>
            </w:r>
          </w:p>
        </w:tc>
      </w:tr>
      <w:tr>
        <w:tc>
          <w:tcPr>
            <w:tcW w:type="dxa" w:w="9026"/>
            <w:gridSpan w:val="9"/>
            <w:tcBorders>
              <w:top w:val="none" w:color="FFFFFF" w:sz="0"/>
              <w:left w:val="none" w:color="FFFFFF" w:sz="0"/>
              <w:bottom w:val="none" w:color="FFFFFF" w:sz="0"/>
              <w:right w:val="none" w:color="FFFFFF" w:sz="0"/>
            </w:tcBorders>
            <w:tcMar>
              <w:top w:type="dxa" w:w="90"/>
              <w:left w:type="dxa" w:w="90"/>
              <w:bottom w:type="dxa" w:w="30"/>
              <w:right w:type="dxa" w:w="90"/>
            </w:tcMar>
          </w:tcPr>
          <w:p>
            <w:pPr>
              <w:spacing w:after="20" w:before="20" w:line="240"/>
              <w:jc w:val="left"/>
            </w:pPr>
            <w:r>
              <w:rPr>
                <w:rFonts w:ascii="Times New Roman" w:cs="Times New Roman" w:eastAsia="Times New Roman" w:hAnsi="Times New Roman"/>
                <w:b w:val="false"/>
                <w:bCs w:val="false"/>
                <w:i/>
                <w:iCs/>
                <w:color w:val="000000"/>
                <w:sz w:val="17"/>
                <w:szCs w:val="17"/>
              </w:rPr>
              <w:t xml:space="preserve">Location of sale</w:t>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Landing beach</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65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25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14 (100.0%)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21 (100.0%)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 (100.0%)</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 (100.0%)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Market</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Town</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Landing beach</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22</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(4.5%)</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(9.1%)</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.928</w:t>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Market</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10 (45.5%)</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(36.4%)</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(57.1%)</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 (50.0%)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Town</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11 (50.0%)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6 (54.5%)</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 (42.9%)</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 (50.0%)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Landing beach</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Market</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Town</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5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Landing beach</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4</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Market</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Town</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9026"/>
            <w:gridSpan w:val="9"/>
            <w:tcBorders>
              <w:top w:val="none" w:color="FFFFFF" w:sz="0"/>
              <w:left w:val="none" w:color="FFFFFF" w:sz="0"/>
              <w:bottom w:val="none" w:color="FFFFFF" w:sz="0"/>
              <w:right w:val="none" w:color="FFFFFF" w:sz="0"/>
            </w:tcBorders>
            <w:tcMar>
              <w:top w:type="dxa" w:w="90"/>
              <w:left w:type="dxa" w:w="90"/>
              <w:bottom w:type="dxa" w:w="30"/>
              <w:right w:type="dxa" w:w="90"/>
            </w:tcMar>
          </w:tcPr>
          <w:p>
            <w:pPr>
              <w:spacing w:after="20" w:before="20" w:line="240"/>
              <w:jc w:val="left"/>
            </w:pPr>
            <w:r>
              <w:rPr>
                <w:rFonts w:ascii="Times New Roman" w:cs="Times New Roman" w:eastAsia="Times New Roman" w:hAnsi="Times New Roman"/>
                <w:b w:val="false"/>
                <w:bCs w:val="false"/>
                <w:i/>
                <w:iCs/>
                <w:color w:val="000000"/>
                <w:sz w:val="17"/>
                <w:szCs w:val="17"/>
              </w:rPr>
              <w:t xml:space="preserve">Knows whom the next trader sells to</w:t>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No</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65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25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14 (100.0%)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21 (100.0%)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 (100.0%)</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 (100.0%)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No</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22</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22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11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7 (100.0%)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No</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No</w:t>
            </w:r>
          </w:p>
        </w:tc>
        <w:tc>
          <w:tcPr>
            <w:tcW w:type="dxa" w:w="125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4</w:t>
            </w:r>
          </w:p>
        </w:tc>
        <w:tc>
          <w:tcPr>
            <w:tcW w:type="dxa" w:w="90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2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46"/>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bl>
    <w:p>
      <w:pPr>
        <w:spacing w:after="120" w:before="0" w:line="360"/>
        <w:jc w:val="both"/>
      </w:pPr>
      <w:r>
        <w:rPr>
          <w:rFonts w:ascii="Times New Roman" w:cs="Times New Roman" w:eastAsia="Times New Roman" w:hAnsi="Times New Roman"/>
          <w:color w:val="000000"/>
          <w:sz w:val="24"/>
          <w:szCs w:val="24"/>
        </w:rPr>
        <w:t xml:space="preserve">As shown in Table 19, the place of sale divided by node. Every fisher sold at the landing beach, without exception at any site. Middlemen sold in town (11, 50.0%) or at a market (10, 45.5%), with one still selling at the beach, and the pattern did not vary by BMU (p = .928). All five hoteliers and all four exporters sold in town. Every fisher, every middleman and all four exporters who answered said they did not know whom the next trader sold to; no hotelier completed the item.</w:t>
      </w:r>
    </w:p>
    <w:p>
      <w:pPr>
        <w:spacing w:after="120" w:before="0" w:line="360"/>
        <w:jc w:val="both"/>
      </w:pPr>
      <w:r>
        <w:rPr>
          <w:rFonts w:ascii="Times New Roman" w:cs="Times New Roman" w:eastAsia="Times New Roman" w:hAnsi="Times New Roman"/>
          <w:color w:val="000000"/>
          <w:sz w:val="24"/>
          <w:szCs w:val="24"/>
        </w:rPr>
        <w:t xml:space="preserve">Not one actor upstream of the final buyer could say where the crab went next. With the absence of market research reported later in Table 35, no actor in this chain has sight of the price two steps ahead of their own transaction.</w:t>
      </w:r>
    </w:p>
    <w:p>
      <w:pPr>
        <w:spacing w:after="0" w:before="240" w:line="240"/>
      </w:pPr>
      <w:r>
        <w:rPr>
          <w:rFonts w:ascii="Times New Roman" w:cs="Times New Roman" w:eastAsia="Times New Roman" w:hAnsi="Times New Roman"/>
          <w:b/>
          <w:bCs/>
          <w:color w:val="000000"/>
          <w:sz w:val="24"/>
          <w:szCs w:val="24"/>
        </w:rPr>
        <w:t xml:space="preserve">Table 20</w:t>
      </w:r>
    </w:p>
    <w:p>
      <w:pPr>
        <w:spacing w:after="120" w:before="0" w:line="240"/>
      </w:pPr>
      <w:r>
        <w:rPr>
          <w:rFonts w:ascii="Times New Roman" w:cs="Times New Roman" w:eastAsia="Times New Roman" w:hAnsi="Times New Roman"/>
          <w:b w:val="false"/>
          <w:bCs w:val="false"/>
          <w:i/>
          <w:iCs/>
          <w:color w:val="000000"/>
          <w:sz w:val="24"/>
          <w:szCs w:val="24"/>
        </w:rPr>
        <w:t xml:space="preserve">First Buyer Location Reported by Fishers by BMU</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1850"/>
        <w:gridCol w:w="1250"/>
        <w:gridCol w:w="900"/>
        <w:gridCol w:w="820"/>
        <w:gridCol w:w="820"/>
        <w:gridCol w:w="760"/>
        <w:gridCol w:w="900"/>
        <w:gridCol w:w="880"/>
        <w:gridCol w:w="846"/>
      </w:tblGrid>
      <w:tr>
        <w:trPr>
          <w:tblHeader/>
        </w:trPr>
        <w:tc>
          <w:tcPr>
            <w:tcW w:type="dxa" w:w="18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17"/>
                <w:szCs w:val="17"/>
              </w:rPr>
              <w:t xml:space="preserve">Characteristic / response</w:t>
            </w:r>
          </w:p>
        </w:tc>
        <w:tc>
          <w:tcPr>
            <w:tcW w:type="dxa" w:w="12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Actor</w:t>
            </w:r>
          </w:p>
        </w:tc>
        <w:tc>
          <w:tcPr>
            <w:tcW w:type="dxa" w:w="9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Overall</w:t>
            </w:r>
          </w:p>
        </w:tc>
        <w:tc>
          <w:tcPr>
            <w:tcW w:type="dxa" w:w="82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Shimoni</w:t>
            </w:r>
          </w:p>
        </w:tc>
        <w:tc>
          <w:tcPr>
            <w:tcW w:type="dxa" w:w="82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Majoreni</w:t>
            </w:r>
          </w:p>
        </w:tc>
        <w:tc>
          <w:tcPr>
            <w:tcW w:type="dxa" w:w="76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Vanga</w:t>
            </w:r>
          </w:p>
        </w:tc>
        <w:tc>
          <w:tcPr>
            <w:tcW w:type="dxa" w:w="9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Msambweni</w:t>
            </w:r>
          </w:p>
        </w:tc>
        <w:tc>
          <w:tcPr>
            <w:tcW w:type="dxa" w:w="88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Other sites</w:t>
            </w:r>
          </w:p>
        </w:tc>
        <w:tc>
          <w:tcPr>
            <w:tcW w:type="dxa" w:w="846"/>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BMU p-value</w:t>
            </w:r>
          </w:p>
        </w:tc>
      </w:tr>
      <w:tr>
        <w:tc>
          <w:tcPr>
            <w:tcW w:type="dxa" w:w="9026"/>
            <w:gridSpan w:val="9"/>
            <w:tcBorders>
              <w:top w:val="none" w:color="FFFFFF" w:sz="0"/>
              <w:left w:val="none" w:color="FFFFFF" w:sz="0"/>
              <w:bottom w:val="none" w:color="FFFFFF" w:sz="0"/>
              <w:right w:val="none" w:color="FFFFFF" w:sz="0"/>
            </w:tcBorders>
            <w:tcMar>
              <w:top w:type="dxa" w:w="90"/>
              <w:left w:type="dxa" w:w="90"/>
              <w:bottom w:type="dxa" w:w="30"/>
              <w:right w:type="dxa" w:w="90"/>
            </w:tcMar>
          </w:tcPr>
          <w:p>
            <w:pPr>
              <w:spacing w:after="20" w:before="20" w:line="240"/>
              <w:jc w:val="left"/>
            </w:pPr>
            <w:r>
              <w:rPr>
                <w:rFonts w:ascii="Times New Roman" w:cs="Times New Roman" w:eastAsia="Times New Roman" w:hAnsi="Times New Roman"/>
                <w:b w:val="false"/>
                <w:bCs w:val="false"/>
                <w:i/>
                <w:iCs/>
                <w:color w:val="000000"/>
                <w:sz w:val="17"/>
                <w:szCs w:val="17"/>
              </w:rPr>
              <w:t xml:space="preserve">First buyer location</w:t>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Bodo Pwani</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63</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(1.6%)</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(4.0%)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&lt; .001</w:t>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Gasi</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 (3.2%)</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 (66.7%)</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Kiwegu</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16 (25.4%)</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(7.7%)</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15 (75.0%)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Majoreni / Aleni</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19 (30.2%)</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 (8.0%)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12 (92.3%)</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 (10.0%)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(33.3%)</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 (100.0%)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Mkuyuni</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17 (27.0%)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16 (64.0%)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(5.0%)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Mwambao</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(1.6%)</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(4.0%)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Shimoni</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5 (7.9%)</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5 (20.0%)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Vanga</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 (3.2%)</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 (10.0%)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Bodo Pwani</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Gasi</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Kiwegu</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Majoreni / Aleni</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Mkuyuni</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Mwambao</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Shimoni</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Vanga</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Bodo Pwani</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Gasi</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Kiwegu</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Majoreni / Aleni</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Mkuyuni</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Mwambao</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Shimoni</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Vanga</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Bodo Pwani</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Gasi</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Kiwegu</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Majoreni / Aleni</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Mkuyuni</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Mwambao</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Shimoni</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Vanga</w:t>
            </w:r>
          </w:p>
        </w:tc>
        <w:tc>
          <w:tcPr>
            <w:tcW w:type="dxa" w:w="125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c>
          <w:tcPr>
            <w:tcW w:type="dxa" w:w="90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bl>
    <w:p>
      <w:pPr>
        <w:spacing w:after="120" w:before="0" w:line="360"/>
        <w:jc w:val="both"/>
      </w:pPr>
      <w:r>
        <w:rPr>
          <w:rFonts w:ascii="Times New Roman" w:cs="Times New Roman" w:eastAsia="Times New Roman" w:hAnsi="Times New Roman"/>
          <w:color w:val="000000"/>
          <w:sz w:val="24"/>
          <w:szCs w:val="24"/>
        </w:rPr>
        <w:t xml:space="preserve">Table 20 reports where fishers said their first buyer was located, answered by 63 of the 65 fishers. Three places accounted for more than four-fifths of first sales: Majoreni or Aleni, named by 19 (30.2%), Mkuyuni by 17 (27.0%) and Kiwegu by 16 (25.4%). Shimoni was named by 5 (7.9%), and Gasi, Vanga, Mwambao and Bodo Pwani by four fishers between them. Each is the buying point nearest a particular landing site: 16 of 25 at Shimoni (64.0%) named Mkuyuni, 12 of 13 at Majoreni (92.3%) named Majoreni or Aleni, and 15 of 20 at Vanga (75.0%) named Kiwegu. The association with BMU was the strongest recorded anywhere in this study, χ²(21, N = 61) = 125.19, p &lt; .001, 99% CI [.000, .000].</w:t>
      </w:r>
    </w:p>
    <w:p>
      <w:pPr>
        <w:spacing w:after="120" w:before="0" w:line="360"/>
        <w:jc w:val="both"/>
      </w:pPr>
      <w:r>
        <w:rPr>
          <w:rFonts w:ascii="Times New Roman" w:cs="Times New Roman" w:eastAsia="Times New Roman" w:hAnsi="Times New Roman"/>
          <w:color w:val="000000"/>
          <w:sz w:val="24"/>
          <w:szCs w:val="24"/>
        </w:rPr>
        <w:t xml:space="preserve">That result needs reading with care. A near-perfect association between where a fisher lands and where his buyer sits is close to a tautology, and is reported for completeness rather than as a finding about market structure. What it does establish is that first sale is local: the buyer sits at or beside the landing site, not in a distant market the fisher could take his catch to instead.</w:t>
      </w:r>
    </w:p>
    <w:p>
      <w:pPr>
        <w:spacing w:after="0" w:before="240" w:line="240"/>
      </w:pPr>
      <w:r>
        <w:rPr>
          <w:rFonts w:ascii="Times New Roman" w:cs="Times New Roman" w:eastAsia="Times New Roman" w:hAnsi="Times New Roman"/>
          <w:b/>
          <w:bCs/>
          <w:color w:val="000000"/>
          <w:sz w:val="24"/>
          <w:szCs w:val="24"/>
        </w:rPr>
        <w:t xml:space="preserve">Table 21</w:t>
      </w:r>
    </w:p>
    <w:p>
      <w:pPr>
        <w:spacing w:after="120" w:before="0" w:line="240"/>
      </w:pPr>
      <w:r>
        <w:rPr>
          <w:rFonts w:ascii="Times New Roman" w:cs="Times New Roman" w:eastAsia="Times New Roman" w:hAnsi="Times New Roman"/>
          <w:b w:val="false"/>
          <w:bCs w:val="false"/>
          <w:i/>
          <w:iCs/>
          <w:color w:val="000000"/>
          <w:sz w:val="24"/>
          <w:szCs w:val="24"/>
        </w:rPr>
        <w:t xml:space="preserve">Second Buyer Location Reported by Fishers by BMU</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1850"/>
        <w:gridCol w:w="1250"/>
        <w:gridCol w:w="900"/>
        <w:gridCol w:w="820"/>
        <w:gridCol w:w="820"/>
        <w:gridCol w:w="760"/>
        <w:gridCol w:w="900"/>
        <w:gridCol w:w="880"/>
        <w:gridCol w:w="846"/>
      </w:tblGrid>
      <w:tr>
        <w:trPr>
          <w:tblHeader/>
        </w:trPr>
        <w:tc>
          <w:tcPr>
            <w:tcW w:type="dxa" w:w="18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17"/>
                <w:szCs w:val="17"/>
              </w:rPr>
              <w:t xml:space="preserve">Characteristic / response</w:t>
            </w:r>
          </w:p>
        </w:tc>
        <w:tc>
          <w:tcPr>
            <w:tcW w:type="dxa" w:w="12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Actor</w:t>
            </w:r>
          </w:p>
        </w:tc>
        <w:tc>
          <w:tcPr>
            <w:tcW w:type="dxa" w:w="9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Overall</w:t>
            </w:r>
          </w:p>
        </w:tc>
        <w:tc>
          <w:tcPr>
            <w:tcW w:type="dxa" w:w="82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Shimoni</w:t>
            </w:r>
          </w:p>
        </w:tc>
        <w:tc>
          <w:tcPr>
            <w:tcW w:type="dxa" w:w="82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Majoreni</w:t>
            </w:r>
          </w:p>
        </w:tc>
        <w:tc>
          <w:tcPr>
            <w:tcW w:type="dxa" w:w="76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Vanga</w:t>
            </w:r>
          </w:p>
        </w:tc>
        <w:tc>
          <w:tcPr>
            <w:tcW w:type="dxa" w:w="9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Msambweni</w:t>
            </w:r>
          </w:p>
        </w:tc>
        <w:tc>
          <w:tcPr>
            <w:tcW w:type="dxa" w:w="88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Other sites</w:t>
            </w:r>
          </w:p>
        </w:tc>
        <w:tc>
          <w:tcPr>
            <w:tcW w:type="dxa" w:w="846"/>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BMU p-value</w:t>
            </w:r>
          </w:p>
        </w:tc>
      </w:tr>
      <w:tr>
        <w:tc>
          <w:tcPr>
            <w:tcW w:type="dxa" w:w="9026"/>
            <w:gridSpan w:val="9"/>
            <w:tcBorders>
              <w:top w:val="none" w:color="FFFFFF" w:sz="0"/>
              <w:left w:val="none" w:color="FFFFFF" w:sz="0"/>
              <w:bottom w:val="none" w:color="FFFFFF" w:sz="0"/>
              <w:right w:val="none" w:color="FFFFFF" w:sz="0"/>
            </w:tcBorders>
            <w:tcMar>
              <w:top w:type="dxa" w:w="90"/>
              <w:left w:type="dxa" w:w="90"/>
              <w:bottom w:type="dxa" w:w="30"/>
              <w:right w:type="dxa" w:w="90"/>
            </w:tcMar>
          </w:tcPr>
          <w:p>
            <w:pPr>
              <w:spacing w:after="20" w:before="20" w:line="240"/>
              <w:jc w:val="left"/>
            </w:pPr>
            <w:r>
              <w:rPr>
                <w:rFonts w:ascii="Times New Roman" w:cs="Times New Roman" w:eastAsia="Times New Roman" w:hAnsi="Times New Roman"/>
                <w:b w:val="false"/>
                <w:bCs w:val="false"/>
                <w:i/>
                <w:iCs/>
                <w:color w:val="000000"/>
                <w:sz w:val="17"/>
                <w:szCs w:val="17"/>
              </w:rPr>
              <w:t xml:space="preserve">Second buyer location</w:t>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Kiwegu</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15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 (20.0%)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(20.0%)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 (100.0%)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Majoreni / Aleni</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(26.7%)</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(80.0%)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Mkuyuni</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8 (53.3%)</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8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Kiwegu</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Majoreni / Aleni</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Mkuyuni</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Kiwegu</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Majoreni / Aleni</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Mkuyuni</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Kiwegu</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Majoreni / Aleni</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Mkuyuni</w:t>
            </w:r>
          </w:p>
        </w:tc>
        <w:tc>
          <w:tcPr>
            <w:tcW w:type="dxa" w:w="125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c>
          <w:tcPr>
            <w:tcW w:type="dxa" w:w="90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bl>
    <w:p>
      <w:pPr>
        <w:spacing w:after="120" w:before="0" w:line="360"/>
        <w:jc w:val="both"/>
      </w:pPr>
      <w:r>
        <w:rPr>
          <w:rFonts w:ascii="Times New Roman" w:cs="Times New Roman" w:eastAsia="Times New Roman" w:hAnsi="Times New Roman"/>
          <w:color w:val="000000"/>
          <w:sz w:val="24"/>
          <w:szCs w:val="24"/>
        </w:rPr>
        <w:t xml:space="preserve">Table 21 covers the second buyer, answered by only 15 fishers. Of those, 8 (53.3%) named Mkuyuni, 4 (26.7%) Majoreni or Aleni and 3 (20.0%) Kiwegu, each group drawn almost entirely from one landing site: all eight naming Mkuyuni fished at Shimoni and all four naming Majoreni or Aleni fished at Majoreni. The remaining 50 fishers gave no second buyer at all, which fits the single-buyer pattern in Table 18 and is reported here because an absent alternative buyer is itself the finding.</w:t>
      </w:r>
    </w:p>
    <w:p>
      <w:pPr>
        <w:pStyle w:val="Heading3"/>
        <w:spacing w:after="120" w:before="240" w:line="360"/>
      </w:pPr>
      <w:r>
        <w:rPr>
          <w:rFonts w:ascii="Times New Roman" w:cs="Times New Roman" w:eastAsia="Times New Roman" w:hAnsi="Times New Roman"/>
          <w:b/>
          <w:bCs/>
          <w:color w:val="000000"/>
          <w:sz w:val="24"/>
          <w:szCs w:val="24"/>
        </w:rPr>
        <w:t xml:space="preserve">4.4.3 Preparation, Packaging and Transport</w:t>
      </w:r>
    </w:p>
    <w:p>
      <w:pPr>
        <w:spacing w:after="0" w:before="240" w:line="240"/>
      </w:pPr>
      <w:r>
        <w:rPr>
          <w:rFonts w:ascii="Times New Roman" w:cs="Times New Roman" w:eastAsia="Times New Roman" w:hAnsi="Times New Roman"/>
          <w:b/>
          <w:bCs/>
          <w:color w:val="000000"/>
          <w:sz w:val="24"/>
          <w:szCs w:val="24"/>
        </w:rPr>
        <w:t xml:space="preserve">Table 22</w:t>
      </w:r>
    </w:p>
    <w:p>
      <w:pPr>
        <w:spacing w:after="120" w:before="0" w:line="240"/>
      </w:pPr>
      <w:r>
        <w:rPr>
          <w:rFonts w:ascii="Times New Roman" w:cs="Times New Roman" w:eastAsia="Times New Roman" w:hAnsi="Times New Roman"/>
          <w:b w:val="false"/>
          <w:bCs w:val="false"/>
          <w:i/>
          <w:iCs/>
          <w:color w:val="000000"/>
          <w:sz w:val="24"/>
          <w:szCs w:val="24"/>
        </w:rPr>
        <w:t xml:space="preserve">Preparation of Mud Crabs for Market and Preservation by Actor and BMU</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1850"/>
        <w:gridCol w:w="1250"/>
        <w:gridCol w:w="900"/>
        <w:gridCol w:w="820"/>
        <w:gridCol w:w="820"/>
        <w:gridCol w:w="760"/>
        <w:gridCol w:w="900"/>
        <w:gridCol w:w="880"/>
        <w:gridCol w:w="846"/>
      </w:tblGrid>
      <w:tr>
        <w:trPr>
          <w:tblHeader/>
        </w:trPr>
        <w:tc>
          <w:tcPr>
            <w:tcW w:type="dxa" w:w="18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17"/>
                <w:szCs w:val="17"/>
              </w:rPr>
              <w:t xml:space="preserve">Characteristic / response</w:t>
            </w:r>
          </w:p>
        </w:tc>
        <w:tc>
          <w:tcPr>
            <w:tcW w:type="dxa" w:w="12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Actor</w:t>
            </w:r>
          </w:p>
        </w:tc>
        <w:tc>
          <w:tcPr>
            <w:tcW w:type="dxa" w:w="9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Overall</w:t>
            </w:r>
          </w:p>
        </w:tc>
        <w:tc>
          <w:tcPr>
            <w:tcW w:type="dxa" w:w="82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Shimoni</w:t>
            </w:r>
          </w:p>
        </w:tc>
        <w:tc>
          <w:tcPr>
            <w:tcW w:type="dxa" w:w="82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Majoreni</w:t>
            </w:r>
          </w:p>
        </w:tc>
        <w:tc>
          <w:tcPr>
            <w:tcW w:type="dxa" w:w="76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Vanga</w:t>
            </w:r>
          </w:p>
        </w:tc>
        <w:tc>
          <w:tcPr>
            <w:tcW w:type="dxa" w:w="9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Msambweni</w:t>
            </w:r>
          </w:p>
        </w:tc>
        <w:tc>
          <w:tcPr>
            <w:tcW w:type="dxa" w:w="88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Other sites</w:t>
            </w:r>
          </w:p>
        </w:tc>
        <w:tc>
          <w:tcPr>
            <w:tcW w:type="dxa" w:w="846"/>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BMU p-value</w:t>
            </w:r>
          </w:p>
        </w:tc>
      </w:tr>
      <w:tr>
        <w:tc>
          <w:tcPr>
            <w:tcW w:type="dxa" w:w="9026"/>
            <w:gridSpan w:val="9"/>
            <w:tcBorders>
              <w:top w:val="none" w:color="FFFFFF" w:sz="0"/>
              <w:left w:val="none" w:color="FFFFFF" w:sz="0"/>
              <w:bottom w:val="none" w:color="FFFFFF" w:sz="0"/>
              <w:right w:val="none" w:color="FFFFFF" w:sz="0"/>
            </w:tcBorders>
            <w:tcMar>
              <w:top w:type="dxa" w:w="90"/>
              <w:left w:type="dxa" w:w="90"/>
              <w:bottom w:type="dxa" w:w="30"/>
              <w:right w:type="dxa" w:w="90"/>
            </w:tcMar>
          </w:tcPr>
          <w:p>
            <w:pPr>
              <w:spacing w:after="20" w:before="20" w:line="240"/>
              <w:jc w:val="left"/>
            </w:pPr>
            <w:r>
              <w:rPr>
                <w:rFonts w:ascii="Times New Roman" w:cs="Times New Roman" w:eastAsia="Times New Roman" w:hAnsi="Times New Roman"/>
                <w:b w:val="false"/>
                <w:bCs w:val="false"/>
                <w:i/>
                <w:iCs/>
                <w:color w:val="000000"/>
                <w:sz w:val="17"/>
                <w:szCs w:val="17"/>
              </w:rPr>
              <w:t xml:space="preserve">Preserves or processes mud crabs</w:t>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Yes / frozen</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No</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65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25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14 (100.0%)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21 (100.0%)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 (100.0%)</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 (100.0%)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Yes / frozen</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22</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No</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22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11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7 (100.0%)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Yes / frozen</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5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No</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Yes / frozen</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4</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No</w:t>
            </w:r>
          </w:p>
        </w:tc>
        <w:tc>
          <w:tcPr>
            <w:tcW w:type="dxa" w:w="125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c>
          <w:tcPr>
            <w:tcW w:type="dxa" w:w="90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2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46"/>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bl>
    <w:p>
      <w:pPr>
        <w:spacing w:after="120" w:before="0" w:line="360"/>
        <w:jc w:val="both"/>
      </w:pPr>
      <w:r>
        <w:rPr>
          <w:rFonts w:ascii="Times New Roman" w:cs="Times New Roman" w:eastAsia="Times New Roman" w:hAnsi="Times New Roman"/>
          <w:color w:val="000000"/>
          <w:sz w:val="24"/>
          <w:szCs w:val="24"/>
        </w:rPr>
        <w:t xml:space="preserve">Figure 12 shows that preparation became more elaborate at each step. All 65 fishers prepared crabs by tying the claws; 21 of 22 middlemen (95.5%) cleaned, sorted and graded; all five hoteliers processed for the kitchen; and all four exporters cleaned, sorted and graded for consignment. Table 22 records preservation, which was reported only by the hoteliers, all five of whom froze the product; no fisher, middleman or exporter preserved or processed at all. Preparation was not associated with BMU among middlemen (p = 1.000).</w:t>
      </w:r>
    </w:p>
    <w:p>
      <w:pPr>
        <w:spacing w:after="0" w:before="240" w:line="240"/>
      </w:pPr>
      <w:r>
        <w:rPr>
          <w:rFonts w:ascii="Times New Roman" w:cs="Times New Roman" w:eastAsia="Times New Roman" w:hAnsi="Times New Roman"/>
          <w:b/>
          <w:bCs/>
          <w:color w:val="000000"/>
          <w:sz w:val="24"/>
          <w:szCs w:val="24"/>
        </w:rPr>
        <w:t xml:space="preserve">Figure 12</w:t>
      </w:r>
    </w:p>
    <w:p>
      <w:pPr>
        <w:spacing w:after="120" w:before="0" w:line="240"/>
      </w:pPr>
      <w:r>
        <w:rPr>
          <w:rFonts w:ascii="Times New Roman" w:cs="Times New Roman" w:eastAsia="Times New Roman" w:hAnsi="Times New Roman"/>
          <w:i/>
          <w:iCs/>
          <w:color w:val="000000"/>
          <w:sz w:val="24"/>
          <w:szCs w:val="24"/>
        </w:rPr>
        <w:t xml:space="preserve">Preparation of Mud Crabs for Market by Actor Category</w:t>
      </w:r>
    </w:p>
    <w:p>
      <w:pPr>
        <w:spacing w:after="240"/>
        <w:jc w:val="center"/>
      </w:pPr>
      <w:r>
        <w:drawing>
          <wp:inline distT="0" distB="0" distL="0" distR="0">
            <wp:extent cx="5715000" cy="2095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15000" cy="2095500"/>
                    </a:xfrm>
                    <a:prstGeom prst="rect">
                      <a:avLst/>
                    </a:prstGeom>
                  </pic:spPr>
                </pic:pic>
              </a:graphicData>
            </a:graphic>
          </wp:inline>
        </w:drawing>
      </w:r>
    </w:p>
    <w:p>
      <w:pPr>
        <w:spacing w:after="120" w:before="0" w:line="360"/>
        <w:jc w:val="both"/>
      </w:pPr>
      <w:r>
        <w:rPr>
          <w:rFonts w:ascii="Times New Roman" w:cs="Times New Roman" w:eastAsia="Times New Roman" w:hAnsi="Times New Roman"/>
          <w:color w:val="000000"/>
          <w:sz w:val="24"/>
          <w:szCs w:val="24"/>
        </w:rPr>
        <w:t xml:space="preserve">Figure 13 shows a clear ladder of containment. Fishers used sacks (44, 67.7%) or plastic containers (21, 32.3%); middlemen used crates (11, 50.0%) or baskets (10, 45.5%), with one still using a sack; and all four exporters used Styrofoam. Hoteliers did not complete this item because they bought at their own premises, so their column is left blank rather than recorded as zero. Packaging was not associated with BMU for fishers (p = .837) or middlemen (p = .924).</w:t>
      </w:r>
    </w:p>
    <w:p>
      <w:pPr>
        <w:spacing w:after="0" w:before="240" w:line="240"/>
      </w:pPr>
      <w:r>
        <w:rPr>
          <w:rFonts w:ascii="Times New Roman" w:cs="Times New Roman" w:eastAsia="Times New Roman" w:hAnsi="Times New Roman"/>
          <w:b/>
          <w:bCs/>
          <w:color w:val="000000"/>
          <w:sz w:val="24"/>
          <w:szCs w:val="24"/>
        </w:rPr>
        <w:t xml:space="preserve">Figure 13</w:t>
      </w:r>
    </w:p>
    <w:p>
      <w:pPr>
        <w:spacing w:after="120" w:before="0" w:line="240"/>
      </w:pPr>
      <w:r>
        <w:rPr>
          <w:rFonts w:ascii="Times New Roman" w:cs="Times New Roman" w:eastAsia="Times New Roman" w:hAnsi="Times New Roman"/>
          <w:i/>
          <w:iCs/>
          <w:color w:val="000000"/>
          <w:sz w:val="24"/>
          <w:szCs w:val="24"/>
        </w:rPr>
        <w:t xml:space="preserve">Packaging Used for Transporting Mud Crabs by Actor Category</w:t>
      </w:r>
    </w:p>
    <w:p>
      <w:pPr>
        <w:spacing w:after="240"/>
        <w:jc w:val="center"/>
      </w:pPr>
      <w:r>
        <w:drawing>
          <wp:inline distT="0" distB="0" distL="0" distR="0">
            <wp:extent cx="5715000" cy="2409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15000" cy="2409825"/>
                    </a:xfrm>
                    <a:prstGeom prst="rect">
                      <a:avLst/>
                    </a:prstGeom>
                  </pic:spPr>
                </pic:pic>
              </a:graphicData>
            </a:graphic>
          </wp:inline>
        </w:drawing>
      </w:r>
    </w:p>
    <w:p>
      <w:pPr>
        <w:spacing w:after="120" w:before="0" w:line="360"/>
        <w:jc w:val="both"/>
      </w:pPr>
      <w:r>
        <w:rPr>
          <w:rFonts w:ascii="Times New Roman" w:cs="Times New Roman" w:eastAsia="Times New Roman" w:hAnsi="Times New Roman"/>
          <w:color w:val="000000"/>
          <w:sz w:val="24"/>
          <w:szCs w:val="24"/>
        </w:rPr>
        <w:t xml:space="preserve">Figure 14 follows the same ladder. Fishers travelled on foot (57, 87.7%) or by motorcycle (8, 12.3%); middlemen used vehicles (17, 77.3%) or motorised boats (4, 18.2%), with one on foot; and all four exporters used air freight. Transport was not associated with BMU for fishers (p = .388) or middlemen (p = .402). Hoteliers did not complete this item because they purchased at their own premises.</w:t>
      </w:r>
    </w:p>
    <w:p>
      <w:pPr>
        <w:spacing w:after="0" w:before="240" w:line="240"/>
      </w:pPr>
      <w:r>
        <w:rPr>
          <w:rFonts w:ascii="Times New Roman" w:cs="Times New Roman" w:eastAsia="Times New Roman" w:hAnsi="Times New Roman"/>
          <w:b/>
          <w:bCs/>
          <w:color w:val="000000"/>
          <w:sz w:val="24"/>
          <w:szCs w:val="24"/>
        </w:rPr>
        <w:t xml:space="preserve">Figure 14</w:t>
      </w:r>
    </w:p>
    <w:p>
      <w:pPr>
        <w:spacing w:after="120" w:before="0" w:line="240"/>
      </w:pPr>
      <w:r>
        <w:rPr>
          <w:rFonts w:ascii="Times New Roman" w:cs="Times New Roman" w:eastAsia="Times New Roman" w:hAnsi="Times New Roman"/>
          <w:i/>
          <w:iCs/>
          <w:color w:val="000000"/>
          <w:sz w:val="24"/>
          <w:szCs w:val="24"/>
        </w:rPr>
        <w:t xml:space="preserve">Mode of Transporting Mud Crabs to Market by Actor Category</w:t>
      </w:r>
    </w:p>
    <w:p>
      <w:pPr>
        <w:spacing w:after="240"/>
        <w:jc w:val="center"/>
      </w:pPr>
      <w:r>
        <w:drawing>
          <wp:inline distT="0" distB="0" distL="0" distR="0">
            <wp:extent cx="5715000" cy="2457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715000" cy="2457450"/>
                    </a:xfrm>
                    <a:prstGeom prst="rect">
                      <a:avLst/>
                    </a:prstGeom>
                  </pic:spPr>
                </pic:pic>
              </a:graphicData>
            </a:graphic>
          </wp:inline>
        </w:drawing>
      </w:r>
    </w:p>
    <w:p>
      <w:pPr>
        <w:spacing w:after="120" w:before="0" w:line="360"/>
        <w:jc w:val="both"/>
      </w:pPr>
      <w:r>
        <w:rPr>
          <w:rFonts w:ascii="Times New Roman" w:cs="Times New Roman" w:eastAsia="Times New Roman" w:hAnsi="Times New Roman"/>
          <w:color w:val="000000"/>
          <w:sz w:val="24"/>
          <w:szCs w:val="24"/>
        </w:rPr>
        <w:t xml:space="preserve">Table 22 and Figures 12 to 14 show that protection of the product rises with distance from the water, and that the cost of that protection is borne by whoever holds the crab at the time. A sack carried on foot and a Styrofoam box flown out are two ends of the same handling problem, and the actor least able to absorb a loss is the one using the least protective method.</w:t>
      </w:r>
    </w:p>
    <w:p>
      <w:pPr>
        <w:pStyle w:val="Heading3"/>
        <w:spacing w:after="120" w:before="240" w:line="360"/>
      </w:pPr>
      <w:r>
        <w:rPr>
          <w:rFonts w:ascii="Times New Roman" w:cs="Times New Roman" w:eastAsia="Times New Roman" w:hAnsi="Times New Roman"/>
          <w:b/>
          <w:bCs/>
          <w:color w:val="000000"/>
          <w:sz w:val="24"/>
          <w:szCs w:val="24"/>
        </w:rPr>
        <w:t xml:space="preserve">4.4.4 Grading and Quality Control</w:t>
      </w:r>
    </w:p>
    <w:p>
      <w:pPr>
        <w:spacing w:after="0" w:before="240" w:line="240"/>
      </w:pPr>
      <w:r>
        <w:rPr>
          <w:rFonts w:ascii="Times New Roman" w:cs="Times New Roman" w:eastAsia="Times New Roman" w:hAnsi="Times New Roman"/>
          <w:b/>
          <w:bCs/>
          <w:color w:val="000000"/>
          <w:sz w:val="24"/>
          <w:szCs w:val="24"/>
        </w:rPr>
        <w:t xml:space="preserve">Table 23</w:t>
      </w:r>
    </w:p>
    <w:p>
      <w:pPr>
        <w:spacing w:after="120" w:before="0" w:line="240"/>
      </w:pPr>
      <w:r>
        <w:rPr>
          <w:rFonts w:ascii="Times New Roman" w:cs="Times New Roman" w:eastAsia="Times New Roman" w:hAnsi="Times New Roman"/>
          <w:b w:val="false"/>
          <w:bCs w:val="false"/>
          <w:i/>
          <w:iCs/>
          <w:color w:val="000000"/>
          <w:sz w:val="24"/>
          <w:szCs w:val="24"/>
        </w:rPr>
        <w:t xml:space="preserve">Grading Practice and Criteria Used to Determine Grade by Actor and BMU</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1850"/>
        <w:gridCol w:w="1250"/>
        <w:gridCol w:w="900"/>
        <w:gridCol w:w="820"/>
        <w:gridCol w:w="820"/>
        <w:gridCol w:w="760"/>
        <w:gridCol w:w="900"/>
        <w:gridCol w:w="880"/>
        <w:gridCol w:w="846"/>
      </w:tblGrid>
      <w:tr>
        <w:trPr>
          <w:tblHeader/>
        </w:trPr>
        <w:tc>
          <w:tcPr>
            <w:tcW w:type="dxa" w:w="18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17"/>
                <w:szCs w:val="17"/>
              </w:rPr>
              <w:t xml:space="preserve">Characteristic / response</w:t>
            </w:r>
          </w:p>
        </w:tc>
        <w:tc>
          <w:tcPr>
            <w:tcW w:type="dxa" w:w="12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Actor</w:t>
            </w:r>
          </w:p>
        </w:tc>
        <w:tc>
          <w:tcPr>
            <w:tcW w:type="dxa" w:w="9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Overall</w:t>
            </w:r>
          </w:p>
        </w:tc>
        <w:tc>
          <w:tcPr>
            <w:tcW w:type="dxa" w:w="82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Shimoni</w:t>
            </w:r>
          </w:p>
        </w:tc>
        <w:tc>
          <w:tcPr>
            <w:tcW w:type="dxa" w:w="82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Majoreni</w:t>
            </w:r>
          </w:p>
        </w:tc>
        <w:tc>
          <w:tcPr>
            <w:tcW w:type="dxa" w:w="76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Vanga</w:t>
            </w:r>
          </w:p>
        </w:tc>
        <w:tc>
          <w:tcPr>
            <w:tcW w:type="dxa" w:w="9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Msambweni</w:t>
            </w:r>
          </w:p>
        </w:tc>
        <w:tc>
          <w:tcPr>
            <w:tcW w:type="dxa" w:w="88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Other sites</w:t>
            </w:r>
          </w:p>
        </w:tc>
        <w:tc>
          <w:tcPr>
            <w:tcW w:type="dxa" w:w="846"/>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BMU p-value</w:t>
            </w:r>
          </w:p>
        </w:tc>
      </w:tr>
      <w:tr>
        <w:tc>
          <w:tcPr>
            <w:tcW w:type="dxa" w:w="9026"/>
            <w:gridSpan w:val="9"/>
            <w:tcBorders>
              <w:top w:val="none" w:color="FFFFFF" w:sz="0"/>
              <w:left w:val="none" w:color="FFFFFF" w:sz="0"/>
              <w:bottom w:val="none" w:color="FFFFFF" w:sz="0"/>
              <w:right w:val="none" w:color="FFFFFF" w:sz="0"/>
            </w:tcBorders>
            <w:tcMar>
              <w:top w:type="dxa" w:w="90"/>
              <w:left w:type="dxa" w:w="90"/>
              <w:bottom w:type="dxa" w:w="30"/>
              <w:right w:type="dxa" w:w="90"/>
            </w:tcMar>
          </w:tcPr>
          <w:p>
            <w:pPr>
              <w:spacing w:after="20" w:before="20" w:line="240"/>
              <w:jc w:val="left"/>
            </w:pPr>
            <w:r>
              <w:rPr>
                <w:rFonts w:ascii="Times New Roman" w:cs="Times New Roman" w:eastAsia="Times New Roman" w:hAnsi="Times New Roman"/>
                <w:b w:val="false"/>
                <w:bCs w:val="false"/>
                <w:i/>
                <w:iCs/>
                <w:color w:val="000000"/>
                <w:sz w:val="17"/>
                <w:szCs w:val="17"/>
              </w:rPr>
              <w:t xml:space="preserve">Engages in grading mud crabs</w:t>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Yes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65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25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14 (100.0%)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21 (100.0%)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 (100.0%)</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 (100.0%)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Yes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22</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22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11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7 (100.0%)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Yes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5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Yes</w:t>
            </w:r>
          </w:p>
        </w:tc>
        <w:tc>
          <w:tcPr>
            <w:tcW w:type="dxa" w:w="125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4</w:t>
            </w:r>
          </w:p>
        </w:tc>
        <w:tc>
          <w:tcPr>
            <w:tcW w:type="dxa" w:w="90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2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46"/>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bl>
    <w:p>
      <w:pPr>
        <w:spacing w:after="120" w:before="0" w:line="360"/>
        <w:jc w:val="both"/>
      </w:pPr>
      <w:r>
        <w:rPr>
          <w:rFonts w:ascii="Times New Roman" w:cs="Times New Roman" w:eastAsia="Times New Roman" w:hAnsi="Times New Roman"/>
          <w:color w:val="000000"/>
          <w:sz w:val="24"/>
          <w:szCs w:val="24"/>
        </w:rPr>
        <w:t xml:space="preserve">Table 23 records the most consequential functional difference in the chapter. All 96 respondents, at every site, said they graded mud crabs, but not by the same rule. Figure 15 shows how far apart the criteria were: all 65 fishers graded on weight alone, while 21 of 22 middlemen (95.5%) and every hotelier and exporter combined size, weight, shell condition and claw size. The one middleman using weight alone was at Shimoni. Criteria did not vary by site among middlemen (p = 1.000) and did not vary at all among fishers.</w:t>
      </w:r>
    </w:p>
    <w:p>
      <w:pPr>
        <w:spacing w:after="0" w:before="240" w:line="240"/>
      </w:pPr>
      <w:r>
        <w:rPr>
          <w:rFonts w:ascii="Times New Roman" w:cs="Times New Roman" w:eastAsia="Times New Roman" w:hAnsi="Times New Roman"/>
          <w:b/>
          <w:bCs/>
          <w:color w:val="000000"/>
          <w:sz w:val="24"/>
          <w:szCs w:val="24"/>
        </w:rPr>
        <w:t xml:space="preserve">Figure 15</w:t>
      </w:r>
    </w:p>
    <w:p>
      <w:pPr>
        <w:spacing w:after="120" w:before="0" w:line="240"/>
      </w:pPr>
      <w:r>
        <w:rPr>
          <w:rFonts w:ascii="Times New Roman" w:cs="Times New Roman" w:eastAsia="Times New Roman" w:hAnsi="Times New Roman"/>
          <w:i/>
          <w:iCs/>
          <w:color w:val="000000"/>
          <w:sz w:val="24"/>
          <w:szCs w:val="24"/>
        </w:rPr>
        <w:t xml:space="preserve">Criteria Used to Determine Crab Grade by Actor Category</w:t>
      </w:r>
    </w:p>
    <w:p>
      <w:pPr>
        <w:spacing w:after="240"/>
        <w:jc w:val="center"/>
      </w:pPr>
      <w:r>
        <w:drawing>
          <wp:inline distT="0" distB="0" distL="0" distR="0">
            <wp:extent cx="5715000" cy="1781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715000" cy="1781175"/>
                    </a:xfrm>
                    <a:prstGeom prst="rect">
                      <a:avLst/>
                    </a:prstGeom>
                  </pic:spPr>
                </pic:pic>
              </a:graphicData>
            </a:graphic>
          </wp:inline>
        </w:drawing>
      </w:r>
    </w:p>
    <w:p>
      <w:pPr>
        <w:spacing w:after="0" w:before="240" w:line="240"/>
      </w:pPr>
      <w:r>
        <w:rPr>
          <w:rFonts w:ascii="Times New Roman" w:cs="Times New Roman" w:eastAsia="Times New Roman" w:hAnsi="Times New Roman"/>
          <w:b/>
          <w:bCs/>
          <w:color w:val="000000"/>
          <w:sz w:val="24"/>
          <w:szCs w:val="24"/>
        </w:rPr>
        <w:t xml:space="preserve">Table 24</w:t>
      </w:r>
    </w:p>
    <w:p>
      <w:pPr>
        <w:spacing w:after="120" w:before="0" w:line="240"/>
      </w:pPr>
      <w:r>
        <w:rPr>
          <w:rFonts w:ascii="Times New Roman" w:cs="Times New Roman" w:eastAsia="Times New Roman" w:hAnsi="Times New Roman"/>
          <w:b w:val="false"/>
          <w:bCs w:val="false"/>
          <w:i/>
          <w:iCs/>
          <w:color w:val="000000"/>
          <w:sz w:val="24"/>
          <w:szCs w:val="24"/>
        </w:rPr>
        <w:t xml:space="preserve">Quality Measures Before Market and Use of Formal Quality Control by Actor and BMU</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1850"/>
        <w:gridCol w:w="1250"/>
        <w:gridCol w:w="900"/>
        <w:gridCol w:w="820"/>
        <w:gridCol w:w="820"/>
        <w:gridCol w:w="760"/>
        <w:gridCol w:w="900"/>
        <w:gridCol w:w="880"/>
        <w:gridCol w:w="846"/>
      </w:tblGrid>
      <w:tr>
        <w:trPr>
          <w:tblHeader/>
        </w:trPr>
        <w:tc>
          <w:tcPr>
            <w:tcW w:type="dxa" w:w="18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17"/>
                <w:szCs w:val="17"/>
              </w:rPr>
              <w:t xml:space="preserve">Characteristic / response</w:t>
            </w:r>
          </w:p>
        </w:tc>
        <w:tc>
          <w:tcPr>
            <w:tcW w:type="dxa" w:w="12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Actor</w:t>
            </w:r>
          </w:p>
        </w:tc>
        <w:tc>
          <w:tcPr>
            <w:tcW w:type="dxa" w:w="9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Overall</w:t>
            </w:r>
          </w:p>
        </w:tc>
        <w:tc>
          <w:tcPr>
            <w:tcW w:type="dxa" w:w="82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Shimoni</w:t>
            </w:r>
          </w:p>
        </w:tc>
        <w:tc>
          <w:tcPr>
            <w:tcW w:type="dxa" w:w="82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Majoreni</w:t>
            </w:r>
          </w:p>
        </w:tc>
        <w:tc>
          <w:tcPr>
            <w:tcW w:type="dxa" w:w="76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Vanga</w:t>
            </w:r>
          </w:p>
        </w:tc>
        <w:tc>
          <w:tcPr>
            <w:tcW w:type="dxa" w:w="9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Msambweni</w:t>
            </w:r>
          </w:p>
        </w:tc>
        <w:tc>
          <w:tcPr>
            <w:tcW w:type="dxa" w:w="88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Other sites</w:t>
            </w:r>
          </w:p>
        </w:tc>
        <w:tc>
          <w:tcPr>
            <w:tcW w:type="dxa" w:w="846"/>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BMU p-value</w:t>
            </w:r>
          </w:p>
        </w:tc>
      </w:tr>
      <w:tr>
        <w:tc>
          <w:tcPr>
            <w:tcW w:type="dxa" w:w="9026"/>
            <w:gridSpan w:val="9"/>
            <w:tcBorders>
              <w:top w:val="none" w:color="FFFFFF" w:sz="0"/>
              <w:left w:val="none" w:color="FFFFFF" w:sz="0"/>
              <w:bottom w:val="none" w:color="FFFFFF" w:sz="0"/>
              <w:right w:val="none" w:color="FFFFFF" w:sz="0"/>
            </w:tcBorders>
            <w:tcMar>
              <w:top w:type="dxa" w:w="90"/>
              <w:left w:type="dxa" w:w="90"/>
              <w:bottom w:type="dxa" w:w="30"/>
              <w:right w:type="dxa" w:w="90"/>
            </w:tcMar>
          </w:tcPr>
          <w:p>
            <w:pPr>
              <w:spacing w:after="20" w:before="20" w:line="240"/>
              <w:jc w:val="left"/>
            </w:pPr>
            <w:r>
              <w:rPr>
                <w:rFonts w:ascii="Times New Roman" w:cs="Times New Roman" w:eastAsia="Times New Roman" w:hAnsi="Times New Roman"/>
                <w:b w:val="false"/>
                <w:bCs w:val="false"/>
                <w:i/>
                <w:iCs/>
                <w:color w:val="000000"/>
                <w:sz w:val="17"/>
                <w:szCs w:val="17"/>
              </w:rPr>
              <w:t xml:space="preserve">Quality measure before the market</w:t>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Inspections, certification and packaging standards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Packaging standards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Tying the claws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65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25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14 (100.0%)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21 (100.0%)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 (100.0%)</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 (100.0%)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Inspections, certification and packaging standards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22</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Packaging standards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21 (95.5%)</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10 (90.9%)</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7 (100.0%)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Tying the claws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(4.5%)</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(9.1%)</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Inspections, certification and packaging standards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Packaging standards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5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Tying the claws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Inspections, certification and packaging standards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4</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Packaging standards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Tying the claws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9026"/>
            <w:gridSpan w:val="9"/>
            <w:tcBorders>
              <w:top w:val="none" w:color="FFFFFF" w:sz="0"/>
              <w:left w:val="none" w:color="FFFFFF" w:sz="0"/>
              <w:bottom w:val="none" w:color="FFFFFF" w:sz="0"/>
              <w:right w:val="none" w:color="FFFFFF" w:sz="0"/>
            </w:tcBorders>
            <w:tcMar>
              <w:top w:type="dxa" w:w="90"/>
              <w:left w:type="dxa" w:w="90"/>
              <w:bottom w:type="dxa" w:w="30"/>
              <w:right w:type="dxa" w:w="90"/>
            </w:tcMar>
          </w:tcPr>
          <w:p>
            <w:pPr>
              <w:spacing w:after="20" w:before="20" w:line="240"/>
              <w:jc w:val="left"/>
            </w:pPr>
            <w:r>
              <w:rPr>
                <w:rFonts w:ascii="Times New Roman" w:cs="Times New Roman" w:eastAsia="Times New Roman" w:hAnsi="Times New Roman"/>
                <w:b w:val="false"/>
                <w:bCs w:val="false"/>
                <w:i/>
                <w:iCs/>
                <w:color w:val="000000"/>
                <w:sz w:val="17"/>
                <w:szCs w:val="17"/>
              </w:rPr>
              <w:t xml:space="preserve">Uses formal quality-control measures</w:t>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Yes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No</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65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25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14 (100.0%)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21 (100.0%)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 (100.0%)</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 (100.0%)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Yes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22</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No</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22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11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7 (100.0%)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Yes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5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No</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Yes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4</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No</w:t>
            </w:r>
          </w:p>
        </w:tc>
        <w:tc>
          <w:tcPr>
            <w:tcW w:type="dxa" w:w="125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c>
          <w:tcPr>
            <w:tcW w:type="dxa" w:w="90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bl>
    <w:p>
      <w:pPr>
        <w:spacing w:after="120" w:before="0" w:line="360"/>
        <w:jc w:val="both"/>
      </w:pPr>
      <w:r>
        <w:rPr>
          <w:rFonts w:ascii="Times New Roman" w:cs="Times New Roman" w:eastAsia="Times New Roman" w:hAnsi="Times New Roman"/>
          <w:color w:val="000000"/>
          <w:sz w:val="24"/>
          <w:szCs w:val="24"/>
        </w:rPr>
        <w:t xml:space="preserve">Table 24 shows the same asymmetry in quality assurance. Fishers tied the claws (65, 100.0%); middlemen (21, 95.5%) and hoteliers cited packaging standards; exporters cited inspections, certification and packaging standards. Formal quality-control measures were reported by all nine downstream actors and by none of the 87 fishers and middlemen.</w:t>
      </w:r>
    </w:p>
    <w:p>
      <w:pPr>
        <w:spacing w:after="0" w:before="240" w:line="240"/>
      </w:pPr>
      <w:r>
        <w:rPr>
          <w:rFonts w:ascii="Times New Roman" w:cs="Times New Roman" w:eastAsia="Times New Roman" w:hAnsi="Times New Roman"/>
          <w:b/>
          <w:bCs/>
          <w:color w:val="000000"/>
          <w:sz w:val="24"/>
          <w:szCs w:val="24"/>
        </w:rPr>
        <w:t xml:space="preserve">Table 25</w:t>
      </w:r>
    </w:p>
    <w:p>
      <w:pPr>
        <w:spacing w:after="120" w:before="0" w:line="240"/>
      </w:pPr>
      <w:r>
        <w:rPr>
          <w:rFonts w:ascii="Times New Roman" w:cs="Times New Roman" w:eastAsia="Times New Roman" w:hAnsi="Times New Roman"/>
          <w:b w:val="false"/>
          <w:bCs w:val="false"/>
          <w:i/>
          <w:iCs/>
          <w:color w:val="000000"/>
          <w:sz w:val="24"/>
          <w:szCs w:val="24"/>
        </w:rPr>
        <w:t xml:space="preserve">Size Label and Grade Assignment for Large Crabs by Actor and BMU</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1850"/>
        <w:gridCol w:w="1250"/>
        <w:gridCol w:w="900"/>
        <w:gridCol w:w="820"/>
        <w:gridCol w:w="820"/>
        <w:gridCol w:w="760"/>
        <w:gridCol w:w="900"/>
        <w:gridCol w:w="880"/>
        <w:gridCol w:w="846"/>
      </w:tblGrid>
      <w:tr>
        <w:trPr>
          <w:tblHeader/>
        </w:trPr>
        <w:tc>
          <w:tcPr>
            <w:tcW w:type="dxa" w:w="18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17"/>
                <w:szCs w:val="17"/>
              </w:rPr>
              <w:t xml:space="preserve">Characteristic / response</w:t>
            </w:r>
          </w:p>
        </w:tc>
        <w:tc>
          <w:tcPr>
            <w:tcW w:type="dxa" w:w="12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Actor</w:t>
            </w:r>
          </w:p>
        </w:tc>
        <w:tc>
          <w:tcPr>
            <w:tcW w:type="dxa" w:w="9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Overall</w:t>
            </w:r>
          </w:p>
        </w:tc>
        <w:tc>
          <w:tcPr>
            <w:tcW w:type="dxa" w:w="82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Shimoni</w:t>
            </w:r>
          </w:p>
        </w:tc>
        <w:tc>
          <w:tcPr>
            <w:tcW w:type="dxa" w:w="82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Majoreni</w:t>
            </w:r>
          </w:p>
        </w:tc>
        <w:tc>
          <w:tcPr>
            <w:tcW w:type="dxa" w:w="76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Vanga</w:t>
            </w:r>
          </w:p>
        </w:tc>
        <w:tc>
          <w:tcPr>
            <w:tcW w:type="dxa" w:w="9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Msambweni</w:t>
            </w:r>
          </w:p>
        </w:tc>
        <w:tc>
          <w:tcPr>
            <w:tcW w:type="dxa" w:w="88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Other sites</w:t>
            </w:r>
          </w:p>
        </w:tc>
        <w:tc>
          <w:tcPr>
            <w:tcW w:type="dxa" w:w="846"/>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BMU p-value</w:t>
            </w:r>
          </w:p>
        </w:tc>
      </w:tr>
      <w:tr>
        <w:tc>
          <w:tcPr>
            <w:tcW w:type="dxa" w:w="9026"/>
            <w:gridSpan w:val="9"/>
            <w:tcBorders>
              <w:top w:val="none" w:color="FFFFFF" w:sz="0"/>
              <w:left w:val="none" w:color="FFFFFF" w:sz="0"/>
              <w:bottom w:val="none" w:color="FFFFFF" w:sz="0"/>
              <w:right w:val="none" w:color="FFFFFF" w:sz="0"/>
            </w:tcBorders>
            <w:tcMar>
              <w:top w:type="dxa" w:w="90"/>
              <w:left w:type="dxa" w:w="90"/>
              <w:bottom w:type="dxa" w:w="30"/>
              <w:right w:type="dxa" w:w="90"/>
            </w:tcMar>
          </w:tcPr>
          <w:p>
            <w:pPr>
              <w:spacing w:after="20" w:before="20" w:line="240"/>
              <w:jc w:val="left"/>
            </w:pPr>
            <w:r>
              <w:rPr>
                <w:rFonts w:ascii="Times New Roman" w:cs="Times New Roman" w:eastAsia="Times New Roman" w:hAnsi="Times New Roman"/>
                <w:b w:val="false"/>
                <w:bCs w:val="false"/>
                <w:i/>
                <w:iCs/>
                <w:color w:val="000000"/>
                <w:sz w:val="17"/>
                <w:szCs w:val="17"/>
              </w:rPr>
              <w:t xml:space="preserve">Reported large-crab size category</w:t>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Large</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53 (81.5%)</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14 (56.0%)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14 (100.0%)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20 (95.2%)</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 (100.0%)</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 (100.0%)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.001</w:t>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All sizes / mixed</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12 (18.5%)</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11 (44.0%)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(4.8%)</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Large</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21</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21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10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7 (100.0%)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All sizes / mixed</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Large</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5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All sizes / mixed</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Large</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4</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All sizes / mixed</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9026"/>
            <w:gridSpan w:val="9"/>
            <w:tcBorders>
              <w:top w:val="none" w:color="FFFFFF" w:sz="0"/>
              <w:left w:val="none" w:color="FFFFFF" w:sz="0"/>
              <w:bottom w:val="none" w:color="FFFFFF" w:sz="0"/>
              <w:right w:val="none" w:color="FFFFFF" w:sz="0"/>
            </w:tcBorders>
            <w:tcMar>
              <w:top w:type="dxa" w:w="90"/>
              <w:left w:type="dxa" w:w="90"/>
              <w:bottom w:type="dxa" w:w="30"/>
              <w:right w:type="dxa" w:w="90"/>
            </w:tcMar>
          </w:tcPr>
          <w:p>
            <w:pPr>
              <w:spacing w:after="20" w:before="20" w:line="240"/>
              <w:jc w:val="left"/>
            </w:pPr>
            <w:r>
              <w:rPr>
                <w:rFonts w:ascii="Times New Roman" w:cs="Times New Roman" w:eastAsia="Times New Roman" w:hAnsi="Times New Roman"/>
                <w:b w:val="false"/>
                <w:bCs w:val="false"/>
                <w:i/>
                <w:iCs/>
                <w:color w:val="000000"/>
                <w:sz w:val="17"/>
                <w:szCs w:val="17"/>
              </w:rPr>
              <w:t xml:space="preserve">Grade assigned to large crabs</w:t>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Grade A</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50 (76.9%)</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14 (56.0%)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14 (100.0%)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17 (81.0%)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 (100.0%)</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 (100.0%)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Mixed grade</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15 (23.1%)</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11 (44.0%)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(19.0%)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Grade A</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22</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22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11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7 (100.0%)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Mixed grade</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Grade A</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5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Mixed grade</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Grade A</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4</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Mixed grade</w:t>
            </w:r>
          </w:p>
        </w:tc>
        <w:tc>
          <w:tcPr>
            <w:tcW w:type="dxa" w:w="125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c>
          <w:tcPr>
            <w:tcW w:type="dxa" w:w="90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bl>
    <w:p>
      <w:pPr>
        <w:spacing w:after="120" w:before="0" w:line="360"/>
        <w:jc w:val="both"/>
      </w:pPr>
      <w:r>
        <w:rPr>
          <w:rFonts w:ascii="Times New Roman" w:cs="Times New Roman" w:eastAsia="Times New Roman" w:hAnsi="Times New Roman"/>
          <w:color w:val="000000"/>
          <w:sz w:val="24"/>
          <w:szCs w:val="24"/>
        </w:rPr>
        <w:t xml:space="preserve">As shown in Table 25, 53 fishers (81.5%) used the Large label for their biggest crabs while 12 (18.5%) recorded all sizes or mixed, and 50 (76.9%) assigned Grade A against 15 (23.1%) assigning a mixed grade. Every middleman, hotelier and exporter who answered used the plain labels. The fisher pattern varied significantly by site (p = .001): at Shimoni only 14 of 25 (56.0%) used the Large label, against all 14 at Majoreni and 20 of 21 (95.2%) at Vanga.</w:t>
      </w:r>
    </w:p>
    <w:p>
      <w:pPr>
        <w:spacing w:after="0" w:before="240" w:line="240"/>
      </w:pPr>
      <w:r>
        <w:rPr>
          <w:rFonts w:ascii="Times New Roman" w:cs="Times New Roman" w:eastAsia="Times New Roman" w:hAnsi="Times New Roman"/>
          <w:b/>
          <w:bCs/>
          <w:color w:val="000000"/>
          <w:sz w:val="24"/>
          <w:szCs w:val="24"/>
        </w:rPr>
        <w:t xml:space="preserve">Table 26</w:t>
      </w:r>
    </w:p>
    <w:p>
      <w:pPr>
        <w:spacing w:after="120" w:before="0" w:line="240"/>
      </w:pPr>
      <w:r>
        <w:rPr>
          <w:rFonts w:ascii="Times New Roman" w:cs="Times New Roman" w:eastAsia="Times New Roman" w:hAnsi="Times New Roman"/>
          <w:b w:val="false"/>
          <w:bCs w:val="false"/>
          <w:i/>
          <w:iCs/>
          <w:color w:val="000000"/>
          <w:sz w:val="24"/>
          <w:szCs w:val="24"/>
        </w:rPr>
        <w:t xml:space="preserve">Size Label and Grade Assignment for Medium Crabs by Actor and BMU</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1850"/>
        <w:gridCol w:w="1250"/>
        <w:gridCol w:w="900"/>
        <w:gridCol w:w="820"/>
        <w:gridCol w:w="820"/>
        <w:gridCol w:w="760"/>
        <w:gridCol w:w="900"/>
        <w:gridCol w:w="880"/>
        <w:gridCol w:w="846"/>
      </w:tblGrid>
      <w:tr>
        <w:trPr>
          <w:tblHeader/>
        </w:trPr>
        <w:tc>
          <w:tcPr>
            <w:tcW w:type="dxa" w:w="18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17"/>
                <w:szCs w:val="17"/>
              </w:rPr>
              <w:t xml:space="preserve">Characteristic / response</w:t>
            </w:r>
          </w:p>
        </w:tc>
        <w:tc>
          <w:tcPr>
            <w:tcW w:type="dxa" w:w="12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Actor</w:t>
            </w:r>
          </w:p>
        </w:tc>
        <w:tc>
          <w:tcPr>
            <w:tcW w:type="dxa" w:w="9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Overall</w:t>
            </w:r>
          </w:p>
        </w:tc>
        <w:tc>
          <w:tcPr>
            <w:tcW w:type="dxa" w:w="82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Shimoni</w:t>
            </w:r>
          </w:p>
        </w:tc>
        <w:tc>
          <w:tcPr>
            <w:tcW w:type="dxa" w:w="82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Majoreni</w:t>
            </w:r>
          </w:p>
        </w:tc>
        <w:tc>
          <w:tcPr>
            <w:tcW w:type="dxa" w:w="76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Vanga</w:t>
            </w:r>
          </w:p>
        </w:tc>
        <w:tc>
          <w:tcPr>
            <w:tcW w:type="dxa" w:w="9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Msambweni</w:t>
            </w:r>
          </w:p>
        </w:tc>
        <w:tc>
          <w:tcPr>
            <w:tcW w:type="dxa" w:w="88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Other sites</w:t>
            </w:r>
          </w:p>
        </w:tc>
        <w:tc>
          <w:tcPr>
            <w:tcW w:type="dxa" w:w="846"/>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BMU p-value</w:t>
            </w:r>
          </w:p>
        </w:tc>
      </w:tr>
      <w:tr>
        <w:tc>
          <w:tcPr>
            <w:tcW w:type="dxa" w:w="9026"/>
            <w:gridSpan w:val="9"/>
            <w:tcBorders>
              <w:top w:val="none" w:color="FFFFFF" w:sz="0"/>
              <w:left w:val="none" w:color="FFFFFF" w:sz="0"/>
              <w:bottom w:val="none" w:color="FFFFFF" w:sz="0"/>
              <w:right w:val="none" w:color="FFFFFF" w:sz="0"/>
            </w:tcBorders>
            <w:tcMar>
              <w:top w:type="dxa" w:w="90"/>
              <w:left w:type="dxa" w:w="90"/>
              <w:bottom w:type="dxa" w:w="30"/>
              <w:right w:type="dxa" w:w="90"/>
            </w:tcMar>
          </w:tcPr>
          <w:p>
            <w:pPr>
              <w:spacing w:after="20" w:before="20" w:line="240"/>
              <w:jc w:val="left"/>
            </w:pPr>
            <w:r>
              <w:rPr>
                <w:rFonts w:ascii="Times New Roman" w:cs="Times New Roman" w:eastAsia="Times New Roman" w:hAnsi="Times New Roman"/>
                <w:b w:val="false"/>
                <w:bCs w:val="false"/>
                <w:i/>
                <w:iCs/>
                <w:color w:val="000000"/>
                <w:sz w:val="17"/>
                <w:szCs w:val="17"/>
              </w:rPr>
              <w:t xml:space="preserve">Reported medium-crab size category</w:t>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Medium</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63 (96.9%)</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23 (92.0%)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14 (100.0%)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21 (100.0%)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 (100.0%)</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 (100.0%)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.406</w:t>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Mixed size</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 (3.1%)</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 (8.0%)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Medium</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22</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22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11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7 (100.0%)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Mixed size</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Medium</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Mixed size</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Medium</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4</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Mixed size</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9026"/>
            <w:gridSpan w:val="9"/>
            <w:tcBorders>
              <w:top w:val="none" w:color="FFFFFF" w:sz="0"/>
              <w:left w:val="none" w:color="FFFFFF" w:sz="0"/>
              <w:bottom w:val="none" w:color="FFFFFF" w:sz="0"/>
              <w:right w:val="none" w:color="FFFFFF" w:sz="0"/>
            </w:tcBorders>
            <w:tcMar>
              <w:top w:type="dxa" w:w="90"/>
              <w:left w:type="dxa" w:w="90"/>
              <w:bottom w:type="dxa" w:w="30"/>
              <w:right w:type="dxa" w:w="90"/>
            </w:tcMar>
          </w:tcPr>
          <w:p>
            <w:pPr>
              <w:spacing w:after="20" w:before="20" w:line="240"/>
              <w:jc w:val="left"/>
            </w:pPr>
            <w:r>
              <w:rPr>
                <w:rFonts w:ascii="Times New Roman" w:cs="Times New Roman" w:eastAsia="Times New Roman" w:hAnsi="Times New Roman"/>
                <w:b w:val="false"/>
                <w:bCs w:val="false"/>
                <w:i/>
                <w:iCs/>
                <w:color w:val="000000"/>
                <w:sz w:val="17"/>
                <w:szCs w:val="17"/>
              </w:rPr>
              <w:t xml:space="preserve">Grade assigned to medium crabs</w:t>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Grade B</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51 (78.5%)</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15 (60.0%)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14 (100.0%)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17 (81.0%)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 (100.0%)</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 (100.0%)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Mixed grade</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14 (21.5%)</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10 (40.0%)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(19.0%)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Grade B</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22</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22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11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7 (100.0%)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Mixed grade</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Grade B</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Mixed grade</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Grade B</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4</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Mixed grade</w:t>
            </w:r>
          </w:p>
        </w:tc>
        <w:tc>
          <w:tcPr>
            <w:tcW w:type="dxa" w:w="125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c>
          <w:tcPr>
            <w:tcW w:type="dxa" w:w="90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bl>
    <w:p>
      <w:pPr>
        <w:spacing w:after="120" w:before="0" w:line="360"/>
        <w:jc w:val="both"/>
      </w:pPr>
      <w:r>
        <w:rPr>
          <w:rFonts w:ascii="Times New Roman" w:cs="Times New Roman" w:eastAsia="Times New Roman" w:hAnsi="Times New Roman"/>
          <w:color w:val="000000"/>
          <w:sz w:val="24"/>
          <w:szCs w:val="24"/>
        </w:rPr>
        <w:t xml:space="preserve">Table 26 shows a narrower spread for medium crabs. Sixty-three fishers (96.9%) used the Medium label and 51 (78.5%) assigned Grade B, against 14 (21.5%) who assigned a mixed grade. Every middleman and exporter used the plain labels. The medium-size label was not associated with BMU (p = .406). Hoteliers did not complete the medium-crab items.</w:t>
      </w:r>
    </w:p>
    <w:p>
      <w:pPr>
        <w:spacing w:after="0" w:before="240" w:line="240"/>
      </w:pPr>
      <w:r>
        <w:rPr>
          <w:rFonts w:ascii="Times New Roman" w:cs="Times New Roman" w:eastAsia="Times New Roman" w:hAnsi="Times New Roman"/>
          <w:b/>
          <w:bCs/>
          <w:color w:val="000000"/>
          <w:sz w:val="24"/>
          <w:szCs w:val="24"/>
        </w:rPr>
        <w:t xml:space="preserve">Table 27</w:t>
      </w:r>
    </w:p>
    <w:p>
      <w:pPr>
        <w:spacing w:after="120" w:before="0" w:line="240"/>
      </w:pPr>
      <w:r>
        <w:rPr>
          <w:rFonts w:ascii="Times New Roman" w:cs="Times New Roman" w:eastAsia="Times New Roman" w:hAnsi="Times New Roman"/>
          <w:b w:val="false"/>
          <w:bCs w:val="false"/>
          <w:i/>
          <w:iCs/>
          <w:color w:val="000000"/>
          <w:sz w:val="24"/>
          <w:szCs w:val="24"/>
        </w:rPr>
        <w:t xml:space="preserve">Size Label and Grade Assignment for Small Crabs by Actor and BMU</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1850"/>
        <w:gridCol w:w="1250"/>
        <w:gridCol w:w="900"/>
        <w:gridCol w:w="820"/>
        <w:gridCol w:w="820"/>
        <w:gridCol w:w="760"/>
        <w:gridCol w:w="900"/>
        <w:gridCol w:w="880"/>
        <w:gridCol w:w="846"/>
      </w:tblGrid>
      <w:tr>
        <w:trPr>
          <w:tblHeader/>
        </w:trPr>
        <w:tc>
          <w:tcPr>
            <w:tcW w:type="dxa" w:w="18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17"/>
                <w:szCs w:val="17"/>
              </w:rPr>
              <w:t xml:space="preserve">Characteristic / response</w:t>
            </w:r>
          </w:p>
        </w:tc>
        <w:tc>
          <w:tcPr>
            <w:tcW w:type="dxa" w:w="12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Actor</w:t>
            </w:r>
          </w:p>
        </w:tc>
        <w:tc>
          <w:tcPr>
            <w:tcW w:type="dxa" w:w="9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Overall</w:t>
            </w:r>
          </w:p>
        </w:tc>
        <w:tc>
          <w:tcPr>
            <w:tcW w:type="dxa" w:w="82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Shimoni</w:t>
            </w:r>
          </w:p>
        </w:tc>
        <w:tc>
          <w:tcPr>
            <w:tcW w:type="dxa" w:w="82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Majoreni</w:t>
            </w:r>
          </w:p>
        </w:tc>
        <w:tc>
          <w:tcPr>
            <w:tcW w:type="dxa" w:w="76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Vanga</w:t>
            </w:r>
          </w:p>
        </w:tc>
        <w:tc>
          <w:tcPr>
            <w:tcW w:type="dxa" w:w="9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Msambweni</w:t>
            </w:r>
          </w:p>
        </w:tc>
        <w:tc>
          <w:tcPr>
            <w:tcW w:type="dxa" w:w="88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Other sites</w:t>
            </w:r>
          </w:p>
        </w:tc>
        <w:tc>
          <w:tcPr>
            <w:tcW w:type="dxa" w:w="846"/>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BMU p-value</w:t>
            </w:r>
          </w:p>
        </w:tc>
      </w:tr>
      <w:tr>
        <w:tc>
          <w:tcPr>
            <w:tcW w:type="dxa" w:w="9026"/>
            <w:gridSpan w:val="9"/>
            <w:tcBorders>
              <w:top w:val="none" w:color="FFFFFF" w:sz="0"/>
              <w:left w:val="none" w:color="FFFFFF" w:sz="0"/>
              <w:bottom w:val="none" w:color="FFFFFF" w:sz="0"/>
              <w:right w:val="none" w:color="FFFFFF" w:sz="0"/>
            </w:tcBorders>
            <w:tcMar>
              <w:top w:type="dxa" w:w="90"/>
              <w:left w:type="dxa" w:w="90"/>
              <w:bottom w:type="dxa" w:w="30"/>
              <w:right w:type="dxa" w:w="90"/>
            </w:tcMar>
          </w:tcPr>
          <w:p>
            <w:pPr>
              <w:spacing w:after="20" w:before="20" w:line="240"/>
              <w:jc w:val="left"/>
            </w:pPr>
            <w:r>
              <w:rPr>
                <w:rFonts w:ascii="Times New Roman" w:cs="Times New Roman" w:eastAsia="Times New Roman" w:hAnsi="Times New Roman"/>
                <w:b w:val="false"/>
                <w:bCs w:val="false"/>
                <w:i/>
                <w:iCs/>
                <w:color w:val="000000"/>
                <w:sz w:val="17"/>
                <w:szCs w:val="17"/>
              </w:rPr>
              <w:t xml:space="preserve">Reported small-crab size category</w:t>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Small</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56 (86.2%)</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16 (64.0%)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14 (100.0%)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21 (100.0%)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 (100.0%)</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 (100.0%)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.002</w:t>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Mixed size</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9 (13.8%)</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9 (36.0%)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Small</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Mixed size</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Small</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Mixed size</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Small</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Mixed size</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9026"/>
            <w:gridSpan w:val="9"/>
            <w:tcBorders>
              <w:top w:val="none" w:color="FFFFFF" w:sz="0"/>
              <w:left w:val="none" w:color="FFFFFF" w:sz="0"/>
              <w:bottom w:val="none" w:color="FFFFFF" w:sz="0"/>
              <w:right w:val="none" w:color="FFFFFF" w:sz="0"/>
            </w:tcBorders>
            <w:tcMar>
              <w:top w:type="dxa" w:w="90"/>
              <w:left w:type="dxa" w:w="90"/>
              <w:bottom w:type="dxa" w:w="30"/>
              <w:right w:type="dxa" w:w="90"/>
            </w:tcMar>
          </w:tcPr>
          <w:p>
            <w:pPr>
              <w:spacing w:after="20" w:before="20" w:line="240"/>
              <w:jc w:val="left"/>
            </w:pPr>
            <w:r>
              <w:rPr>
                <w:rFonts w:ascii="Times New Roman" w:cs="Times New Roman" w:eastAsia="Times New Roman" w:hAnsi="Times New Roman"/>
                <w:b w:val="false"/>
                <w:bCs w:val="false"/>
                <w:i/>
                <w:iCs/>
                <w:color w:val="000000"/>
                <w:sz w:val="17"/>
                <w:szCs w:val="17"/>
              </w:rPr>
              <w:t xml:space="preserve">Grade assigned to small crabs</w:t>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Grade C</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59 (90.8%)</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22 (88.0%)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14 (100.0%)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18 (85.7%)</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 (100.0%)</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 (100.0%)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Mixed grade</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6 (9.2%)</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 (12.0%)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 (14.3%)</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Grade C</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Mixed grade</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Grade C</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Mixed grade</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Grade C</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Mixed grade</w:t>
            </w:r>
          </w:p>
        </w:tc>
        <w:tc>
          <w:tcPr>
            <w:tcW w:type="dxa" w:w="125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c>
          <w:tcPr>
            <w:tcW w:type="dxa" w:w="90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bl>
    <w:p>
      <w:pPr>
        <w:spacing w:after="120" w:before="0" w:line="360"/>
        <w:jc w:val="both"/>
      </w:pPr>
      <w:r>
        <w:rPr>
          <w:rFonts w:ascii="Times New Roman" w:cs="Times New Roman" w:eastAsia="Times New Roman" w:hAnsi="Times New Roman"/>
          <w:color w:val="000000"/>
          <w:sz w:val="24"/>
          <w:szCs w:val="24"/>
        </w:rPr>
        <w:t xml:space="preserve">Table 27 covers the small grade, reported by fishers only. Fifty-six fishers (86.2%) used the Small label and 59 (90.8%) assigned Grade C, while 9 (13.8%) recorded mixed size and 6 (9.2%) a mixed grade. Small-size labelling varied significantly by site (p = .002), with 16 of 25 Shimoni fishers (64.0%) using the plain label against all fishers at Majoreni, Vanga and Msambweni.</w:t>
      </w:r>
    </w:p>
    <w:p>
      <w:pPr>
        <w:spacing w:after="120" w:before="0" w:line="360"/>
        <w:jc w:val="both"/>
      </w:pPr>
      <w:r>
        <w:rPr>
          <w:rFonts w:ascii="Times New Roman" w:cs="Times New Roman" w:eastAsia="Times New Roman" w:hAnsi="Times New Roman"/>
          <w:color w:val="000000"/>
          <w:sz w:val="24"/>
          <w:szCs w:val="24"/>
        </w:rPr>
        <w:t xml:space="preserve">Tables 23 to 27 and Figure 15 identify the mechanism by which value is captured downstream. A fisher can weigh a crab as accurately as anyone; what he cannot do is price the shell condition and claw size his buyer is paying for, or verify that the grade offered is the grade the animal deserves. The site variation in labelling compounds it. The survey recorded the word used, not a measured carapace width, so this is a matter of vocabulary rather than biology. A Shimoni fisher and his buyer may not mean the same thing by the word large, and that is the condition under which a grading dispute resolves in favour of the better-informed party.</w:t>
      </w:r>
    </w:p>
    <w:p>
      <w:pPr>
        <w:pStyle w:val="Heading3"/>
        <w:spacing w:after="120" w:before="240" w:line="360"/>
      </w:pPr>
      <w:r>
        <w:rPr>
          <w:rFonts w:ascii="Times New Roman" w:cs="Times New Roman" w:eastAsia="Times New Roman" w:hAnsi="Times New Roman"/>
          <w:b/>
          <w:bCs/>
          <w:color w:val="000000"/>
          <w:sz w:val="24"/>
          <w:szCs w:val="24"/>
        </w:rPr>
        <w:t xml:space="preserve">4.4.5 Reported Losses</w:t>
      </w:r>
    </w:p>
    <w:p>
      <w:pPr>
        <w:spacing w:after="120" w:before="0" w:line="360"/>
        <w:jc w:val="both"/>
      </w:pPr>
      <w:r>
        <w:rPr>
          <w:rFonts w:ascii="Times New Roman" w:cs="Times New Roman" w:eastAsia="Times New Roman" w:hAnsi="Times New Roman"/>
          <w:color w:val="000000"/>
          <w:sz w:val="24"/>
          <w:szCs w:val="24"/>
        </w:rPr>
        <w:t xml:space="preserve">Figure 16 shows that losses rise with the volume each actor holds. All 65 fishers reported daily mortality of 0.5 to 1 kg; 21 of 22 middlemen (95.5%) reported 4 to 5 kg; all four exporters reported more than 10 kg; and all five hoteliers reported no mortality because they froze the product on arrival. Mortality was not associated with BMU among middlemen (p = 1.000).</w:t>
      </w:r>
    </w:p>
    <w:p>
      <w:pPr>
        <w:spacing w:after="0" w:before="240" w:line="240"/>
      </w:pPr>
      <w:r>
        <w:rPr>
          <w:rFonts w:ascii="Times New Roman" w:cs="Times New Roman" w:eastAsia="Times New Roman" w:hAnsi="Times New Roman"/>
          <w:b/>
          <w:bCs/>
          <w:color w:val="000000"/>
          <w:sz w:val="24"/>
          <w:szCs w:val="24"/>
        </w:rPr>
        <w:t xml:space="preserve">Figure 16</w:t>
      </w:r>
    </w:p>
    <w:p>
      <w:pPr>
        <w:spacing w:after="120" w:before="0" w:line="240"/>
      </w:pPr>
      <w:r>
        <w:rPr>
          <w:rFonts w:ascii="Times New Roman" w:cs="Times New Roman" w:eastAsia="Times New Roman" w:hAnsi="Times New Roman"/>
          <w:i/>
          <w:iCs/>
          <w:color w:val="000000"/>
          <w:sz w:val="24"/>
          <w:szCs w:val="24"/>
        </w:rPr>
        <w:t xml:space="preserve">Reported Daily Mortality by Actor Category</w:t>
      </w:r>
    </w:p>
    <w:p>
      <w:pPr>
        <w:spacing w:after="240"/>
        <w:jc w:val="center"/>
      </w:pPr>
      <w:r>
        <w:drawing>
          <wp:inline distT="0" distB="0" distL="0" distR="0">
            <wp:extent cx="5715000" cy="26003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715000" cy="2600325"/>
                    </a:xfrm>
                    <a:prstGeom prst="rect">
                      <a:avLst/>
                    </a:prstGeom>
                  </pic:spPr>
                </pic:pic>
              </a:graphicData>
            </a:graphic>
          </wp:inline>
        </w:drawing>
      </w:r>
    </w:p>
    <w:p>
      <w:pPr>
        <w:spacing w:after="0" w:before="240" w:line="240"/>
      </w:pPr>
      <w:r>
        <w:rPr>
          <w:rFonts w:ascii="Times New Roman" w:cs="Times New Roman" w:eastAsia="Times New Roman" w:hAnsi="Times New Roman"/>
          <w:b/>
          <w:bCs/>
          <w:color w:val="000000"/>
          <w:sz w:val="24"/>
          <w:szCs w:val="24"/>
        </w:rPr>
        <w:t xml:space="preserve">Table 28</w:t>
      </w:r>
    </w:p>
    <w:p>
      <w:pPr>
        <w:spacing w:after="120" w:before="0" w:line="240"/>
      </w:pPr>
      <w:r>
        <w:rPr>
          <w:rFonts w:ascii="Times New Roman" w:cs="Times New Roman" w:eastAsia="Times New Roman" w:hAnsi="Times New Roman"/>
          <w:b w:val="false"/>
          <w:bCs w:val="false"/>
          <w:i/>
          <w:iCs/>
          <w:color w:val="000000"/>
          <w:sz w:val="24"/>
          <w:szCs w:val="24"/>
        </w:rPr>
        <w:t xml:space="preserve">Reported Loss Through Spoilage by Actor and BMU</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1850"/>
        <w:gridCol w:w="1250"/>
        <w:gridCol w:w="900"/>
        <w:gridCol w:w="820"/>
        <w:gridCol w:w="820"/>
        <w:gridCol w:w="760"/>
        <w:gridCol w:w="900"/>
        <w:gridCol w:w="880"/>
        <w:gridCol w:w="846"/>
      </w:tblGrid>
      <w:tr>
        <w:trPr>
          <w:tblHeader/>
        </w:trPr>
        <w:tc>
          <w:tcPr>
            <w:tcW w:type="dxa" w:w="18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17"/>
                <w:szCs w:val="17"/>
              </w:rPr>
              <w:t xml:space="preserve">Characteristic / response</w:t>
            </w:r>
          </w:p>
        </w:tc>
        <w:tc>
          <w:tcPr>
            <w:tcW w:type="dxa" w:w="12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Actor</w:t>
            </w:r>
          </w:p>
        </w:tc>
        <w:tc>
          <w:tcPr>
            <w:tcW w:type="dxa" w:w="9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Overall</w:t>
            </w:r>
          </w:p>
        </w:tc>
        <w:tc>
          <w:tcPr>
            <w:tcW w:type="dxa" w:w="82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Shimoni</w:t>
            </w:r>
          </w:p>
        </w:tc>
        <w:tc>
          <w:tcPr>
            <w:tcW w:type="dxa" w:w="82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Majoreni</w:t>
            </w:r>
          </w:p>
        </w:tc>
        <w:tc>
          <w:tcPr>
            <w:tcW w:type="dxa" w:w="76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Vanga</w:t>
            </w:r>
          </w:p>
        </w:tc>
        <w:tc>
          <w:tcPr>
            <w:tcW w:type="dxa" w:w="9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Msambweni</w:t>
            </w:r>
          </w:p>
        </w:tc>
        <w:tc>
          <w:tcPr>
            <w:tcW w:type="dxa" w:w="88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Other sites</w:t>
            </w:r>
          </w:p>
        </w:tc>
        <w:tc>
          <w:tcPr>
            <w:tcW w:type="dxa" w:w="846"/>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BMU p-value</w:t>
            </w:r>
          </w:p>
        </w:tc>
      </w:tr>
      <w:tr>
        <w:tc>
          <w:tcPr>
            <w:tcW w:type="dxa" w:w="9026"/>
            <w:gridSpan w:val="9"/>
            <w:tcBorders>
              <w:top w:val="none" w:color="FFFFFF" w:sz="0"/>
              <w:left w:val="none" w:color="FFFFFF" w:sz="0"/>
              <w:bottom w:val="none" w:color="FFFFFF" w:sz="0"/>
              <w:right w:val="none" w:color="FFFFFF" w:sz="0"/>
            </w:tcBorders>
            <w:tcMar>
              <w:top w:type="dxa" w:w="90"/>
              <w:left w:type="dxa" w:w="90"/>
              <w:bottom w:type="dxa" w:w="30"/>
              <w:right w:type="dxa" w:w="90"/>
            </w:tcMar>
          </w:tcPr>
          <w:p>
            <w:pPr>
              <w:spacing w:after="20" w:before="20" w:line="240"/>
              <w:jc w:val="left"/>
            </w:pPr>
            <w:r>
              <w:rPr>
                <w:rFonts w:ascii="Times New Roman" w:cs="Times New Roman" w:eastAsia="Times New Roman" w:hAnsi="Times New Roman"/>
                <w:b w:val="false"/>
                <w:bCs w:val="false"/>
                <w:i/>
                <w:iCs/>
                <w:color w:val="000000"/>
                <w:sz w:val="17"/>
                <w:szCs w:val="17"/>
              </w:rPr>
              <w:t xml:space="preserve">Reported loss through spoilage</w:t>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1 kg</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3 kg</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5 kg</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Above 10 kg</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1 kg</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22</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.066</w:t>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3 kg</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9 (40.9%)</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7 (63.6%)</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 (28.6%)</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5 kg</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13 (59.1%)</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(36.4%)</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5 (71.4%)</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Above 10 kg</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1 kg</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5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3 kg</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5 kg</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Above 10 kg</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1 kg</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4</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3 kg</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5 kg</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Above 10 kg</w:t>
            </w:r>
          </w:p>
        </w:tc>
        <w:tc>
          <w:tcPr>
            <w:tcW w:type="dxa" w:w="125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c>
          <w:tcPr>
            <w:tcW w:type="dxa" w:w="90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2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46"/>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bl>
    <w:p>
      <w:pPr>
        <w:spacing w:after="120" w:before="0" w:line="360"/>
        <w:jc w:val="both"/>
      </w:pPr>
      <w:r>
        <w:rPr>
          <w:rFonts w:ascii="Times New Roman" w:cs="Times New Roman" w:eastAsia="Times New Roman" w:hAnsi="Times New Roman"/>
          <w:color w:val="000000"/>
          <w:sz w:val="24"/>
          <w:szCs w:val="24"/>
        </w:rPr>
        <w:t xml:space="preserve">Table 28 covers spoilage, an item not put to fishers. Middlemen reported 5 kg (13, 59.1%) or 3 kg (9, 40.9%), the 5 kg share rising from 4 (36.4%) at Shimoni to all four (100.0%) at Vanga; the site difference approached but did not reach significance (p = .066). All five hoteliers reported 1 kg and all four exporters more than 10 kg.</w:t>
      </w:r>
    </w:p>
    <w:p>
      <w:pPr>
        <w:spacing w:after="120" w:before="0" w:line="360"/>
        <w:jc w:val="both"/>
      </w:pPr>
      <w:r>
        <w:rPr>
          <w:rFonts w:ascii="Times New Roman" w:cs="Times New Roman" w:eastAsia="Times New Roman" w:hAnsi="Times New Roman"/>
          <w:color w:val="000000"/>
          <w:sz w:val="24"/>
          <w:szCs w:val="24"/>
        </w:rPr>
        <w:t xml:space="preserve">Read together, Figure 16 and Table 28 show a chain in which every actor loses stock and none records it against a shared standard. The actor holding live crabs carries the loss, and because no one measures it consistently the cost of mortality cannot be priced into a grade or recovered through one.</w:t>
      </w:r>
    </w:p>
    <w:p>
      <w:pPr>
        <w:pStyle w:val="Heading3"/>
        <w:spacing w:after="120" w:before="240" w:line="360"/>
      </w:pPr>
      <w:r>
        <w:rPr>
          <w:rFonts w:ascii="Times New Roman" w:cs="Times New Roman" w:eastAsia="Times New Roman" w:hAnsi="Times New Roman"/>
          <w:b/>
          <w:bCs/>
          <w:color w:val="000000"/>
          <w:sz w:val="24"/>
          <w:szCs w:val="24"/>
        </w:rPr>
        <w:t xml:space="preserve">4.4.6 Payment, Price Setting and Sale Location</w:t>
      </w:r>
    </w:p>
    <w:p>
      <w:pPr>
        <w:spacing w:after="120" w:before="0" w:line="360"/>
        <w:jc w:val="both"/>
      </w:pPr>
      <w:r>
        <w:rPr>
          <w:rFonts w:ascii="Times New Roman" w:cs="Times New Roman" w:eastAsia="Times New Roman" w:hAnsi="Times New Roman"/>
          <w:color w:val="000000"/>
          <w:sz w:val="24"/>
          <w:szCs w:val="24"/>
        </w:rPr>
        <w:t xml:space="preserve">Figure 17 shows that M-Pesa was the commonest single arrangement among fishers (30, 46.2%), but credit accounted for 18 (27.7%) and a further 7 (10.8%) combined M-Pesa with credit, so close to two fishers in five were paid at least partly on credit by the very middleman buying from them. Cash on delivery accounted for 10 (15.4%). Middlemen most often reported credit themselves (9, 40.9%), followed by M-Pesa (7, 31.8%) and cash on delivery (6, 27.3%). All five hoteliers used M-Pesa and cash together; the item was not completed by exporters. Payment was not associated with BMU for fishers (p = .515) or middlemen (p = .470).</w:t>
      </w:r>
    </w:p>
    <w:p>
      <w:pPr>
        <w:spacing w:after="0" w:before="240" w:line="240"/>
      </w:pPr>
      <w:r>
        <w:rPr>
          <w:rFonts w:ascii="Times New Roman" w:cs="Times New Roman" w:eastAsia="Times New Roman" w:hAnsi="Times New Roman"/>
          <w:b/>
          <w:bCs/>
          <w:color w:val="000000"/>
          <w:sz w:val="24"/>
          <w:szCs w:val="24"/>
        </w:rPr>
        <w:t xml:space="preserve">Figure 17</w:t>
      </w:r>
    </w:p>
    <w:p>
      <w:pPr>
        <w:spacing w:after="120" w:before="0" w:line="240"/>
      </w:pPr>
      <w:r>
        <w:rPr>
          <w:rFonts w:ascii="Times New Roman" w:cs="Times New Roman" w:eastAsia="Times New Roman" w:hAnsi="Times New Roman"/>
          <w:i/>
          <w:iCs/>
          <w:color w:val="000000"/>
          <w:sz w:val="24"/>
          <w:szCs w:val="24"/>
        </w:rPr>
        <w:t xml:space="preserve">Mode of Payment by Actor Category</w:t>
      </w:r>
    </w:p>
    <w:p>
      <w:pPr>
        <w:spacing w:after="240"/>
        <w:jc w:val="center"/>
      </w:pPr>
      <w:r>
        <w:drawing>
          <wp:inline distT="0" distB="0" distL="0" distR="0">
            <wp:extent cx="5715000" cy="2400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715000" cy="2400300"/>
                    </a:xfrm>
                    <a:prstGeom prst="rect">
                      <a:avLst/>
                    </a:prstGeom>
                  </pic:spPr>
                </pic:pic>
              </a:graphicData>
            </a:graphic>
          </wp:inline>
        </w:drawing>
      </w:r>
    </w:p>
    <w:p>
      <w:pPr>
        <w:spacing w:after="0" w:before="240" w:line="240"/>
      </w:pPr>
      <w:r>
        <w:rPr>
          <w:rFonts w:ascii="Times New Roman" w:cs="Times New Roman" w:eastAsia="Times New Roman" w:hAnsi="Times New Roman"/>
          <w:b/>
          <w:bCs/>
          <w:color w:val="000000"/>
          <w:sz w:val="24"/>
          <w:szCs w:val="24"/>
        </w:rPr>
        <w:t xml:space="preserve">Table 29</w:t>
      </w:r>
    </w:p>
    <w:p>
      <w:pPr>
        <w:spacing w:after="120" w:before="0" w:line="240"/>
      </w:pPr>
      <w:r>
        <w:rPr>
          <w:rFonts w:ascii="Times New Roman" w:cs="Times New Roman" w:eastAsia="Times New Roman" w:hAnsi="Times New Roman"/>
          <w:b w:val="false"/>
          <w:bCs w:val="false"/>
          <w:i/>
          <w:iCs/>
          <w:color w:val="000000"/>
          <w:sz w:val="24"/>
          <w:szCs w:val="24"/>
        </w:rPr>
        <w:t xml:space="preserve">Pricing Mechanism and How Prices Are Set by Actor and BMU</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1850"/>
        <w:gridCol w:w="1250"/>
        <w:gridCol w:w="900"/>
        <w:gridCol w:w="820"/>
        <w:gridCol w:w="820"/>
        <w:gridCol w:w="760"/>
        <w:gridCol w:w="900"/>
        <w:gridCol w:w="880"/>
        <w:gridCol w:w="846"/>
      </w:tblGrid>
      <w:tr>
        <w:trPr>
          <w:tblHeader/>
        </w:trPr>
        <w:tc>
          <w:tcPr>
            <w:tcW w:type="dxa" w:w="18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17"/>
                <w:szCs w:val="17"/>
              </w:rPr>
              <w:t xml:space="preserve">Characteristic / response</w:t>
            </w:r>
          </w:p>
        </w:tc>
        <w:tc>
          <w:tcPr>
            <w:tcW w:type="dxa" w:w="12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Actor</w:t>
            </w:r>
          </w:p>
        </w:tc>
        <w:tc>
          <w:tcPr>
            <w:tcW w:type="dxa" w:w="9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Overall</w:t>
            </w:r>
          </w:p>
        </w:tc>
        <w:tc>
          <w:tcPr>
            <w:tcW w:type="dxa" w:w="82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Shimoni</w:t>
            </w:r>
          </w:p>
        </w:tc>
        <w:tc>
          <w:tcPr>
            <w:tcW w:type="dxa" w:w="82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Majoreni</w:t>
            </w:r>
          </w:p>
        </w:tc>
        <w:tc>
          <w:tcPr>
            <w:tcW w:type="dxa" w:w="76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Vanga</w:t>
            </w:r>
          </w:p>
        </w:tc>
        <w:tc>
          <w:tcPr>
            <w:tcW w:type="dxa" w:w="9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Msambweni</w:t>
            </w:r>
          </w:p>
        </w:tc>
        <w:tc>
          <w:tcPr>
            <w:tcW w:type="dxa" w:w="88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Other sites</w:t>
            </w:r>
          </w:p>
        </w:tc>
        <w:tc>
          <w:tcPr>
            <w:tcW w:type="dxa" w:w="846"/>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BMU p-value</w:t>
            </w:r>
          </w:p>
        </w:tc>
      </w:tr>
      <w:tr>
        <w:tc>
          <w:tcPr>
            <w:tcW w:type="dxa" w:w="9026"/>
            <w:gridSpan w:val="9"/>
            <w:tcBorders>
              <w:top w:val="none" w:color="FFFFFF" w:sz="0"/>
              <w:left w:val="none" w:color="FFFFFF" w:sz="0"/>
              <w:bottom w:val="none" w:color="FFFFFF" w:sz="0"/>
              <w:right w:val="none" w:color="FFFFFF" w:sz="0"/>
            </w:tcBorders>
            <w:tcMar>
              <w:top w:type="dxa" w:w="90"/>
              <w:left w:type="dxa" w:w="90"/>
              <w:bottom w:type="dxa" w:w="30"/>
              <w:right w:type="dxa" w:w="90"/>
            </w:tcMar>
          </w:tcPr>
          <w:p>
            <w:pPr>
              <w:spacing w:after="20" w:before="20" w:line="240"/>
              <w:jc w:val="left"/>
            </w:pPr>
            <w:r>
              <w:rPr>
                <w:rFonts w:ascii="Times New Roman" w:cs="Times New Roman" w:eastAsia="Times New Roman" w:hAnsi="Times New Roman"/>
                <w:b w:val="false"/>
                <w:bCs w:val="false"/>
                <w:i/>
                <w:iCs/>
                <w:color w:val="000000"/>
                <w:sz w:val="17"/>
                <w:szCs w:val="17"/>
              </w:rPr>
              <w:t xml:space="preserve">Standard pricing mechanism is used</w:t>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No</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65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25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14 (100.0%)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21 (100.0%)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 (100.0%)</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 (100.0%)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No</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22</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22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11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7 (100.0%)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No</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5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No</w:t>
            </w:r>
          </w:p>
        </w:tc>
        <w:tc>
          <w:tcPr>
            <w:tcW w:type="dxa" w:w="125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4</w:t>
            </w:r>
          </w:p>
        </w:tc>
        <w:tc>
          <w:tcPr>
            <w:tcW w:type="dxa" w:w="90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2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46"/>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bl>
    <w:p>
      <w:pPr>
        <w:spacing w:after="120" w:before="0" w:line="360"/>
        <w:jc w:val="both"/>
      </w:pPr>
      <w:r>
        <w:rPr>
          <w:rFonts w:ascii="Times New Roman" w:cs="Times New Roman" w:eastAsia="Times New Roman" w:hAnsi="Times New Roman"/>
          <w:color w:val="000000"/>
          <w:sz w:val="24"/>
          <w:szCs w:val="24"/>
        </w:rPr>
        <w:t xml:space="preserve">Table 29 and Figure 18 divide the chain in two. Not one respondent in any actor category, at any site, reported using a standard pricing mechanism. All 65 fishers and all five hoteliers described the price as fixed, meaning the buyer set it and told them; 14 of 22 middlemen (63.6%) and all four exporters described their own pricing as competitive. Price setting was not associated with BMU among middlemen (p = .722).</w:t>
      </w:r>
    </w:p>
    <w:p>
      <w:pPr>
        <w:spacing w:after="0" w:before="240" w:line="240"/>
      </w:pPr>
      <w:r>
        <w:rPr>
          <w:rFonts w:ascii="Times New Roman" w:cs="Times New Roman" w:eastAsia="Times New Roman" w:hAnsi="Times New Roman"/>
          <w:b/>
          <w:bCs/>
          <w:color w:val="000000"/>
          <w:sz w:val="24"/>
          <w:szCs w:val="24"/>
        </w:rPr>
        <w:t xml:space="preserve">Figure 18</w:t>
      </w:r>
    </w:p>
    <w:p>
      <w:pPr>
        <w:spacing w:after="120" w:before="0" w:line="240"/>
      </w:pPr>
      <w:r>
        <w:rPr>
          <w:rFonts w:ascii="Times New Roman" w:cs="Times New Roman" w:eastAsia="Times New Roman" w:hAnsi="Times New Roman"/>
          <w:i/>
          <w:iCs/>
          <w:color w:val="000000"/>
          <w:sz w:val="24"/>
          <w:szCs w:val="24"/>
        </w:rPr>
        <w:t xml:space="preserve">How Mud Crab Prices Are Set, by Actor Category</w:t>
      </w:r>
    </w:p>
    <w:p>
      <w:pPr>
        <w:spacing w:after="240"/>
        <w:jc w:val="center"/>
      </w:pPr>
      <w:r>
        <w:drawing>
          <wp:inline distT="0" distB="0" distL="0" distR="0">
            <wp:extent cx="5715000" cy="1847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715000" cy="1847850"/>
                    </a:xfrm>
                    <a:prstGeom prst="rect">
                      <a:avLst/>
                    </a:prstGeom>
                  </pic:spPr>
                </pic:pic>
              </a:graphicData>
            </a:graphic>
          </wp:inline>
        </w:drawing>
      </w:r>
    </w:p>
    <w:p>
      <w:pPr>
        <w:spacing w:after="0" w:before="240" w:line="240"/>
      </w:pPr>
      <w:r>
        <w:rPr>
          <w:rFonts w:ascii="Times New Roman" w:cs="Times New Roman" w:eastAsia="Times New Roman" w:hAnsi="Times New Roman"/>
          <w:b/>
          <w:bCs/>
          <w:color w:val="000000"/>
          <w:sz w:val="24"/>
          <w:szCs w:val="24"/>
        </w:rPr>
        <w:t xml:space="preserve">Table 30</w:t>
      </w:r>
    </w:p>
    <w:p>
      <w:pPr>
        <w:spacing w:after="120" w:before="0" w:line="240"/>
      </w:pPr>
      <w:r>
        <w:rPr>
          <w:rFonts w:ascii="Times New Roman" w:cs="Times New Roman" w:eastAsia="Times New Roman" w:hAnsi="Times New Roman"/>
          <w:b w:val="false"/>
          <w:bCs w:val="false"/>
          <w:i/>
          <w:iCs/>
          <w:color w:val="000000"/>
          <w:sz w:val="24"/>
          <w:szCs w:val="24"/>
        </w:rPr>
        <w:t xml:space="preserve">Factors Influencing Price Fluctuations by Actor and BMU</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1850"/>
        <w:gridCol w:w="1250"/>
        <w:gridCol w:w="900"/>
        <w:gridCol w:w="820"/>
        <w:gridCol w:w="820"/>
        <w:gridCol w:w="760"/>
        <w:gridCol w:w="900"/>
        <w:gridCol w:w="880"/>
        <w:gridCol w:w="846"/>
      </w:tblGrid>
      <w:tr>
        <w:trPr>
          <w:tblHeader/>
        </w:trPr>
        <w:tc>
          <w:tcPr>
            <w:tcW w:type="dxa" w:w="18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17"/>
                <w:szCs w:val="17"/>
              </w:rPr>
              <w:t xml:space="preserve">Characteristic / response</w:t>
            </w:r>
          </w:p>
        </w:tc>
        <w:tc>
          <w:tcPr>
            <w:tcW w:type="dxa" w:w="12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Actor</w:t>
            </w:r>
          </w:p>
        </w:tc>
        <w:tc>
          <w:tcPr>
            <w:tcW w:type="dxa" w:w="9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Overall</w:t>
            </w:r>
          </w:p>
        </w:tc>
        <w:tc>
          <w:tcPr>
            <w:tcW w:type="dxa" w:w="82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Shimoni</w:t>
            </w:r>
          </w:p>
        </w:tc>
        <w:tc>
          <w:tcPr>
            <w:tcW w:type="dxa" w:w="82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Majoreni</w:t>
            </w:r>
          </w:p>
        </w:tc>
        <w:tc>
          <w:tcPr>
            <w:tcW w:type="dxa" w:w="76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Vanga</w:t>
            </w:r>
          </w:p>
        </w:tc>
        <w:tc>
          <w:tcPr>
            <w:tcW w:type="dxa" w:w="9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Msambweni</w:t>
            </w:r>
          </w:p>
        </w:tc>
        <w:tc>
          <w:tcPr>
            <w:tcW w:type="dxa" w:w="88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Other sites</w:t>
            </w:r>
          </w:p>
        </w:tc>
        <w:tc>
          <w:tcPr>
            <w:tcW w:type="dxa" w:w="846"/>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BMU p-value</w:t>
            </w:r>
          </w:p>
        </w:tc>
      </w:tr>
      <w:tr>
        <w:tc>
          <w:tcPr>
            <w:tcW w:type="dxa" w:w="9026"/>
            <w:gridSpan w:val="9"/>
            <w:tcBorders>
              <w:top w:val="none" w:color="FFFFFF" w:sz="0"/>
              <w:left w:val="none" w:color="FFFFFF" w:sz="0"/>
              <w:bottom w:val="none" w:color="FFFFFF" w:sz="0"/>
              <w:right w:val="none" w:color="FFFFFF" w:sz="0"/>
            </w:tcBorders>
            <w:tcMar>
              <w:top w:type="dxa" w:w="90"/>
              <w:left w:type="dxa" w:w="90"/>
              <w:bottom w:type="dxa" w:w="30"/>
              <w:right w:type="dxa" w:w="90"/>
            </w:tcMar>
          </w:tcPr>
          <w:p>
            <w:pPr>
              <w:spacing w:after="20" w:before="20" w:line="240"/>
              <w:jc w:val="left"/>
            </w:pPr>
            <w:r>
              <w:rPr>
                <w:rFonts w:ascii="Times New Roman" w:cs="Times New Roman" w:eastAsia="Times New Roman" w:hAnsi="Times New Roman"/>
                <w:b w:val="false"/>
                <w:bCs w:val="false"/>
                <w:i/>
                <w:iCs/>
                <w:color w:val="000000"/>
                <w:sz w:val="17"/>
                <w:szCs w:val="17"/>
              </w:rPr>
              <w:t xml:space="preserve">Factors influencing price fluctuations</w:t>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Seasonal and economic factors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Seasonal factors only</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Seasonal, weather and regulatory factors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65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25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14 (100.0%)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21 (100.0%)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 (100.0%)</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 (100.0%)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Seasonal and economic factors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22</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14 (63.6%)</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5 (45.5%)</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6 (85.7%)</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 (75.0%)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.238</w:t>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Seasonal factors only</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Seasonal, weather and regulatory factors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8 (36.4%)</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6 (54.5%)</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(14.3%)</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(25.0%)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Seasonal and economic factors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Seasonal factors only</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5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Seasonal, weather and regulatory factors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Seasonal and economic factors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4</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Seasonal factors only</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Seasonal, weather and regulatory factors</w:t>
            </w:r>
          </w:p>
        </w:tc>
        <w:tc>
          <w:tcPr>
            <w:tcW w:type="dxa" w:w="125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c>
          <w:tcPr>
            <w:tcW w:type="dxa" w:w="90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2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46"/>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bl>
    <w:p>
      <w:pPr>
        <w:spacing w:after="120" w:before="0" w:line="360"/>
        <w:jc w:val="both"/>
      </w:pPr>
      <w:r>
        <w:rPr>
          <w:rFonts w:ascii="Times New Roman" w:cs="Times New Roman" w:eastAsia="Times New Roman" w:hAnsi="Times New Roman"/>
          <w:color w:val="000000"/>
          <w:sz w:val="24"/>
          <w:szCs w:val="24"/>
        </w:rPr>
        <w:t xml:space="preserve">Table 30 shows that actors attributed price movement to different causes. All 65 fishers and all four exporters cited seasonal, weather and regulatory factors; 14 of 22 middlemen (63.6%) cited seasonal and economic factors; all five hoteliers cited seasonal factors alone. Among middlemen the factor named was not associated with BMU (p = .238).</w:t>
      </w:r>
    </w:p>
    <w:p>
      <w:pPr>
        <w:spacing w:after="120" w:before="0" w:line="360"/>
        <w:jc w:val="both"/>
      </w:pPr>
      <w:r>
        <w:rPr>
          <w:rFonts w:ascii="Times New Roman" w:cs="Times New Roman" w:eastAsia="Times New Roman" w:hAnsi="Times New Roman"/>
          <w:color w:val="000000"/>
          <w:sz w:val="24"/>
          <w:szCs w:val="24"/>
        </w:rPr>
        <w:t xml:space="preserve">Tables 29 and 30 and Figure 17 describe the moment at which the terms of exchange are settled. The fisher sells at the beach, on the day, at a price the buyer sets, and is often paid at least partly in credit by that same buyer. Fixed at the fisher node and competitive at the middleman node are the same transaction described from either end.</w:t>
      </w:r>
    </w:p>
    <w:p>
      <w:pPr>
        <w:pStyle w:val="Heading3"/>
        <w:spacing w:after="120" w:before="240" w:line="360"/>
      </w:pPr>
      <w:r>
        <w:rPr>
          <w:rFonts w:ascii="Times New Roman" w:cs="Times New Roman" w:eastAsia="Times New Roman" w:hAnsi="Times New Roman"/>
          <w:b/>
          <w:bCs/>
          <w:color w:val="000000"/>
          <w:sz w:val="24"/>
          <w:szCs w:val="24"/>
        </w:rPr>
        <w:t xml:space="preserve">4.4.7 Trading Relationships and Market Information</w:t>
      </w:r>
    </w:p>
    <w:p>
      <w:pPr>
        <w:spacing w:after="0" w:before="240" w:line="240"/>
      </w:pPr>
      <w:r>
        <w:rPr>
          <w:rFonts w:ascii="Times New Roman" w:cs="Times New Roman" w:eastAsia="Times New Roman" w:hAnsi="Times New Roman"/>
          <w:b/>
          <w:bCs/>
          <w:color w:val="000000"/>
          <w:sz w:val="24"/>
          <w:szCs w:val="24"/>
        </w:rPr>
        <w:t xml:space="preserve">Table 31</w:t>
      </w:r>
    </w:p>
    <w:p>
      <w:pPr>
        <w:spacing w:after="120" w:before="0" w:line="240"/>
      </w:pPr>
      <w:r>
        <w:rPr>
          <w:rFonts w:ascii="Times New Roman" w:cs="Times New Roman" w:eastAsia="Times New Roman" w:hAnsi="Times New Roman"/>
          <w:b w:val="false"/>
          <w:bCs w:val="false"/>
          <w:i/>
          <w:iCs/>
          <w:color w:val="000000"/>
          <w:sz w:val="24"/>
          <w:szCs w:val="24"/>
        </w:rPr>
        <w:t xml:space="preserve">Tied Depot Owners and Arrangements With Tied Fishers and Traders by Actor and BMU</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1850"/>
        <w:gridCol w:w="1250"/>
        <w:gridCol w:w="900"/>
        <w:gridCol w:w="820"/>
        <w:gridCol w:w="820"/>
        <w:gridCol w:w="760"/>
        <w:gridCol w:w="900"/>
        <w:gridCol w:w="880"/>
        <w:gridCol w:w="846"/>
      </w:tblGrid>
      <w:tr>
        <w:trPr>
          <w:tblHeader/>
        </w:trPr>
        <w:tc>
          <w:tcPr>
            <w:tcW w:type="dxa" w:w="18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17"/>
                <w:szCs w:val="17"/>
              </w:rPr>
              <w:t xml:space="preserve">Characteristic / response</w:t>
            </w:r>
          </w:p>
        </w:tc>
        <w:tc>
          <w:tcPr>
            <w:tcW w:type="dxa" w:w="12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Actor</w:t>
            </w:r>
          </w:p>
        </w:tc>
        <w:tc>
          <w:tcPr>
            <w:tcW w:type="dxa" w:w="9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Overall</w:t>
            </w:r>
          </w:p>
        </w:tc>
        <w:tc>
          <w:tcPr>
            <w:tcW w:type="dxa" w:w="82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Shimoni</w:t>
            </w:r>
          </w:p>
        </w:tc>
        <w:tc>
          <w:tcPr>
            <w:tcW w:type="dxa" w:w="82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Majoreni</w:t>
            </w:r>
          </w:p>
        </w:tc>
        <w:tc>
          <w:tcPr>
            <w:tcW w:type="dxa" w:w="76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Vanga</w:t>
            </w:r>
          </w:p>
        </w:tc>
        <w:tc>
          <w:tcPr>
            <w:tcW w:type="dxa" w:w="9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Msambweni</w:t>
            </w:r>
          </w:p>
        </w:tc>
        <w:tc>
          <w:tcPr>
            <w:tcW w:type="dxa" w:w="88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Other sites</w:t>
            </w:r>
          </w:p>
        </w:tc>
        <w:tc>
          <w:tcPr>
            <w:tcW w:type="dxa" w:w="846"/>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BMU p-value</w:t>
            </w:r>
          </w:p>
        </w:tc>
      </w:tr>
      <w:tr>
        <w:tc>
          <w:tcPr>
            <w:tcW w:type="dxa" w:w="9026"/>
            <w:gridSpan w:val="9"/>
            <w:tcBorders>
              <w:top w:val="none" w:color="FFFFFF" w:sz="0"/>
              <w:left w:val="none" w:color="FFFFFF" w:sz="0"/>
              <w:bottom w:val="none" w:color="FFFFFF" w:sz="0"/>
              <w:right w:val="none" w:color="FFFFFF" w:sz="0"/>
            </w:tcBorders>
            <w:tcMar>
              <w:top w:type="dxa" w:w="90"/>
              <w:left w:type="dxa" w:w="90"/>
              <w:bottom w:type="dxa" w:w="30"/>
              <w:right w:type="dxa" w:w="90"/>
            </w:tcMar>
          </w:tcPr>
          <w:p>
            <w:pPr>
              <w:spacing w:after="20" w:before="20" w:line="240"/>
              <w:jc w:val="left"/>
            </w:pPr>
            <w:r>
              <w:rPr>
                <w:rFonts w:ascii="Times New Roman" w:cs="Times New Roman" w:eastAsia="Times New Roman" w:hAnsi="Times New Roman"/>
                <w:b w:val="false"/>
                <w:bCs w:val="false"/>
                <w:i/>
                <w:iCs/>
                <w:color w:val="000000"/>
                <w:sz w:val="17"/>
                <w:szCs w:val="17"/>
              </w:rPr>
              <w:t xml:space="preserve">Has depot owners tied to the business</w:t>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Yes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9</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No</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9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5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Yes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22</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21 (95.5%)</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10 (90.9%)</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7 (100.0%)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No</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(4.5%)</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(9.1%)</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Yes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No</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5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Yes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4</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No</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9026"/>
            <w:gridSpan w:val="9"/>
            <w:tcBorders>
              <w:top w:val="none" w:color="FFFFFF" w:sz="0"/>
              <w:left w:val="none" w:color="FFFFFF" w:sz="0"/>
              <w:bottom w:val="none" w:color="FFFFFF" w:sz="0"/>
              <w:right w:val="none" w:color="FFFFFF" w:sz="0"/>
            </w:tcBorders>
            <w:tcMar>
              <w:top w:type="dxa" w:w="90"/>
              <w:left w:type="dxa" w:w="90"/>
              <w:bottom w:type="dxa" w:w="30"/>
              <w:right w:type="dxa" w:w="90"/>
            </w:tcMar>
          </w:tcPr>
          <w:p>
            <w:pPr>
              <w:spacing w:after="20" w:before="20" w:line="240"/>
              <w:jc w:val="left"/>
            </w:pPr>
            <w:r>
              <w:rPr>
                <w:rFonts w:ascii="Times New Roman" w:cs="Times New Roman" w:eastAsia="Times New Roman" w:hAnsi="Times New Roman"/>
                <w:b w:val="false"/>
                <w:bCs w:val="false"/>
                <w:i/>
                <w:iCs/>
                <w:color w:val="000000"/>
                <w:sz w:val="17"/>
                <w:szCs w:val="17"/>
              </w:rPr>
              <w:t xml:space="preserve">Arrangement with tied fishers</w:t>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Credit</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Credit</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21</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21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10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7 (100.0%)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Credit</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5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Credit</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9026"/>
            <w:gridSpan w:val="9"/>
            <w:tcBorders>
              <w:top w:val="none" w:color="FFFFFF" w:sz="0"/>
              <w:left w:val="none" w:color="FFFFFF" w:sz="0"/>
              <w:bottom w:val="none" w:color="FFFFFF" w:sz="0"/>
              <w:right w:val="none" w:color="FFFFFF" w:sz="0"/>
            </w:tcBorders>
            <w:tcMar>
              <w:top w:type="dxa" w:w="90"/>
              <w:left w:type="dxa" w:w="90"/>
              <w:bottom w:type="dxa" w:w="30"/>
              <w:right w:type="dxa" w:w="90"/>
            </w:tcMar>
          </w:tcPr>
          <w:p>
            <w:pPr>
              <w:spacing w:after="20" w:before="20" w:line="240"/>
              <w:jc w:val="left"/>
            </w:pPr>
            <w:r>
              <w:rPr>
                <w:rFonts w:ascii="Times New Roman" w:cs="Times New Roman" w:eastAsia="Times New Roman" w:hAnsi="Times New Roman"/>
                <w:b w:val="false"/>
                <w:bCs w:val="false"/>
                <w:i/>
                <w:iCs/>
                <w:color w:val="000000"/>
                <w:sz w:val="17"/>
                <w:szCs w:val="17"/>
              </w:rPr>
              <w:t xml:space="preserve">Arrangement with tied traders</w:t>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Credit</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38 (58.5%)</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14 (56.0%)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9 (64.3%)</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13 (61.9%)</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 (66.7%)</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Fixed price</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9 (13.8%)</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5 (20.0%)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(19.0%)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Frequency supply</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18 (27.7%)</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6 (24.0%)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5 (35.7%)</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(19.0%)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(33.3%)</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 (100.0%)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Credit</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11</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10 (90.9%)</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(80.0%)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 (100.0%)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Fixed price</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(9.1%)</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(20.0%)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Frequency supply</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Credit</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5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Fixed price</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Frequency supply</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Credit</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4</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Fixed price</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Frequency supply</w:t>
            </w:r>
          </w:p>
        </w:tc>
        <w:tc>
          <w:tcPr>
            <w:tcW w:type="dxa" w:w="125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c>
          <w:tcPr>
            <w:tcW w:type="dxa" w:w="90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bl>
    <w:p>
      <w:pPr>
        <w:spacing w:after="120" w:before="0" w:line="360"/>
        <w:jc w:val="both"/>
      </w:pPr>
      <w:r>
        <w:rPr>
          <w:rFonts w:ascii="Times New Roman" w:cs="Times New Roman" w:eastAsia="Times New Roman" w:hAnsi="Times New Roman"/>
          <w:color w:val="000000"/>
          <w:sz w:val="24"/>
          <w:szCs w:val="24"/>
        </w:rPr>
        <w:t xml:space="preserve">Table 31 records depot ties and the terms attached to them. Depot owners were tied to the business for all 22 middlemen, all five hoteliers and all four exporters, but for only 1 of the 9 fishers who answered (11.1%). Where middlemen and hoteliers had tied fishers, the arrangement was credit in every case, 21 middlemen and 5 hoteliers, 100.0% of those answering. Arrangements with tied traders varied more: every fisher who answered named credit, middlemen named credit (7, 63.6%) or fixed price (4, 36.4%), and hoteliers and exporters named frequency of supply.</w:t>
      </w:r>
    </w:p>
    <w:p>
      <w:pPr>
        <w:spacing w:after="120" w:before="0" w:line="360"/>
        <w:jc w:val="both"/>
      </w:pPr>
      <w:r>
        <w:rPr>
          <w:rFonts w:ascii="Times New Roman" w:cs="Times New Roman" w:eastAsia="Times New Roman" w:hAnsi="Times New Roman"/>
          <w:color w:val="000000"/>
          <w:sz w:val="24"/>
          <w:szCs w:val="24"/>
        </w:rPr>
        <w:t xml:space="preserve">This is the clearest statement in the chapter of what ties an upstream actor to a downstream one. It is not a contract and not a price guarantee; it is credit. Every one of the 21 middlemen with tied fishers held them through an advance, and every fisher describing his own tie described the same instrument. Read against Table 12, where 93.8% of fishers named a middleman as their credit source, the two tables describe one mechanism from both ends.</w:t>
      </w:r>
    </w:p>
    <w:p>
      <w:pPr>
        <w:spacing w:after="0" w:before="240" w:line="240"/>
      </w:pPr>
      <w:r>
        <w:rPr>
          <w:rFonts w:ascii="Times New Roman" w:cs="Times New Roman" w:eastAsia="Times New Roman" w:hAnsi="Times New Roman"/>
          <w:b/>
          <w:bCs/>
          <w:color w:val="000000"/>
          <w:sz w:val="24"/>
          <w:szCs w:val="24"/>
        </w:rPr>
        <w:t xml:space="preserve">Table 32</w:t>
      </w:r>
    </w:p>
    <w:p>
      <w:pPr>
        <w:spacing w:after="120" w:before="0" w:line="240"/>
      </w:pPr>
      <w:r>
        <w:rPr>
          <w:rFonts w:ascii="Times New Roman" w:cs="Times New Roman" w:eastAsia="Times New Roman" w:hAnsi="Times New Roman"/>
          <w:b w:val="false"/>
          <w:bCs w:val="false"/>
          <w:i/>
          <w:iCs/>
          <w:color w:val="000000"/>
          <w:sz w:val="24"/>
          <w:szCs w:val="24"/>
        </w:rPr>
        <w:t xml:space="preserve">Arrangements Used With Tied Depot Owners by Actor and BMU</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1850"/>
        <w:gridCol w:w="1250"/>
        <w:gridCol w:w="900"/>
        <w:gridCol w:w="820"/>
        <w:gridCol w:w="820"/>
        <w:gridCol w:w="760"/>
        <w:gridCol w:w="900"/>
        <w:gridCol w:w="880"/>
        <w:gridCol w:w="846"/>
      </w:tblGrid>
      <w:tr>
        <w:trPr>
          <w:tblHeader/>
        </w:trPr>
        <w:tc>
          <w:tcPr>
            <w:tcW w:type="dxa" w:w="18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17"/>
                <w:szCs w:val="17"/>
              </w:rPr>
              <w:t xml:space="preserve">Characteristic / response</w:t>
            </w:r>
          </w:p>
        </w:tc>
        <w:tc>
          <w:tcPr>
            <w:tcW w:type="dxa" w:w="12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Actor</w:t>
            </w:r>
          </w:p>
        </w:tc>
        <w:tc>
          <w:tcPr>
            <w:tcW w:type="dxa" w:w="9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Overall</w:t>
            </w:r>
          </w:p>
        </w:tc>
        <w:tc>
          <w:tcPr>
            <w:tcW w:type="dxa" w:w="82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Shimoni</w:t>
            </w:r>
          </w:p>
        </w:tc>
        <w:tc>
          <w:tcPr>
            <w:tcW w:type="dxa" w:w="82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Majoreni</w:t>
            </w:r>
          </w:p>
        </w:tc>
        <w:tc>
          <w:tcPr>
            <w:tcW w:type="dxa" w:w="76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Vanga</w:t>
            </w:r>
          </w:p>
        </w:tc>
        <w:tc>
          <w:tcPr>
            <w:tcW w:type="dxa" w:w="9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Msambweni</w:t>
            </w:r>
          </w:p>
        </w:tc>
        <w:tc>
          <w:tcPr>
            <w:tcW w:type="dxa" w:w="88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Other sites</w:t>
            </w:r>
          </w:p>
        </w:tc>
        <w:tc>
          <w:tcPr>
            <w:tcW w:type="dxa" w:w="846"/>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BMU p-value</w:t>
            </w:r>
          </w:p>
        </w:tc>
      </w:tr>
      <w:tr>
        <w:tc>
          <w:tcPr>
            <w:tcW w:type="dxa" w:w="9026"/>
            <w:gridSpan w:val="9"/>
            <w:tcBorders>
              <w:top w:val="none" w:color="FFFFFF" w:sz="0"/>
              <w:left w:val="none" w:color="FFFFFF" w:sz="0"/>
              <w:bottom w:val="none" w:color="FFFFFF" w:sz="0"/>
              <w:right w:val="none" w:color="FFFFFF" w:sz="0"/>
            </w:tcBorders>
            <w:tcMar>
              <w:top w:type="dxa" w:w="90"/>
              <w:left w:type="dxa" w:w="90"/>
              <w:bottom w:type="dxa" w:w="30"/>
              <w:right w:type="dxa" w:w="90"/>
            </w:tcMar>
          </w:tcPr>
          <w:p>
            <w:pPr>
              <w:spacing w:after="20" w:before="20" w:line="240"/>
              <w:jc w:val="left"/>
            </w:pPr>
            <w:r>
              <w:rPr>
                <w:rFonts w:ascii="Times New Roman" w:cs="Times New Roman" w:eastAsia="Times New Roman" w:hAnsi="Times New Roman"/>
                <w:b w:val="false"/>
                <w:bCs w:val="false"/>
                <w:i/>
                <w:iCs/>
                <w:color w:val="000000"/>
                <w:sz w:val="17"/>
                <w:szCs w:val="17"/>
              </w:rPr>
              <w:t xml:space="preserve">Arrangement with tied depot owners</w:t>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Credit</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56</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Frequency supply</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Frequency supply and credit</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Supply quantity</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56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20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14 (100.0%)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17 (100.0%)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 (100.0%)</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 (100.0%)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Credit</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21</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15 (71.4%)</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8 (80.0%)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 (42.9%)</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Frequency supply</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(19.0%)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 (20.0%)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 (28.6%)</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Frequency supply and credit</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 (9.5%)</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 (28.6%)</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Supply quantity</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Credit</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Frequency supply</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Frequency supply and credit</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Supply quantity</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Credit</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Frequency supply</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Frequency supply and credit</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Supply quantity</w:t>
            </w:r>
          </w:p>
        </w:tc>
        <w:tc>
          <w:tcPr>
            <w:tcW w:type="dxa" w:w="125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c>
          <w:tcPr>
            <w:tcW w:type="dxa" w:w="90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bl>
    <w:p>
      <w:pPr>
        <w:spacing w:after="120" w:before="0" w:line="360"/>
        <w:jc w:val="both"/>
      </w:pPr>
      <w:r>
        <w:rPr>
          <w:rFonts w:ascii="Times New Roman" w:cs="Times New Roman" w:eastAsia="Times New Roman" w:hAnsi="Times New Roman"/>
          <w:color w:val="000000"/>
          <w:sz w:val="24"/>
          <w:szCs w:val="24"/>
        </w:rPr>
        <w:t xml:space="preserve">As shown in Table 32, arrangements with tied depot owners were reported by 56 fishers and 21 middlemen. Fishers named frequency of supply (31, 55.4%) or credit (25, 44.6%); middlemen named supply quantity (10, 47.6%), frequency of supply and credit together (7, 33.3%) or credit alone (4, 19.0%). No hotelier or exporter completed the item.</w:t>
      </w:r>
    </w:p>
    <w:p>
      <w:pPr>
        <w:spacing w:after="120" w:before="0" w:line="360"/>
        <w:jc w:val="both"/>
      </w:pPr>
      <w:r>
        <w:rPr>
          <w:rFonts w:ascii="Times New Roman" w:cs="Times New Roman" w:eastAsia="Times New Roman" w:hAnsi="Times New Roman"/>
          <w:color w:val="000000"/>
          <w:sz w:val="24"/>
          <w:szCs w:val="24"/>
        </w:rPr>
        <w:t xml:space="preserve">Obligations become more commercial further down the chain. A fisher is held by an advance; a middleman by a quantity he has undertaken to deliver. Neither is a written contract in the ordinary sense, and Table 33 shows that only one of the ten fishers who answered had any trading agreement at all.</w:t>
      </w:r>
    </w:p>
    <w:p>
      <w:pPr>
        <w:spacing w:after="0" w:before="240" w:line="240"/>
      </w:pPr>
      <w:r>
        <w:rPr>
          <w:rFonts w:ascii="Times New Roman" w:cs="Times New Roman" w:eastAsia="Times New Roman" w:hAnsi="Times New Roman"/>
          <w:b/>
          <w:bCs/>
          <w:color w:val="000000"/>
          <w:sz w:val="24"/>
          <w:szCs w:val="24"/>
        </w:rPr>
        <w:t xml:space="preserve">Table 33</w:t>
      </w:r>
    </w:p>
    <w:p>
      <w:pPr>
        <w:spacing w:after="120" w:before="0" w:line="240"/>
      </w:pPr>
      <w:r>
        <w:rPr>
          <w:rFonts w:ascii="Times New Roman" w:cs="Times New Roman" w:eastAsia="Times New Roman" w:hAnsi="Times New Roman"/>
          <w:b w:val="false"/>
          <w:bCs w:val="false"/>
          <w:i/>
          <w:iCs/>
          <w:color w:val="000000"/>
          <w:sz w:val="24"/>
          <w:szCs w:val="24"/>
        </w:rPr>
        <w:t xml:space="preserve">Tied Fishers, Tied Traders and Trading Agreements by Actor and BMU</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1850"/>
        <w:gridCol w:w="1250"/>
        <w:gridCol w:w="900"/>
        <w:gridCol w:w="820"/>
        <w:gridCol w:w="820"/>
        <w:gridCol w:w="760"/>
        <w:gridCol w:w="900"/>
        <w:gridCol w:w="880"/>
        <w:gridCol w:w="846"/>
      </w:tblGrid>
      <w:tr>
        <w:trPr>
          <w:tblHeader/>
        </w:trPr>
        <w:tc>
          <w:tcPr>
            <w:tcW w:type="dxa" w:w="18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17"/>
                <w:szCs w:val="17"/>
              </w:rPr>
              <w:t xml:space="preserve">Characteristic / response</w:t>
            </w:r>
          </w:p>
        </w:tc>
        <w:tc>
          <w:tcPr>
            <w:tcW w:type="dxa" w:w="12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Actor</w:t>
            </w:r>
          </w:p>
        </w:tc>
        <w:tc>
          <w:tcPr>
            <w:tcW w:type="dxa" w:w="9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Overall</w:t>
            </w:r>
          </w:p>
        </w:tc>
        <w:tc>
          <w:tcPr>
            <w:tcW w:type="dxa" w:w="82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Shimoni</w:t>
            </w:r>
          </w:p>
        </w:tc>
        <w:tc>
          <w:tcPr>
            <w:tcW w:type="dxa" w:w="82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Majoreni</w:t>
            </w:r>
          </w:p>
        </w:tc>
        <w:tc>
          <w:tcPr>
            <w:tcW w:type="dxa" w:w="76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Vanga</w:t>
            </w:r>
          </w:p>
        </w:tc>
        <w:tc>
          <w:tcPr>
            <w:tcW w:type="dxa" w:w="9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Msambweni</w:t>
            </w:r>
          </w:p>
        </w:tc>
        <w:tc>
          <w:tcPr>
            <w:tcW w:type="dxa" w:w="88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Other sites</w:t>
            </w:r>
          </w:p>
        </w:tc>
        <w:tc>
          <w:tcPr>
            <w:tcW w:type="dxa" w:w="846"/>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BMU p-value</w:t>
            </w:r>
          </w:p>
        </w:tc>
      </w:tr>
      <w:tr>
        <w:tc>
          <w:tcPr>
            <w:tcW w:type="dxa" w:w="9026"/>
            <w:gridSpan w:val="9"/>
            <w:tcBorders>
              <w:top w:val="none" w:color="FFFFFF" w:sz="0"/>
              <w:left w:val="none" w:color="FFFFFF" w:sz="0"/>
              <w:bottom w:val="none" w:color="FFFFFF" w:sz="0"/>
              <w:right w:val="none" w:color="FFFFFF" w:sz="0"/>
            </w:tcBorders>
            <w:tcMar>
              <w:top w:type="dxa" w:w="90"/>
              <w:left w:type="dxa" w:w="90"/>
              <w:bottom w:type="dxa" w:w="30"/>
              <w:right w:type="dxa" w:w="90"/>
            </w:tcMar>
          </w:tcPr>
          <w:p>
            <w:pPr>
              <w:spacing w:after="20" w:before="20" w:line="240"/>
              <w:jc w:val="left"/>
            </w:pPr>
            <w:r>
              <w:rPr>
                <w:rFonts w:ascii="Times New Roman" w:cs="Times New Roman" w:eastAsia="Times New Roman" w:hAnsi="Times New Roman"/>
                <w:b w:val="false"/>
                <w:bCs w:val="false"/>
                <w:i/>
                <w:iCs/>
                <w:color w:val="000000"/>
                <w:sz w:val="17"/>
                <w:szCs w:val="17"/>
              </w:rPr>
              <w:t xml:space="preserve">Has fishers tied to the business</w:t>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Yes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No</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65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25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14 (100.0%)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21 (100.0%)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 (100.0%)</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 (100.0%)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Yes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22</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21 (95.5%)</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10 (90.9%)</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7 (100.0%)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No</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(4.5%)</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(9.1%)</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Yes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5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No</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Yes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4</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No</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9026"/>
            <w:gridSpan w:val="9"/>
            <w:tcBorders>
              <w:top w:val="none" w:color="FFFFFF" w:sz="0"/>
              <w:left w:val="none" w:color="FFFFFF" w:sz="0"/>
              <w:bottom w:val="none" w:color="FFFFFF" w:sz="0"/>
              <w:right w:val="none" w:color="FFFFFF" w:sz="0"/>
            </w:tcBorders>
            <w:tcMar>
              <w:top w:type="dxa" w:w="90"/>
              <w:left w:type="dxa" w:w="90"/>
              <w:bottom w:type="dxa" w:w="30"/>
              <w:right w:type="dxa" w:w="90"/>
            </w:tcMar>
          </w:tcPr>
          <w:p>
            <w:pPr>
              <w:spacing w:after="20" w:before="20" w:line="240"/>
              <w:jc w:val="left"/>
            </w:pPr>
            <w:r>
              <w:rPr>
                <w:rFonts w:ascii="Times New Roman" w:cs="Times New Roman" w:eastAsia="Times New Roman" w:hAnsi="Times New Roman"/>
                <w:b w:val="false"/>
                <w:bCs w:val="false"/>
                <w:i/>
                <w:iCs/>
                <w:color w:val="000000"/>
                <w:sz w:val="17"/>
                <w:szCs w:val="17"/>
              </w:rPr>
              <w:t xml:space="preserve">Has traders tied to the business</w:t>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Yes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65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25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14 (100.0%)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21 (100.0%)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 (100.0%)</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 (100.0%)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No</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Yes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22</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11 (50.0%)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5 (45.5%)</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(57.1%)</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 (50.0%)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No</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11 (50.0%)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6 (54.5%)</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 (42.9%)</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 (50.0%)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Yes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5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No</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Yes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4</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No</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9026"/>
            <w:gridSpan w:val="9"/>
            <w:tcBorders>
              <w:top w:val="none" w:color="FFFFFF" w:sz="0"/>
              <w:left w:val="none" w:color="FFFFFF" w:sz="0"/>
              <w:bottom w:val="none" w:color="FFFFFF" w:sz="0"/>
              <w:right w:val="none" w:color="FFFFFF" w:sz="0"/>
            </w:tcBorders>
            <w:tcMar>
              <w:top w:type="dxa" w:w="90"/>
              <w:left w:type="dxa" w:w="90"/>
              <w:bottom w:type="dxa" w:w="30"/>
              <w:right w:type="dxa" w:w="90"/>
            </w:tcMar>
          </w:tcPr>
          <w:p>
            <w:pPr>
              <w:spacing w:after="20" w:before="20" w:line="240"/>
              <w:jc w:val="left"/>
            </w:pPr>
            <w:r>
              <w:rPr>
                <w:rFonts w:ascii="Times New Roman" w:cs="Times New Roman" w:eastAsia="Times New Roman" w:hAnsi="Times New Roman"/>
                <w:b w:val="false"/>
                <w:bCs w:val="false"/>
                <w:i/>
                <w:iCs/>
                <w:color w:val="000000"/>
                <w:sz w:val="17"/>
                <w:szCs w:val="17"/>
              </w:rPr>
              <w:t xml:space="preserve">Has a formal or informal trading agreement</w:t>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Yes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10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(10.0%)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(100.0%)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No</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9 (90.0%)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5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Yes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22</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21 (95.5%)</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10 (90.9%)</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7 (100.0%)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No</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(4.5%)</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(9.1%)</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Yes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5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No</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Yes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4</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No</w:t>
            </w:r>
          </w:p>
        </w:tc>
        <w:tc>
          <w:tcPr>
            <w:tcW w:type="dxa" w:w="125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c>
          <w:tcPr>
            <w:tcW w:type="dxa" w:w="90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bl>
    <w:p>
      <w:pPr>
        <w:spacing w:after="120" w:before="0" w:line="360"/>
        <w:jc w:val="both"/>
      </w:pPr>
      <w:r>
        <w:rPr>
          <w:rFonts w:ascii="Times New Roman" w:cs="Times New Roman" w:eastAsia="Times New Roman" w:hAnsi="Times New Roman"/>
          <w:color w:val="000000"/>
          <w:sz w:val="24"/>
          <w:szCs w:val="24"/>
        </w:rPr>
        <w:t xml:space="preserve">Table 33 shows tied relationships running downward. No fisher had a fisher tied to him, yet every fisher had a trader tied to his business; 21 of 22 middlemen (95.5%) and all five hoteliers had fishers tied to theirs, while middlemen split evenly on whether they had tied traders (11 and 11). Trading agreements, formal or informal, covered 21 middlemen (95.5%) and every hotelier and exporter, against 1 of the 10 fishers who answered the item (10.0%).</w:t>
      </w:r>
    </w:p>
    <w:p>
      <w:pPr>
        <w:spacing w:after="0" w:before="240" w:line="240"/>
      </w:pPr>
      <w:r>
        <w:rPr>
          <w:rFonts w:ascii="Times New Roman" w:cs="Times New Roman" w:eastAsia="Times New Roman" w:hAnsi="Times New Roman"/>
          <w:b/>
          <w:bCs/>
          <w:color w:val="000000"/>
          <w:sz w:val="24"/>
          <w:szCs w:val="24"/>
        </w:rPr>
        <w:t xml:space="preserve">Table 34</w:t>
      </w:r>
    </w:p>
    <w:p>
      <w:pPr>
        <w:spacing w:after="120" w:before="0" w:line="240"/>
      </w:pPr>
      <w:r>
        <w:rPr>
          <w:rFonts w:ascii="Times New Roman" w:cs="Times New Roman" w:eastAsia="Times New Roman" w:hAnsi="Times New Roman"/>
          <w:b w:val="false"/>
          <w:bCs w:val="false"/>
          <w:i/>
          <w:iCs/>
          <w:color w:val="000000"/>
          <w:sz w:val="24"/>
          <w:szCs w:val="24"/>
        </w:rPr>
        <w:t xml:space="preserve">Role of Intermediaries and Negotiation Terms by Actor and BMU</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1850"/>
        <w:gridCol w:w="1250"/>
        <w:gridCol w:w="900"/>
        <w:gridCol w:w="820"/>
        <w:gridCol w:w="820"/>
        <w:gridCol w:w="760"/>
        <w:gridCol w:w="900"/>
        <w:gridCol w:w="880"/>
        <w:gridCol w:w="846"/>
      </w:tblGrid>
      <w:tr>
        <w:trPr>
          <w:tblHeader/>
        </w:trPr>
        <w:tc>
          <w:tcPr>
            <w:tcW w:type="dxa" w:w="18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17"/>
                <w:szCs w:val="17"/>
              </w:rPr>
              <w:t xml:space="preserve">Characteristic / response</w:t>
            </w:r>
          </w:p>
        </w:tc>
        <w:tc>
          <w:tcPr>
            <w:tcW w:type="dxa" w:w="12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Actor</w:t>
            </w:r>
          </w:p>
        </w:tc>
        <w:tc>
          <w:tcPr>
            <w:tcW w:type="dxa" w:w="9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Overall</w:t>
            </w:r>
          </w:p>
        </w:tc>
        <w:tc>
          <w:tcPr>
            <w:tcW w:type="dxa" w:w="82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Shimoni</w:t>
            </w:r>
          </w:p>
        </w:tc>
        <w:tc>
          <w:tcPr>
            <w:tcW w:type="dxa" w:w="82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Majoreni</w:t>
            </w:r>
          </w:p>
        </w:tc>
        <w:tc>
          <w:tcPr>
            <w:tcW w:type="dxa" w:w="76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Vanga</w:t>
            </w:r>
          </w:p>
        </w:tc>
        <w:tc>
          <w:tcPr>
            <w:tcW w:type="dxa" w:w="9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Msambweni</w:t>
            </w:r>
          </w:p>
        </w:tc>
        <w:tc>
          <w:tcPr>
            <w:tcW w:type="dxa" w:w="88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Other sites</w:t>
            </w:r>
          </w:p>
        </w:tc>
        <w:tc>
          <w:tcPr>
            <w:tcW w:type="dxa" w:w="846"/>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BMU p-value</w:t>
            </w:r>
          </w:p>
        </w:tc>
      </w:tr>
      <w:tr>
        <w:tc>
          <w:tcPr>
            <w:tcW w:type="dxa" w:w="9026"/>
            <w:gridSpan w:val="9"/>
            <w:tcBorders>
              <w:top w:val="none" w:color="FFFFFF" w:sz="0"/>
              <w:left w:val="none" w:color="FFFFFF" w:sz="0"/>
              <w:bottom w:val="none" w:color="FFFFFF" w:sz="0"/>
              <w:right w:val="none" w:color="FFFFFF" w:sz="0"/>
            </w:tcBorders>
            <w:tcMar>
              <w:top w:type="dxa" w:w="90"/>
              <w:left w:type="dxa" w:w="90"/>
              <w:bottom w:type="dxa" w:w="30"/>
              <w:right w:type="dxa" w:w="90"/>
            </w:tcMar>
          </w:tcPr>
          <w:p>
            <w:pPr>
              <w:spacing w:after="20" w:before="20" w:line="240"/>
              <w:jc w:val="left"/>
            </w:pPr>
            <w:r>
              <w:rPr>
                <w:rFonts w:ascii="Times New Roman" w:cs="Times New Roman" w:eastAsia="Times New Roman" w:hAnsi="Times New Roman"/>
                <w:b w:val="false"/>
                <w:bCs w:val="false"/>
                <w:i/>
                <w:iCs/>
                <w:color w:val="000000"/>
                <w:sz w:val="17"/>
                <w:szCs w:val="17"/>
              </w:rPr>
              <w:t xml:space="preserve">Role of intermediaries</w:t>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Marketing</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24 (36.9%)</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10 (40.0%)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6 (42.9%)</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7 (33.3%)</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(33.3%)</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.925</w:t>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Negotiation</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41 (63.1%)</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15 (60.0%)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8 (57.1%)</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14 (66.7%)</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 (66.7%)</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 (100.0%)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Negotiation and marketing</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Marketing</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22</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(4.5%)</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(9.1%)</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1.000</w:t>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Negotiation</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7 (31.8%)</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(36.4%)</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 (28.6%)</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(25.0%)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Negotiation and marketing</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14 (63.6%)</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6 (54.5%)</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5 (71.4%)</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 (75.0%)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Marketing</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5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Negotiation</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Negotiation and marketing</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Marketing</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4</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Negotiation</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Negotiation and marketing</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9026"/>
            <w:gridSpan w:val="9"/>
            <w:tcBorders>
              <w:top w:val="none" w:color="FFFFFF" w:sz="0"/>
              <w:left w:val="none" w:color="FFFFFF" w:sz="0"/>
              <w:bottom w:val="none" w:color="FFFFFF" w:sz="0"/>
              <w:right w:val="none" w:color="FFFFFF" w:sz="0"/>
            </w:tcBorders>
            <w:tcMar>
              <w:top w:type="dxa" w:w="90"/>
              <w:left w:type="dxa" w:w="90"/>
              <w:bottom w:type="dxa" w:w="30"/>
              <w:right w:type="dxa" w:w="90"/>
            </w:tcMar>
          </w:tcPr>
          <w:p>
            <w:pPr>
              <w:spacing w:after="20" w:before="20" w:line="240"/>
              <w:jc w:val="left"/>
            </w:pPr>
            <w:r>
              <w:rPr>
                <w:rFonts w:ascii="Times New Roman" w:cs="Times New Roman" w:eastAsia="Times New Roman" w:hAnsi="Times New Roman"/>
                <w:b w:val="false"/>
                <w:bCs w:val="false"/>
                <w:i/>
                <w:iCs/>
                <w:color w:val="000000"/>
                <w:sz w:val="17"/>
                <w:szCs w:val="17"/>
              </w:rPr>
              <w:t xml:space="preserve">Terms used with intermediaries</w:t>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Flexible terms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65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25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14 (100.0%)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21 (100.0%)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 (100.0%)</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 (100.0%)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Flexible terms and competitive bidding</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Flexible terms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22</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22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11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7 (100.0%)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Flexible terms and competitive bidding</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Flexible terms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5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Flexible terms and competitive bidding</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Flexible terms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4</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Flexible terms and competitive bidding</w:t>
            </w:r>
          </w:p>
        </w:tc>
        <w:tc>
          <w:tcPr>
            <w:tcW w:type="dxa" w:w="125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c>
          <w:tcPr>
            <w:tcW w:type="dxa" w:w="90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2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46"/>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bl>
    <w:p>
      <w:pPr>
        <w:spacing w:after="120" w:before="0" w:line="360"/>
        <w:jc w:val="both"/>
      </w:pPr>
      <w:r>
        <w:rPr>
          <w:rFonts w:ascii="Times New Roman" w:cs="Times New Roman" w:eastAsia="Times New Roman" w:hAnsi="Times New Roman"/>
          <w:color w:val="000000"/>
          <w:sz w:val="24"/>
          <w:szCs w:val="24"/>
        </w:rPr>
        <w:t xml:space="preserve">As shown in Table 34, fishers saw the intermediary mainly as a negotiator (41, 63.1%) rather than a marketer (24, 36.9%); middlemen described their own role as negotiation and marketing together (14, 63.6%); hoteliers saw intermediaries as marketers and exporters as both. Terms were flexible for every fisher, middleman and hotelier, while all four exporters combined flexible terms with competitive bidding. Neither item was associated with BMU (p = .925 for fishers, p = 1.000 for middlemen).</w:t>
      </w:r>
    </w:p>
    <w:p>
      <w:pPr>
        <w:spacing w:after="0" w:before="240" w:line="240"/>
      </w:pPr>
      <w:r>
        <w:rPr>
          <w:rFonts w:ascii="Times New Roman" w:cs="Times New Roman" w:eastAsia="Times New Roman" w:hAnsi="Times New Roman"/>
          <w:b/>
          <w:bCs/>
          <w:color w:val="000000"/>
          <w:sz w:val="24"/>
          <w:szCs w:val="24"/>
        </w:rPr>
        <w:t xml:space="preserve">Table 35</w:t>
      </w:r>
    </w:p>
    <w:p>
      <w:pPr>
        <w:spacing w:after="120" w:before="0" w:line="240"/>
      </w:pPr>
      <w:r>
        <w:rPr>
          <w:rFonts w:ascii="Times New Roman" w:cs="Times New Roman" w:eastAsia="Times New Roman" w:hAnsi="Times New Roman"/>
          <w:b w:val="false"/>
          <w:bCs w:val="false"/>
          <w:i/>
          <w:iCs/>
          <w:color w:val="000000"/>
          <w:sz w:val="24"/>
          <w:szCs w:val="24"/>
        </w:rPr>
        <w:t xml:space="preserve">Technology Adoption and Market Research by Actor and BMU</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1850"/>
        <w:gridCol w:w="1250"/>
        <w:gridCol w:w="900"/>
        <w:gridCol w:w="820"/>
        <w:gridCol w:w="820"/>
        <w:gridCol w:w="760"/>
        <w:gridCol w:w="900"/>
        <w:gridCol w:w="880"/>
        <w:gridCol w:w="846"/>
      </w:tblGrid>
      <w:tr>
        <w:trPr>
          <w:tblHeader/>
        </w:trPr>
        <w:tc>
          <w:tcPr>
            <w:tcW w:type="dxa" w:w="18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17"/>
                <w:szCs w:val="17"/>
              </w:rPr>
              <w:t xml:space="preserve">Characteristic / response</w:t>
            </w:r>
          </w:p>
        </w:tc>
        <w:tc>
          <w:tcPr>
            <w:tcW w:type="dxa" w:w="12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Actor</w:t>
            </w:r>
          </w:p>
        </w:tc>
        <w:tc>
          <w:tcPr>
            <w:tcW w:type="dxa" w:w="9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Overall</w:t>
            </w:r>
          </w:p>
        </w:tc>
        <w:tc>
          <w:tcPr>
            <w:tcW w:type="dxa" w:w="82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Shimoni</w:t>
            </w:r>
          </w:p>
        </w:tc>
        <w:tc>
          <w:tcPr>
            <w:tcW w:type="dxa" w:w="82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Majoreni</w:t>
            </w:r>
          </w:p>
        </w:tc>
        <w:tc>
          <w:tcPr>
            <w:tcW w:type="dxa" w:w="76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Vanga</w:t>
            </w:r>
          </w:p>
        </w:tc>
        <w:tc>
          <w:tcPr>
            <w:tcW w:type="dxa" w:w="9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Msambweni</w:t>
            </w:r>
          </w:p>
        </w:tc>
        <w:tc>
          <w:tcPr>
            <w:tcW w:type="dxa" w:w="88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Other sites</w:t>
            </w:r>
          </w:p>
        </w:tc>
        <w:tc>
          <w:tcPr>
            <w:tcW w:type="dxa" w:w="846"/>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BMU p-value</w:t>
            </w:r>
          </w:p>
        </w:tc>
      </w:tr>
      <w:tr>
        <w:tc>
          <w:tcPr>
            <w:tcW w:type="dxa" w:w="9026"/>
            <w:gridSpan w:val="9"/>
            <w:tcBorders>
              <w:top w:val="none" w:color="FFFFFF" w:sz="0"/>
              <w:left w:val="none" w:color="FFFFFF" w:sz="0"/>
              <w:bottom w:val="none" w:color="FFFFFF" w:sz="0"/>
              <w:right w:val="none" w:color="FFFFFF" w:sz="0"/>
            </w:tcBorders>
            <w:tcMar>
              <w:top w:type="dxa" w:w="90"/>
              <w:left w:type="dxa" w:w="90"/>
              <w:bottom w:type="dxa" w:w="30"/>
              <w:right w:type="dxa" w:w="90"/>
            </w:tcMar>
          </w:tcPr>
          <w:p>
            <w:pPr>
              <w:spacing w:after="20" w:before="20" w:line="240"/>
              <w:jc w:val="left"/>
            </w:pPr>
            <w:r>
              <w:rPr>
                <w:rFonts w:ascii="Times New Roman" w:cs="Times New Roman" w:eastAsia="Times New Roman" w:hAnsi="Times New Roman"/>
                <w:b w:val="false"/>
                <w:bCs w:val="false"/>
                <w:i/>
                <w:iCs/>
                <w:color w:val="000000"/>
                <w:sz w:val="17"/>
                <w:szCs w:val="17"/>
              </w:rPr>
              <w:t xml:space="preserve">Adopted technology or modern equipment</w:t>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No</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65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25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14 (100.0%)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21 (100.0%)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 (100.0%)</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 (100.0%)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No</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22</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22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11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7 (100.0%)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No</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5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No</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4</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9026"/>
            <w:gridSpan w:val="9"/>
            <w:tcBorders>
              <w:top w:val="none" w:color="FFFFFF" w:sz="0"/>
              <w:left w:val="none" w:color="FFFFFF" w:sz="0"/>
              <w:bottom w:val="none" w:color="FFFFFF" w:sz="0"/>
              <w:right w:val="none" w:color="FFFFFF" w:sz="0"/>
            </w:tcBorders>
            <w:tcMar>
              <w:top w:type="dxa" w:w="90"/>
              <w:left w:type="dxa" w:w="90"/>
              <w:bottom w:type="dxa" w:w="30"/>
              <w:right w:type="dxa" w:w="90"/>
            </w:tcMar>
          </w:tcPr>
          <w:p>
            <w:pPr>
              <w:spacing w:after="20" w:before="20" w:line="240"/>
              <w:jc w:val="left"/>
            </w:pPr>
            <w:r>
              <w:rPr>
                <w:rFonts w:ascii="Times New Roman" w:cs="Times New Roman" w:eastAsia="Times New Roman" w:hAnsi="Times New Roman"/>
                <w:b w:val="false"/>
                <w:bCs w:val="false"/>
                <w:i/>
                <w:iCs/>
                <w:color w:val="000000"/>
                <w:sz w:val="17"/>
                <w:szCs w:val="17"/>
              </w:rPr>
              <w:t xml:space="preserve">Conducts market research</w:t>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No</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65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25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14 (100.0%)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21 (100.0%)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 (100.0%)</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 (100.0%)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No</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22</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22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11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7 (100.0%)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No</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5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No</w:t>
            </w:r>
          </w:p>
        </w:tc>
        <w:tc>
          <w:tcPr>
            <w:tcW w:type="dxa" w:w="125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4</w:t>
            </w:r>
          </w:p>
        </w:tc>
        <w:tc>
          <w:tcPr>
            <w:tcW w:type="dxa" w:w="90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2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46"/>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bl>
    <w:p>
      <w:pPr>
        <w:spacing w:after="120" w:before="0" w:line="360"/>
        <w:jc w:val="both"/>
      </w:pPr>
      <w:r>
        <w:rPr>
          <w:rFonts w:ascii="Times New Roman" w:cs="Times New Roman" w:eastAsia="Times New Roman" w:hAnsi="Times New Roman"/>
          <w:color w:val="000000"/>
          <w:sz w:val="24"/>
          <w:szCs w:val="24"/>
        </w:rPr>
        <w:t xml:space="preserve">Table 35 carries no variation at all, and is the more striking for it. Not one respondent in any actor category, at any site, had adopted modern equipment or conducted market research, a figure of 0% on both items across all 96 respondents.</w:t>
      </w:r>
    </w:p>
    <w:p>
      <w:pPr>
        <w:spacing w:after="120" w:before="0" w:line="360"/>
        <w:jc w:val="both"/>
      </w:pPr>
      <w:r>
        <w:rPr>
          <w:rFonts w:ascii="Times New Roman" w:cs="Times New Roman" w:eastAsia="Times New Roman" w:hAnsi="Times New Roman"/>
          <w:color w:val="000000"/>
          <w:sz w:val="24"/>
          <w:szCs w:val="24"/>
        </w:rPr>
        <w:t xml:space="preserve">Tables 31 to 35 close the functional account. In a chain where the buyer sets the price and controls the grading rule, no actor invests in equipment and no actor gathers independent market information. Every respondent said they kept up to date by networking, so information travels along the same commercial relationships that set the terms of trade.</w:t>
      </w:r>
    </w:p>
    <w:p>
      <w:pPr>
        <w:pStyle w:val="Heading3"/>
        <w:spacing w:after="120" w:before="240" w:line="360"/>
      </w:pPr>
      <w:r>
        <w:rPr>
          <w:rFonts w:ascii="Times New Roman" w:cs="Times New Roman" w:eastAsia="Times New Roman" w:hAnsi="Times New Roman"/>
          <w:b/>
          <w:bCs/>
          <w:color w:val="000000"/>
          <w:sz w:val="24"/>
          <w:szCs w:val="24"/>
        </w:rPr>
        <w:t xml:space="preserve">4.4.8 Reported Mud Crab Prices</w:t>
      </w:r>
    </w:p>
    <w:p>
      <w:pPr>
        <w:spacing w:after="120" w:before="0" w:line="360"/>
        <w:jc w:val="both"/>
      </w:pPr>
      <w:r>
        <w:rPr>
          <w:rFonts w:ascii="Times New Roman" w:cs="Times New Roman" w:eastAsia="Times New Roman" w:hAnsi="Times New Roman"/>
          <w:color w:val="000000"/>
          <w:sz w:val="24"/>
          <w:szCs w:val="24"/>
        </w:rPr>
        <w:t xml:space="preserve">Prices were collected for three size grades in Kenya shillings per kilogram of live crab. Every figure is a gross price at the point of sale; nothing was recorded about transport, holding, mortality, ice, packaging or the cost of money tied up between buying and selling.</w:t>
      </w:r>
    </w:p>
    <w:p>
      <w:pPr>
        <w:spacing w:after="0" w:before="240" w:line="240"/>
      </w:pPr>
      <w:r>
        <w:rPr>
          <w:rFonts w:ascii="Times New Roman" w:cs="Times New Roman" w:eastAsia="Times New Roman" w:hAnsi="Times New Roman"/>
          <w:b/>
          <w:bCs/>
          <w:color w:val="000000"/>
          <w:sz w:val="24"/>
          <w:szCs w:val="24"/>
        </w:rPr>
        <w:t xml:space="preserve">Table 36</w:t>
      </w:r>
    </w:p>
    <w:p>
      <w:pPr>
        <w:spacing w:after="120" w:before="0" w:line="240"/>
      </w:pPr>
      <w:r>
        <w:rPr>
          <w:rFonts w:ascii="Times New Roman" w:cs="Times New Roman" w:eastAsia="Times New Roman" w:hAnsi="Times New Roman"/>
          <w:b w:val="false"/>
          <w:bCs w:val="false"/>
          <w:i/>
          <w:iCs/>
          <w:color w:val="000000"/>
          <w:sz w:val="24"/>
          <w:szCs w:val="24"/>
        </w:rPr>
        <w:t xml:space="preserve">Reported Mud Crab Prices by Actor Category and Size Grade</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1900"/>
        <w:gridCol w:w="950"/>
        <w:gridCol w:w="1200"/>
        <w:gridCol w:w="1100"/>
        <w:gridCol w:w="1100"/>
        <w:gridCol w:w="1550"/>
        <w:gridCol w:w="1226"/>
      </w:tblGrid>
      <w:tr>
        <w:trPr>
          <w:tblHeader/>
        </w:trPr>
        <w:tc>
          <w:tcPr>
            <w:tcW w:type="dxa" w:w="19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20"/>
                <w:szCs w:val="20"/>
              </w:rPr>
              <w:t xml:space="preserve">Actor category</w:t>
            </w:r>
          </w:p>
        </w:tc>
        <w:tc>
          <w:tcPr>
            <w:tcW w:type="dxa" w:w="9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Valid n</w:t>
            </w:r>
          </w:p>
        </w:tc>
        <w:tc>
          <w:tcPr>
            <w:tcW w:type="dxa" w:w="12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M</w:t>
            </w:r>
          </w:p>
        </w:tc>
        <w:tc>
          <w:tcPr>
            <w:tcW w:type="dxa" w:w="11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SD</w:t>
            </w:r>
          </w:p>
        </w:tc>
        <w:tc>
          <w:tcPr>
            <w:tcW w:type="dxa" w:w="11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Mdn</w:t>
            </w:r>
          </w:p>
        </w:tc>
        <w:tc>
          <w:tcPr>
            <w:tcW w:type="dxa" w:w="15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IQR (Q1–Q3)</w:t>
            </w:r>
          </w:p>
        </w:tc>
        <w:tc>
          <w:tcPr>
            <w:tcW w:type="dxa" w:w="1226"/>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Range</w:t>
            </w:r>
          </w:p>
        </w:tc>
      </w:tr>
      <w:tr>
        <w:tc>
          <w:tcPr>
            <w:tcW w:type="dxa" w:w="9026"/>
            <w:gridSpan w:val="7"/>
            <w:tcBorders>
              <w:top w:val="none" w:color="FFFFFF" w:sz="0"/>
              <w:left w:val="none" w:color="FFFFFF" w:sz="0"/>
              <w:bottom w:val="none" w:color="FFFFFF" w:sz="0"/>
              <w:right w:val="none" w:color="FFFFFF" w:sz="0"/>
            </w:tcBorders>
            <w:tcMar>
              <w:top w:type="dxa" w:w="90"/>
              <w:left w:type="dxa" w:w="90"/>
              <w:bottom w:type="dxa" w:w="30"/>
              <w:right w:type="dxa" w:w="90"/>
            </w:tcMar>
          </w:tcPr>
          <w:p>
            <w:pPr>
              <w:spacing w:after="20" w:before="20" w:line="240"/>
              <w:jc w:val="left"/>
            </w:pPr>
            <w:r>
              <w:rPr>
                <w:rFonts w:ascii="Times New Roman" w:cs="Times New Roman" w:eastAsia="Times New Roman" w:hAnsi="Times New Roman"/>
                <w:b w:val="false"/>
                <w:bCs w:val="false"/>
                <w:i/>
                <w:iCs/>
                <w:color w:val="000000"/>
                <w:sz w:val="20"/>
                <w:szCs w:val="20"/>
              </w:rPr>
              <w:t xml:space="preserve">Large (Grade A)</w:t>
            </w:r>
          </w:p>
        </w:tc>
      </w:tr>
      <w:tr>
        <w:tc>
          <w:tcPr>
            <w:tcW w:type="dxa" w:w="1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Fisher</w:t>
            </w:r>
          </w:p>
        </w:tc>
        <w:tc>
          <w:tcPr>
            <w:tcW w:type="dxa" w:w="9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65</w:t>
            </w:r>
          </w:p>
        </w:tc>
        <w:tc>
          <w:tcPr>
            <w:tcW w:type="dxa" w:w="12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604.6</w:t>
            </w:r>
          </w:p>
        </w:tc>
        <w:tc>
          <w:tcPr>
            <w:tcW w:type="dxa" w:w="11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192.2</w:t>
            </w:r>
          </w:p>
        </w:tc>
        <w:tc>
          <w:tcPr>
            <w:tcW w:type="dxa" w:w="11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650.0</w:t>
            </w:r>
          </w:p>
        </w:tc>
        <w:tc>
          <w:tcPr>
            <w:tcW w:type="dxa" w:w="15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500.0–800.0</w:t>
            </w:r>
          </w:p>
        </w:tc>
        <w:tc>
          <w:tcPr>
            <w:tcW w:type="dxa" w:w="12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300.0–800.0</w:t>
            </w:r>
          </w:p>
        </w:tc>
      </w:tr>
      <w:tr>
        <w:tc>
          <w:tcPr>
            <w:tcW w:type="dxa" w:w="1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Middleman</w:t>
            </w:r>
          </w:p>
        </w:tc>
        <w:tc>
          <w:tcPr>
            <w:tcW w:type="dxa" w:w="9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22</w:t>
            </w:r>
          </w:p>
        </w:tc>
        <w:tc>
          <w:tcPr>
            <w:tcW w:type="dxa" w:w="12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945.5</w:t>
            </w:r>
          </w:p>
        </w:tc>
        <w:tc>
          <w:tcPr>
            <w:tcW w:type="dxa" w:w="11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140.5</w:t>
            </w:r>
          </w:p>
        </w:tc>
        <w:tc>
          <w:tcPr>
            <w:tcW w:type="dxa" w:w="11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1,000.0</w:t>
            </w:r>
          </w:p>
        </w:tc>
        <w:tc>
          <w:tcPr>
            <w:tcW w:type="dxa" w:w="15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800.0–1,000.0</w:t>
            </w:r>
          </w:p>
        </w:tc>
        <w:tc>
          <w:tcPr>
            <w:tcW w:type="dxa" w:w="12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800.0–1,200.0</w:t>
            </w:r>
          </w:p>
        </w:tc>
      </w:tr>
      <w:tr>
        <w:tc>
          <w:tcPr>
            <w:tcW w:type="dxa" w:w="1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Hotelier</w:t>
            </w:r>
          </w:p>
        </w:tc>
        <w:tc>
          <w:tcPr>
            <w:tcW w:type="dxa" w:w="9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5</w:t>
            </w:r>
          </w:p>
        </w:tc>
        <w:tc>
          <w:tcPr>
            <w:tcW w:type="dxa" w:w="12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2,200.0</w:t>
            </w:r>
          </w:p>
        </w:tc>
        <w:tc>
          <w:tcPr>
            <w:tcW w:type="dxa" w:w="11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570.1</w:t>
            </w:r>
          </w:p>
        </w:tc>
        <w:tc>
          <w:tcPr>
            <w:tcW w:type="dxa" w:w="11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2,000.0</w:t>
            </w:r>
          </w:p>
        </w:tc>
        <w:tc>
          <w:tcPr>
            <w:tcW w:type="dxa" w:w="15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2,000.0–2,500.0</w:t>
            </w:r>
          </w:p>
        </w:tc>
        <w:tc>
          <w:tcPr>
            <w:tcW w:type="dxa" w:w="12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1,500.0–3,000.0</w:t>
            </w:r>
          </w:p>
        </w:tc>
      </w:tr>
      <w:tr>
        <w:tc>
          <w:tcPr>
            <w:tcW w:type="dxa" w:w="1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Exporter</w:t>
            </w:r>
          </w:p>
        </w:tc>
        <w:tc>
          <w:tcPr>
            <w:tcW w:type="dxa" w:w="9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4</w:t>
            </w:r>
          </w:p>
        </w:tc>
        <w:tc>
          <w:tcPr>
            <w:tcW w:type="dxa" w:w="12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1,700.0</w:t>
            </w:r>
          </w:p>
        </w:tc>
        <w:tc>
          <w:tcPr>
            <w:tcW w:type="dxa" w:w="11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115.5</w:t>
            </w:r>
          </w:p>
        </w:tc>
        <w:tc>
          <w:tcPr>
            <w:tcW w:type="dxa" w:w="11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1,700.0</w:t>
            </w:r>
          </w:p>
        </w:tc>
        <w:tc>
          <w:tcPr>
            <w:tcW w:type="dxa" w:w="15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1,600.0–1,800.0</w:t>
            </w:r>
          </w:p>
        </w:tc>
        <w:tc>
          <w:tcPr>
            <w:tcW w:type="dxa" w:w="12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1,600.0–1,800.0</w:t>
            </w:r>
          </w:p>
        </w:tc>
      </w:tr>
      <w:tr>
        <w:tc>
          <w:tcPr>
            <w:tcW w:type="dxa" w:w="9026"/>
            <w:gridSpan w:val="7"/>
            <w:tcBorders>
              <w:top w:val="none" w:color="FFFFFF" w:sz="0"/>
              <w:left w:val="none" w:color="FFFFFF" w:sz="0"/>
              <w:bottom w:val="none" w:color="FFFFFF" w:sz="0"/>
              <w:right w:val="none" w:color="FFFFFF" w:sz="0"/>
            </w:tcBorders>
            <w:tcMar>
              <w:top w:type="dxa" w:w="90"/>
              <w:left w:type="dxa" w:w="90"/>
              <w:bottom w:type="dxa" w:w="30"/>
              <w:right w:type="dxa" w:w="90"/>
            </w:tcMar>
          </w:tcPr>
          <w:p>
            <w:pPr>
              <w:spacing w:after="20" w:before="20" w:line="240"/>
              <w:jc w:val="left"/>
            </w:pPr>
            <w:r>
              <w:rPr>
                <w:rFonts w:ascii="Times New Roman" w:cs="Times New Roman" w:eastAsia="Times New Roman" w:hAnsi="Times New Roman"/>
                <w:b w:val="false"/>
                <w:bCs w:val="false"/>
                <w:i/>
                <w:iCs/>
                <w:color w:val="000000"/>
                <w:sz w:val="20"/>
                <w:szCs w:val="20"/>
              </w:rPr>
              <w:t xml:space="preserve">Medium (Grade B)</w:t>
            </w:r>
          </w:p>
        </w:tc>
      </w:tr>
      <w:tr>
        <w:tc>
          <w:tcPr>
            <w:tcW w:type="dxa" w:w="1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Fisher</w:t>
            </w:r>
          </w:p>
        </w:tc>
        <w:tc>
          <w:tcPr>
            <w:tcW w:type="dxa" w:w="9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65</w:t>
            </w:r>
          </w:p>
        </w:tc>
        <w:tc>
          <w:tcPr>
            <w:tcW w:type="dxa" w:w="12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514.6</w:t>
            </w:r>
          </w:p>
        </w:tc>
        <w:tc>
          <w:tcPr>
            <w:tcW w:type="dxa" w:w="11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163.4</w:t>
            </w:r>
          </w:p>
        </w:tc>
        <w:tc>
          <w:tcPr>
            <w:tcW w:type="dxa" w:w="11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500.0</w:t>
            </w:r>
          </w:p>
        </w:tc>
        <w:tc>
          <w:tcPr>
            <w:tcW w:type="dxa" w:w="15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400.0–600.0</w:t>
            </w:r>
          </w:p>
        </w:tc>
        <w:tc>
          <w:tcPr>
            <w:tcW w:type="dxa" w:w="12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300.0–800.0</w:t>
            </w:r>
          </w:p>
        </w:tc>
      </w:tr>
      <w:tr>
        <w:tc>
          <w:tcPr>
            <w:tcW w:type="dxa" w:w="1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Middleman</w:t>
            </w:r>
          </w:p>
        </w:tc>
        <w:tc>
          <w:tcPr>
            <w:tcW w:type="dxa" w:w="9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22</w:t>
            </w:r>
          </w:p>
        </w:tc>
        <w:tc>
          <w:tcPr>
            <w:tcW w:type="dxa" w:w="12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718.2</w:t>
            </w:r>
          </w:p>
        </w:tc>
        <w:tc>
          <w:tcPr>
            <w:tcW w:type="dxa" w:w="11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100.6</w:t>
            </w:r>
          </w:p>
        </w:tc>
        <w:tc>
          <w:tcPr>
            <w:tcW w:type="dxa" w:w="11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800.0</w:t>
            </w:r>
          </w:p>
        </w:tc>
        <w:tc>
          <w:tcPr>
            <w:tcW w:type="dxa" w:w="15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600.0–800.0</w:t>
            </w:r>
          </w:p>
        </w:tc>
        <w:tc>
          <w:tcPr>
            <w:tcW w:type="dxa" w:w="12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600.0–800.0</w:t>
            </w:r>
          </w:p>
        </w:tc>
      </w:tr>
      <w:tr>
        <w:tc>
          <w:tcPr>
            <w:tcW w:type="dxa" w:w="1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Hotelier</w:t>
            </w:r>
          </w:p>
        </w:tc>
        <w:tc>
          <w:tcPr>
            <w:tcW w:type="dxa" w:w="9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5</w:t>
            </w:r>
          </w:p>
        </w:tc>
        <w:tc>
          <w:tcPr>
            <w:tcW w:type="dxa" w:w="12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380.0</w:t>
            </w:r>
          </w:p>
        </w:tc>
        <w:tc>
          <w:tcPr>
            <w:tcW w:type="dxa" w:w="11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109.5</w:t>
            </w:r>
          </w:p>
        </w:tc>
        <w:tc>
          <w:tcPr>
            <w:tcW w:type="dxa" w:w="11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300.0</w:t>
            </w:r>
          </w:p>
        </w:tc>
        <w:tc>
          <w:tcPr>
            <w:tcW w:type="dxa" w:w="15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300.0–500.0</w:t>
            </w:r>
          </w:p>
        </w:tc>
        <w:tc>
          <w:tcPr>
            <w:tcW w:type="dxa" w:w="12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300.0–500.0</w:t>
            </w:r>
          </w:p>
        </w:tc>
      </w:tr>
      <w:tr>
        <w:tc>
          <w:tcPr>
            <w:tcW w:type="dxa" w:w="1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Exporter</w:t>
            </w:r>
          </w:p>
        </w:tc>
        <w:tc>
          <w:tcPr>
            <w:tcW w:type="dxa" w:w="9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4</w:t>
            </w:r>
          </w:p>
        </w:tc>
        <w:tc>
          <w:tcPr>
            <w:tcW w:type="dxa" w:w="12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1,300.0</w:t>
            </w:r>
          </w:p>
        </w:tc>
        <w:tc>
          <w:tcPr>
            <w:tcW w:type="dxa" w:w="11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115.5</w:t>
            </w:r>
          </w:p>
        </w:tc>
        <w:tc>
          <w:tcPr>
            <w:tcW w:type="dxa" w:w="11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1,300.0</w:t>
            </w:r>
          </w:p>
        </w:tc>
        <w:tc>
          <w:tcPr>
            <w:tcW w:type="dxa" w:w="15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1,200.0–1,400.0</w:t>
            </w:r>
          </w:p>
        </w:tc>
        <w:tc>
          <w:tcPr>
            <w:tcW w:type="dxa" w:w="12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1,200.0–1,400.0</w:t>
            </w:r>
          </w:p>
        </w:tc>
      </w:tr>
      <w:tr>
        <w:tc>
          <w:tcPr>
            <w:tcW w:type="dxa" w:w="9026"/>
            <w:gridSpan w:val="7"/>
            <w:tcBorders>
              <w:top w:val="none" w:color="FFFFFF" w:sz="0"/>
              <w:left w:val="none" w:color="FFFFFF" w:sz="0"/>
              <w:bottom w:val="none" w:color="FFFFFF" w:sz="0"/>
              <w:right w:val="none" w:color="FFFFFF" w:sz="0"/>
            </w:tcBorders>
            <w:tcMar>
              <w:top w:type="dxa" w:w="90"/>
              <w:left w:type="dxa" w:w="90"/>
              <w:bottom w:type="dxa" w:w="30"/>
              <w:right w:type="dxa" w:w="90"/>
            </w:tcMar>
          </w:tcPr>
          <w:p>
            <w:pPr>
              <w:spacing w:after="20" w:before="20" w:line="240"/>
              <w:jc w:val="left"/>
            </w:pPr>
            <w:r>
              <w:rPr>
                <w:rFonts w:ascii="Times New Roman" w:cs="Times New Roman" w:eastAsia="Times New Roman" w:hAnsi="Times New Roman"/>
                <w:b w:val="false"/>
                <w:bCs w:val="false"/>
                <w:i/>
                <w:iCs/>
                <w:color w:val="000000"/>
                <w:sz w:val="20"/>
                <w:szCs w:val="20"/>
              </w:rPr>
              <w:t xml:space="preserve">Small (Grade C)</w:t>
            </w:r>
          </w:p>
        </w:tc>
      </w:tr>
      <w:tr>
        <w:tc>
          <w:tcPr>
            <w:tcW w:type="dxa" w:w="1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Fisher</w:t>
            </w:r>
          </w:p>
        </w:tc>
        <w:tc>
          <w:tcPr>
            <w:tcW w:type="dxa" w:w="9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65</w:t>
            </w:r>
          </w:p>
        </w:tc>
        <w:tc>
          <w:tcPr>
            <w:tcW w:type="dxa" w:w="12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309.2</w:t>
            </w:r>
          </w:p>
        </w:tc>
        <w:tc>
          <w:tcPr>
            <w:tcW w:type="dxa" w:w="11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50.7</w:t>
            </w:r>
          </w:p>
        </w:tc>
        <w:tc>
          <w:tcPr>
            <w:tcW w:type="dxa" w:w="11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300.0</w:t>
            </w:r>
          </w:p>
        </w:tc>
        <w:tc>
          <w:tcPr>
            <w:tcW w:type="dxa" w:w="15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300.0–300.0</w:t>
            </w:r>
          </w:p>
        </w:tc>
        <w:tc>
          <w:tcPr>
            <w:tcW w:type="dxa" w:w="12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250.0–500.0</w:t>
            </w:r>
          </w:p>
        </w:tc>
      </w:tr>
      <w:tr>
        <w:tc>
          <w:tcPr>
            <w:tcW w:type="dxa" w:w="1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Middleman</w:t>
            </w:r>
          </w:p>
        </w:tc>
        <w:tc>
          <w:tcPr>
            <w:tcW w:type="dxa" w:w="9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12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11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11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15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12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r>
      <w:tr>
        <w:tc>
          <w:tcPr>
            <w:tcW w:type="dxa" w:w="1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Hotelier</w:t>
            </w:r>
          </w:p>
        </w:tc>
        <w:tc>
          <w:tcPr>
            <w:tcW w:type="dxa" w:w="9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12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11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11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15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12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r>
      <w:tr>
        <w:tc>
          <w:tcPr>
            <w:tcW w:type="dxa" w:w="190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Exporter</w:t>
            </w:r>
          </w:p>
        </w:tc>
        <w:tc>
          <w:tcPr>
            <w:tcW w:type="dxa" w:w="95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120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110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110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155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1226"/>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r>
    </w:tbl>
    <w:p>
      <w:pPr>
        <w:spacing w:after="120" w:before="0" w:line="360"/>
        <w:jc w:val="both"/>
      </w:pPr>
      <w:r>
        <w:rPr>
          <w:rFonts w:ascii="Times New Roman" w:cs="Times New Roman" w:eastAsia="Times New Roman" w:hAnsi="Times New Roman"/>
          <w:color w:val="000000"/>
          <w:sz w:val="24"/>
          <w:szCs w:val="24"/>
        </w:rPr>
        <w:t xml:space="preserve">As shown in Table 36, the large-crab price climbed at every step of the chain. Fishers averaged KSh 604.6 per kilogram, middlemen KSh 945.5, exporters KSh 1,700.0 and hoteliers KSh 2,200.0. Medium crabs ran KSh 514.6 for fishers and KSh 718.2 for middlemen, with exporters at KSh 1,300.0. Only fishers priced small crabs, averaging KSh 309.2; no middleman, hotelier or exporter reported a small-grade price at all, which points to the smallest crabs being absorbed locally rather than moving up the chain.</w:t>
      </w:r>
    </w:p>
    <w:p>
      <w:pPr>
        <w:spacing w:after="0" w:before="240" w:line="240"/>
      </w:pPr>
      <w:r>
        <w:rPr>
          <w:rFonts w:ascii="Times New Roman" w:cs="Times New Roman" w:eastAsia="Times New Roman" w:hAnsi="Times New Roman"/>
          <w:b/>
          <w:bCs/>
          <w:color w:val="000000"/>
          <w:sz w:val="24"/>
          <w:szCs w:val="24"/>
        </w:rPr>
        <w:t xml:space="preserve">Table 37</w:t>
      </w:r>
    </w:p>
    <w:p>
      <w:pPr>
        <w:spacing w:after="120" w:before="0" w:line="240"/>
      </w:pPr>
      <w:r>
        <w:rPr>
          <w:rFonts w:ascii="Times New Roman" w:cs="Times New Roman" w:eastAsia="Times New Roman" w:hAnsi="Times New Roman"/>
          <w:b w:val="false"/>
          <w:bCs w:val="false"/>
          <w:i/>
          <w:iCs/>
          <w:color w:val="000000"/>
          <w:sz w:val="24"/>
          <w:szCs w:val="24"/>
        </w:rPr>
        <w:t xml:space="preserve">Kruskal–Wallis Comparisons of Reported Mud Crab Prices</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3900"/>
        <w:gridCol w:w="1300"/>
        <w:gridCol w:w="900"/>
        <w:gridCol w:w="1000"/>
        <w:gridCol w:w="1926"/>
      </w:tblGrid>
      <w:tr>
        <w:trPr>
          <w:tblHeader/>
        </w:trPr>
        <w:tc>
          <w:tcPr>
            <w:tcW w:type="dxa" w:w="39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20"/>
                <w:szCs w:val="20"/>
              </w:rPr>
              <w:t xml:space="preserve">Comparison</w:t>
            </w:r>
          </w:p>
        </w:tc>
        <w:tc>
          <w:tcPr>
            <w:tcW w:type="dxa" w:w="13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H</w:t>
            </w:r>
          </w:p>
        </w:tc>
        <w:tc>
          <w:tcPr>
            <w:tcW w:type="dxa" w:w="9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df</w:t>
            </w:r>
          </w:p>
        </w:tc>
        <w:tc>
          <w:tcPr>
            <w:tcW w:type="dxa" w:w="10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N</w:t>
            </w:r>
          </w:p>
        </w:tc>
        <w:tc>
          <w:tcPr>
            <w:tcW w:type="dxa" w:w="1926"/>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p</w:t>
            </w:r>
          </w:p>
        </w:tc>
      </w:tr>
      <w:tr>
        <w:tc>
          <w:tcPr>
            <w:tcW w:type="dxa" w:w="9026"/>
            <w:gridSpan w:val="5"/>
            <w:tcBorders>
              <w:top w:val="none" w:color="FFFFFF" w:sz="0"/>
              <w:left w:val="none" w:color="FFFFFF" w:sz="0"/>
              <w:bottom w:val="none" w:color="FFFFFF" w:sz="0"/>
              <w:right w:val="none" w:color="FFFFFF" w:sz="0"/>
            </w:tcBorders>
            <w:tcMar>
              <w:top w:type="dxa" w:w="90"/>
              <w:left w:type="dxa" w:w="90"/>
              <w:bottom w:type="dxa" w:w="30"/>
              <w:right w:type="dxa" w:w="90"/>
            </w:tcMar>
          </w:tcPr>
          <w:p>
            <w:pPr>
              <w:spacing w:after="20" w:before="20" w:line="240"/>
              <w:jc w:val="left"/>
            </w:pPr>
            <w:r>
              <w:rPr>
                <w:rFonts w:ascii="Times New Roman" w:cs="Times New Roman" w:eastAsia="Times New Roman" w:hAnsi="Times New Roman"/>
                <w:b w:val="false"/>
                <w:bCs w:val="false"/>
                <w:i/>
                <w:iCs/>
                <w:color w:val="000000"/>
                <w:sz w:val="20"/>
                <w:szCs w:val="20"/>
              </w:rPr>
              <w:t xml:space="preserve">Price compared across the four actor categories</w:t>
            </w:r>
          </w:p>
        </w:tc>
      </w:tr>
      <w:tr>
        <w:tc>
          <w:tcPr>
            <w:tcW w:type="dxa" w:w="3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Large (Grade A)</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55.84</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3</w:t>
            </w:r>
          </w:p>
        </w:tc>
        <w:tc>
          <w:tcPr>
            <w:tcW w:type="dxa" w:w="10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96</w:t>
            </w:r>
          </w:p>
        </w:tc>
        <w:tc>
          <w:tcPr>
            <w:tcW w:type="dxa" w:w="19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&lt; .001</w:t>
            </w:r>
          </w:p>
        </w:tc>
      </w:tr>
      <w:tr>
        <w:tc>
          <w:tcPr>
            <w:tcW w:type="dxa" w:w="3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Medium (Grade B)</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38.00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3</w:t>
            </w:r>
          </w:p>
        </w:tc>
        <w:tc>
          <w:tcPr>
            <w:tcW w:type="dxa" w:w="10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96</w:t>
            </w:r>
          </w:p>
        </w:tc>
        <w:tc>
          <w:tcPr>
            <w:tcW w:type="dxa" w:w="19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&lt; .001</w:t>
            </w:r>
          </w:p>
        </w:tc>
      </w:tr>
      <w:tr>
        <w:tc>
          <w:tcPr>
            <w:tcW w:type="dxa" w:w="3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Small (Grade C)</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10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19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r>
      <w:tr>
        <w:tc>
          <w:tcPr>
            <w:tcW w:type="dxa" w:w="9026"/>
            <w:gridSpan w:val="5"/>
            <w:tcBorders>
              <w:top w:val="none" w:color="FFFFFF" w:sz="0"/>
              <w:left w:val="none" w:color="FFFFFF" w:sz="0"/>
              <w:bottom w:val="none" w:color="FFFFFF" w:sz="0"/>
              <w:right w:val="none" w:color="FFFFFF" w:sz="0"/>
            </w:tcBorders>
            <w:tcMar>
              <w:top w:type="dxa" w:w="90"/>
              <w:left w:type="dxa" w:w="90"/>
              <w:bottom w:type="dxa" w:w="30"/>
              <w:right w:type="dxa" w:w="90"/>
            </w:tcMar>
          </w:tcPr>
          <w:p>
            <w:pPr>
              <w:spacing w:after="20" w:before="20" w:line="240"/>
              <w:jc w:val="left"/>
            </w:pPr>
            <w:r>
              <w:rPr>
                <w:rFonts w:ascii="Times New Roman" w:cs="Times New Roman" w:eastAsia="Times New Roman" w:hAnsi="Times New Roman"/>
                <w:b w:val="false"/>
                <w:bCs w:val="false"/>
                <w:i/>
                <w:iCs/>
                <w:color w:val="000000"/>
                <w:sz w:val="20"/>
                <w:szCs w:val="20"/>
              </w:rPr>
              <w:t xml:space="preserve">Fisher price compared across the four BMUs</w:t>
            </w:r>
          </w:p>
        </w:tc>
      </w:tr>
      <w:tr>
        <w:tc>
          <w:tcPr>
            <w:tcW w:type="dxa" w:w="3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Large (Grade A)</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20.32</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3</w:t>
            </w:r>
          </w:p>
        </w:tc>
        <w:tc>
          <w:tcPr>
            <w:tcW w:type="dxa" w:w="10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63</w:t>
            </w:r>
          </w:p>
        </w:tc>
        <w:tc>
          <w:tcPr>
            <w:tcW w:type="dxa" w:w="19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&lt; .001</w:t>
            </w:r>
          </w:p>
        </w:tc>
      </w:tr>
      <w:tr>
        <w:tc>
          <w:tcPr>
            <w:tcW w:type="dxa" w:w="3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Medium (Grade B)</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20.07</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3</w:t>
            </w:r>
          </w:p>
        </w:tc>
        <w:tc>
          <w:tcPr>
            <w:tcW w:type="dxa" w:w="10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63</w:t>
            </w:r>
          </w:p>
        </w:tc>
        <w:tc>
          <w:tcPr>
            <w:tcW w:type="dxa" w:w="19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&lt; .001</w:t>
            </w:r>
          </w:p>
        </w:tc>
      </w:tr>
      <w:tr>
        <w:tc>
          <w:tcPr>
            <w:tcW w:type="dxa" w:w="3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Small (Grade C)</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5.85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3</w:t>
            </w:r>
          </w:p>
        </w:tc>
        <w:tc>
          <w:tcPr>
            <w:tcW w:type="dxa" w:w="10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63</w:t>
            </w:r>
          </w:p>
        </w:tc>
        <w:tc>
          <w:tcPr>
            <w:tcW w:type="dxa" w:w="19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.119</w:t>
            </w:r>
          </w:p>
        </w:tc>
      </w:tr>
      <w:tr>
        <w:tc>
          <w:tcPr>
            <w:tcW w:type="dxa" w:w="9026"/>
            <w:gridSpan w:val="5"/>
            <w:tcBorders>
              <w:top w:val="none" w:color="FFFFFF" w:sz="0"/>
              <w:left w:val="none" w:color="FFFFFF" w:sz="0"/>
              <w:bottom w:val="none" w:color="FFFFFF" w:sz="0"/>
              <w:right w:val="none" w:color="FFFFFF" w:sz="0"/>
            </w:tcBorders>
            <w:tcMar>
              <w:top w:type="dxa" w:w="90"/>
              <w:left w:type="dxa" w:w="90"/>
              <w:bottom w:type="dxa" w:w="30"/>
              <w:right w:type="dxa" w:w="90"/>
            </w:tcMar>
          </w:tcPr>
          <w:p>
            <w:pPr>
              <w:spacing w:after="20" w:before="20" w:line="240"/>
              <w:jc w:val="left"/>
            </w:pPr>
            <w:r>
              <w:rPr>
                <w:rFonts w:ascii="Times New Roman" w:cs="Times New Roman" w:eastAsia="Times New Roman" w:hAnsi="Times New Roman"/>
                <w:b w:val="false"/>
                <w:bCs w:val="false"/>
                <w:i/>
                <w:iCs/>
                <w:color w:val="000000"/>
                <w:sz w:val="20"/>
                <w:szCs w:val="20"/>
              </w:rPr>
              <w:t xml:space="preserve">Middleman price compared across the three BMUs with traders</w:t>
            </w:r>
          </w:p>
        </w:tc>
      </w:tr>
      <w:tr>
        <w:tc>
          <w:tcPr>
            <w:tcW w:type="dxa" w:w="3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Large (Grade A)</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5.33</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2</w:t>
            </w:r>
          </w:p>
        </w:tc>
        <w:tc>
          <w:tcPr>
            <w:tcW w:type="dxa" w:w="10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22</w:t>
            </w:r>
          </w:p>
        </w:tc>
        <w:tc>
          <w:tcPr>
            <w:tcW w:type="dxa" w:w="19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.070</w:t>
            </w:r>
          </w:p>
        </w:tc>
      </w:tr>
      <w:tr>
        <w:tc>
          <w:tcPr>
            <w:tcW w:type="dxa" w:w="3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Medium (Grade B)</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3.78</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2</w:t>
            </w:r>
          </w:p>
        </w:tc>
        <w:tc>
          <w:tcPr>
            <w:tcW w:type="dxa" w:w="10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22</w:t>
            </w:r>
          </w:p>
        </w:tc>
        <w:tc>
          <w:tcPr>
            <w:tcW w:type="dxa" w:w="19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.151</w:t>
            </w:r>
          </w:p>
        </w:tc>
      </w:tr>
      <w:tr>
        <w:tc>
          <w:tcPr>
            <w:tcW w:type="dxa" w:w="3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Small (Grade C)</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10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19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r>
      <w:tr>
        <w:tc>
          <w:tcPr>
            <w:tcW w:type="dxa" w:w="9026"/>
            <w:gridSpan w:val="5"/>
            <w:tcBorders>
              <w:top w:val="none" w:color="FFFFFF" w:sz="0"/>
              <w:left w:val="none" w:color="FFFFFF" w:sz="0"/>
              <w:bottom w:val="none" w:color="FFFFFF" w:sz="0"/>
              <w:right w:val="none" w:color="FFFFFF" w:sz="0"/>
            </w:tcBorders>
            <w:tcMar>
              <w:top w:type="dxa" w:w="90"/>
              <w:left w:type="dxa" w:w="90"/>
              <w:bottom w:type="dxa" w:w="30"/>
              <w:right w:type="dxa" w:w="90"/>
            </w:tcMar>
          </w:tcPr>
          <w:p>
            <w:pPr>
              <w:spacing w:after="20" w:before="20" w:line="240"/>
              <w:jc w:val="left"/>
            </w:pPr>
            <w:r>
              <w:rPr>
                <w:rFonts w:ascii="Times New Roman" w:cs="Times New Roman" w:eastAsia="Times New Roman" w:hAnsi="Times New Roman"/>
                <w:b w:val="false"/>
                <w:bCs w:val="false"/>
                <w:i/>
                <w:iCs/>
                <w:color w:val="000000"/>
                <w:sz w:val="20"/>
                <w:szCs w:val="20"/>
              </w:rPr>
              <w:t xml:space="preserve">Hoteliers and exporters were not compared across BMUs because four of the five hoteliers and all four exporters operated outside the four BMU frames</w:t>
            </w:r>
          </w:p>
        </w:tc>
      </w:tr>
    </w:tbl>
    <w:p>
      <w:pPr>
        <w:spacing w:after="120" w:before="0" w:line="360"/>
        <w:jc w:val="both"/>
      </w:pPr>
      <w:r>
        <w:rPr>
          <w:rFonts w:ascii="Times New Roman" w:cs="Times New Roman" w:eastAsia="Times New Roman" w:hAnsi="Times New Roman"/>
          <w:color w:val="000000"/>
          <w:sz w:val="24"/>
          <w:szCs w:val="24"/>
        </w:rPr>
        <w:t xml:space="preserve">Table 37 tests those differences. The comparison across the four actor categories was significant for large crabs, H(3) = 55.84, p &lt; .001, and for medium crabs, H(3) = 38.00, p &lt; .001. Actor category therefore does influence the price received, at both grades for which more than one category reported a price. The small grade could not be compared across actors because only fishers reported it.</w:t>
      </w:r>
    </w:p>
    <w:p>
      <w:pPr>
        <w:spacing w:after="120" w:before="0" w:line="360"/>
        <w:jc w:val="both"/>
      </w:pPr>
      <w:r>
        <w:rPr>
          <w:rFonts w:ascii="Times New Roman" w:cs="Times New Roman" w:eastAsia="Times New Roman" w:hAnsi="Times New Roman"/>
          <w:color w:val="000000"/>
          <w:sz w:val="24"/>
          <w:szCs w:val="24"/>
        </w:rPr>
        <w:t xml:space="preserve">One value breaks the pattern. Hoteliers reported a mean of KSh 380.0 per kilogram for medium crabs, which is below the fisher price for the same grade and far below their own large-grade mean of KSh 2,200.0. All five records were retained exactly as entered. The figure may be correct if those entries refer to a different product form, unit or transaction, but it may equally be a field-entry problem. It is excluded from the chain calculation that follows and should be checked against the questionnaires before it is used to support any argument about value addition.</w:t>
      </w:r>
    </w:p>
    <w:p>
      <w:pPr>
        <w:pStyle w:val="Heading3"/>
        <w:spacing w:after="120" w:before="240" w:line="360"/>
      </w:pPr>
      <w:r>
        <w:rPr>
          <w:rFonts w:ascii="Times New Roman" w:cs="Times New Roman" w:eastAsia="Times New Roman" w:hAnsi="Times New Roman"/>
          <w:b/>
          <w:bCs/>
          <w:color w:val="000000"/>
          <w:sz w:val="24"/>
          <w:szCs w:val="24"/>
        </w:rPr>
        <w:t xml:space="preserve">4.4.9 Prices by Study Site</w:t>
      </w:r>
    </w:p>
    <w:p>
      <w:pPr>
        <w:spacing w:after="120" w:before="0" w:line="360"/>
        <w:jc w:val="both"/>
      </w:pPr>
      <w:r>
        <w:rPr>
          <w:rFonts w:ascii="Times New Roman" w:cs="Times New Roman" w:eastAsia="Times New Roman" w:hAnsi="Times New Roman"/>
          <w:color w:val="000000"/>
          <w:sz w:val="24"/>
          <w:szCs w:val="24"/>
        </w:rPr>
        <w:t xml:space="preserve">Holding the actor role constant and comparing sites answers a different question: whether a fisher at one landing site receives a different price from a fisher at another.</w:t>
      </w:r>
    </w:p>
    <w:p>
      <w:pPr>
        <w:spacing w:after="0" w:before="240" w:line="240"/>
      </w:pPr>
      <w:r>
        <w:rPr>
          <w:rFonts w:ascii="Times New Roman" w:cs="Times New Roman" w:eastAsia="Times New Roman" w:hAnsi="Times New Roman"/>
          <w:b/>
          <w:bCs/>
          <w:color w:val="000000"/>
          <w:sz w:val="24"/>
          <w:szCs w:val="24"/>
        </w:rPr>
        <w:t xml:space="preserve">Table 38</w:t>
      </w:r>
    </w:p>
    <w:p>
      <w:pPr>
        <w:spacing w:after="120" w:before="0" w:line="240"/>
      </w:pPr>
      <w:r>
        <w:rPr>
          <w:rFonts w:ascii="Times New Roman" w:cs="Times New Roman" w:eastAsia="Times New Roman" w:hAnsi="Times New Roman"/>
          <w:b w:val="false"/>
          <w:bCs w:val="false"/>
          <w:i/>
          <w:iCs/>
          <w:color w:val="000000"/>
          <w:sz w:val="24"/>
          <w:szCs w:val="24"/>
        </w:rPr>
        <w:t xml:space="preserve">Mean Reported Mud Crab Price by Actor Category, BMU and Size Grade</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1900"/>
        <w:gridCol w:w="1800"/>
        <w:gridCol w:w="1850"/>
        <w:gridCol w:w="1750"/>
        <w:gridCol w:w="1726"/>
      </w:tblGrid>
      <w:tr>
        <w:trPr>
          <w:tblHeader/>
        </w:trPr>
        <w:tc>
          <w:tcPr>
            <w:tcW w:type="dxa" w:w="19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20"/>
                <w:szCs w:val="20"/>
              </w:rPr>
              <w:t xml:space="preserve">BMU</w:t>
            </w:r>
          </w:p>
        </w:tc>
        <w:tc>
          <w:tcPr>
            <w:tcW w:type="dxa" w:w="18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0" w:before="20" w:line="240"/>
              <w:jc w:val="center"/>
            </w:pPr>
            <w:r>
              <w:rPr>
                <w:rFonts w:ascii="Times New Roman" w:cs="Times New Roman" w:eastAsia="Times New Roman" w:hAnsi="Times New Roman"/>
                <w:b/>
                <w:bCs/>
                <w:i w:val="false"/>
                <w:iCs w:val="false"/>
                <w:color w:val="000000"/>
                <w:sz w:val="20"/>
                <w:szCs w:val="20"/>
              </w:rPr>
              <w:t xml:space="preserve">Fisher</w:t>
            </w:r>
          </w:p>
          <w:p>
            <w:pPr>
              <w:spacing w:after="20" w:before="0" w:line="240"/>
              <w:jc w:val="center"/>
            </w:pPr>
            <w:r>
              <w:rPr>
                <w:rFonts w:ascii="Times New Roman" w:cs="Times New Roman" w:eastAsia="Times New Roman" w:hAnsi="Times New Roman"/>
                <w:b/>
                <w:bCs/>
                <w:i w:val="false"/>
                <w:iCs w:val="false"/>
                <w:color w:val="000000"/>
                <w:sz w:val="20"/>
                <w:szCs w:val="20"/>
              </w:rPr>
              <w:t xml:space="preserve">M KSh/kg (n)</w:t>
            </w:r>
          </w:p>
        </w:tc>
        <w:tc>
          <w:tcPr>
            <w:tcW w:type="dxa" w:w="18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0" w:before="20" w:line="240"/>
              <w:jc w:val="center"/>
            </w:pPr>
            <w:r>
              <w:rPr>
                <w:rFonts w:ascii="Times New Roman" w:cs="Times New Roman" w:eastAsia="Times New Roman" w:hAnsi="Times New Roman"/>
                <w:b/>
                <w:bCs/>
                <w:i w:val="false"/>
                <w:iCs w:val="false"/>
                <w:color w:val="000000"/>
                <w:sz w:val="20"/>
                <w:szCs w:val="20"/>
              </w:rPr>
              <w:t xml:space="preserve">Middleman</w:t>
            </w:r>
          </w:p>
          <w:p>
            <w:pPr>
              <w:spacing w:after="20" w:before="0" w:line="240"/>
              <w:jc w:val="center"/>
            </w:pPr>
            <w:r>
              <w:rPr>
                <w:rFonts w:ascii="Times New Roman" w:cs="Times New Roman" w:eastAsia="Times New Roman" w:hAnsi="Times New Roman"/>
                <w:b/>
                <w:bCs/>
                <w:i w:val="false"/>
                <w:iCs w:val="false"/>
                <w:color w:val="000000"/>
                <w:sz w:val="20"/>
                <w:szCs w:val="20"/>
              </w:rPr>
              <w:t xml:space="preserve">M KSh/kg (n)</w:t>
            </w:r>
          </w:p>
        </w:tc>
        <w:tc>
          <w:tcPr>
            <w:tcW w:type="dxa" w:w="17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0" w:before="20" w:line="240"/>
              <w:jc w:val="center"/>
            </w:pPr>
            <w:r>
              <w:rPr>
                <w:rFonts w:ascii="Times New Roman" w:cs="Times New Roman" w:eastAsia="Times New Roman" w:hAnsi="Times New Roman"/>
                <w:b/>
                <w:bCs/>
                <w:i w:val="false"/>
                <w:iCs w:val="false"/>
                <w:color w:val="000000"/>
                <w:sz w:val="20"/>
                <w:szCs w:val="20"/>
              </w:rPr>
              <w:t xml:space="preserve">Hotelier</w:t>
            </w:r>
          </w:p>
          <w:p>
            <w:pPr>
              <w:spacing w:after="20" w:before="0" w:line="240"/>
              <w:jc w:val="center"/>
            </w:pPr>
            <w:r>
              <w:rPr>
                <w:rFonts w:ascii="Times New Roman" w:cs="Times New Roman" w:eastAsia="Times New Roman" w:hAnsi="Times New Roman"/>
                <w:b/>
                <w:bCs/>
                <w:i w:val="false"/>
                <w:iCs w:val="false"/>
                <w:color w:val="000000"/>
                <w:sz w:val="20"/>
                <w:szCs w:val="20"/>
              </w:rPr>
              <w:t xml:space="preserve">M KSh/kg (n)</w:t>
            </w:r>
          </w:p>
        </w:tc>
        <w:tc>
          <w:tcPr>
            <w:tcW w:type="dxa" w:w="1726"/>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0" w:before="20" w:line="240"/>
              <w:jc w:val="center"/>
            </w:pPr>
            <w:r>
              <w:rPr>
                <w:rFonts w:ascii="Times New Roman" w:cs="Times New Roman" w:eastAsia="Times New Roman" w:hAnsi="Times New Roman"/>
                <w:b/>
                <w:bCs/>
                <w:i w:val="false"/>
                <w:iCs w:val="false"/>
                <w:color w:val="000000"/>
                <w:sz w:val="20"/>
                <w:szCs w:val="20"/>
              </w:rPr>
              <w:t xml:space="preserve">Exporter</w:t>
            </w:r>
          </w:p>
          <w:p>
            <w:pPr>
              <w:spacing w:after="20" w:before="0" w:line="240"/>
              <w:jc w:val="center"/>
            </w:pPr>
            <w:r>
              <w:rPr>
                <w:rFonts w:ascii="Times New Roman" w:cs="Times New Roman" w:eastAsia="Times New Roman" w:hAnsi="Times New Roman"/>
                <w:b/>
                <w:bCs/>
                <w:i w:val="false"/>
                <w:iCs w:val="false"/>
                <w:color w:val="000000"/>
                <w:sz w:val="20"/>
                <w:szCs w:val="20"/>
              </w:rPr>
              <w:t xml:space="preserve">M KSh/kg (n)</w:t>
            </w:r>
          </w:p>
        </w:tc>
      </w:tr>
      <w:tr>
        <w:tc>
          <w:tcPr>
            <w:tcW w:type="dxa" w:w="9026"/>
            <w:gridSpan w:val="5"/>
            <w:tcBorders>
              <w:top w:val="none" w:color="FFFFFF" w:sz="0"/>
              <w:left w:val="none" w:color="FFFFFF" w:sz="0"/>
              <w:bottom w:val="none" w:color="FFFFFF" w:sz="0"/>
              <w:right w:val="none" w:color="FFFFFF" w:sz="0"/>
            </w:tcBorders>
            <w:tcMar>
              <w:top w:type="dxa" w:w="90"/>
              <w:left w:type="dxa" w:w="90"/>
              <w:bottom w:type="dxa" w:w="30"/>
              <w:right w:type="dxa" w:w="90"/>
            </w:tcMar>
          </w:tcPr>
          <w:p>
            <w:pPr>
              <w:spacing w:after="20" w:before="20" w:line="240"/>
              <w:jc w:val="left"/>
            </w:pPr>
            <w:r>
              <w:rPr>
                <w:rFonts w:ascii="Times New Roman" w:cs="Times New Roman" w:eastAsia="Times New Roman" w:hAnsi="Times New Roman"/>
                <w:b w:val="false"/>
                <w:bCs w:val="false"/>
                <w:i/>
                <w:iCs/>
                <w:color w:val="000000"/>
                <w:sz w:val="20"/>
                <w:szCs w:val="20"/>
              </w:rPr>
              <w:t xml:space="preserve">Large (Grade A)</w:t>
            </w:r>
          </w:p>
        </w:tc>
      </w:tr>
      <w:tr>
        <w:tc>
          <w:tcPr>
            <w:tcW w:type="dxa" w:w="1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Shimoni</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540.0 (25)</w:t>
            </w:r>
          </w:p>
        </w:tc>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981.8 (11)</w:t>
            </w:r>
          </w:p>
        </w:tc>
        <w:tc>
          <w:tcPr>
            <w:tcW w:type="dxa" w:w="17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1,500.0 (1)</w:t>
            </w:r>
          </w:p>
        </w:tc>
        <w:tc>
          <w:tcPr>
            <w:tcW w:type="dxa" w:w="17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r>
      <w:tr>
        <w:tc>
          <w:tcPr>
            <w:tcW w:type="dxa" w:w="1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Majoreni</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785.7 (14)</w:t>
            </w:r>
          </w:p>
        </w:tc>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857.1 (7)</w:t>
            </w:r>
          </w:p>
        </w:tc>
        <w:tc>
          <w:tcPr>
            <w:tcW w:type="dxa" w:w="17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17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r>
      <w:tr>
        <w:tc>
          <w:tcPr>
            <w:tcW w:type="dxa" w:w="1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Vanga</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535.7 (21)</w:t>
            </w:r>
          </w:p>
        </w:tc>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1,000.0 (4)</w:t>
            </w:r>
          </w:p>
        </w:tc>
        <w:tc>
          <w:tcPr>
            <w:tcW w:type="dxa" w:w="17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17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r>
      <w:tr>
        <w:tc>
          <w:tcPr>
            <w:tcW w:type="dxa" w:w="1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Msambweni</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650.0 (3)</w:t>
            </w:r>
          </w:p>
        </w:tc>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17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17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r>
      <w:tr>
        <w:tc>
          <w:tcPr>
            <w:tcW w:type="dxa" w:w="1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Other sites</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800.0 (2)</w:t>
            </w:r>
          </w:p>
        </w:tc>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17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2,375.0 (4)</w:t>
            </w:r>
          </w:p>
        </w:tc>
        <w:tc>
          <w:tcPr>
            <w:tcW w:type="dxa" w:w="17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1,700.0 (4)</w:t>
            </w:r>
          </w:p>
        </w:tc>
      </w:tr>
      <w:tr>
        <w:tc>
          <w:tcPr>
            <w:tcW w:type="dxa" w:w="1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All sites</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604.6 (65)</w:t>
            </w:r>
          </w:p>
        </w:tc>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945.5 (22)</w:t>
            </w:r>
          </w:p>
        </w:tc>
        <w:tc>
          <w:tcPr>
            <w:tcW w:type="dxa" w:w="17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2,200.0 (5)</w:t>
            </w:r>
          </w:p>
        </w:tc>
        <w:tc>
          <w:tcPr>
            <w:tcW w:type="dxa" w:w="17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1,700.0 (4)</w:t>
            </w:r>
          </w:p>
        </w:tc>
      </w:tr>
      <w:tr>
        <w:tc>
          <w:tcPr>
            <w:tcW w:type="dxa" w:w="9026"/>
            <w:gridSpan w:val="5"/>
            <w:tcBorders>
              <w:top w:val="none" w:color="FFFFFF" w:sz="0"/>
              <w:left w:val="none" w:color="FFFFFF" w:sz="0"/>
              <w:bottom w:val="none" w:color="FFFFFF" w:sz="0"/>
              <w:right w:val="none" w:color="FFFFFF" w:sz="0"/>
            </w:tcBorders>
            <w:tcMar>
              <w:top w:type="dxa" w:w="90"/>
              <w:left w:type="dxa" w:w="90"/>
              <w:bottom w:type="dxa" w:w="30"/>
              <w:right w:type="dxa" w:w="90"/>
            </w:tcMar>
          </w:tcPr>
          <w:p>
            <w:pPr>
              <w:spacing w:after="20" w:before="20" w:line="240"/>
              <w:jc w:val="left"/>
            </w:pPr>
            <w:r>
              <w:rPr>
                <w:rFonts w:ascii="Times New Roman" w:cs="Times New Roman" w:eastAsia="Times New Roman" w:hAnsi="Times New Roman"/>
                <w:b w:val="false"/>
                <w:bCs w:val="false"/>
                <w:i/>
                <w:iCs/>
                <w:color w:val="000000"/>
                <w:sz w:val="20"/>
                <w:szCs w:val="20"/>
              </w:rPr>
              <w:t xml:space="preserve">Medium (Grade B)</w:t>
            </w:r>
          </w:p>
        </w:tc>
      </w:tr>
      <w:tr>
        <w:tc>
          <w:tcPr>
            <w:tcW w:type="dxa" w:w="1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Shimoni</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404.0 (25)</w:t>
            </w:r>
          </w:p>
        </w:tc>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745.5 (11)</w:t>
            </w:r>
          </w:p>
        </w:tc>
        <w:tc>
          <w:tcPr>
            <w:tcW w:type="dxa" w:w="17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300.0 (1)</w:t>
            </w:r>
          </w:p>
        </w:tc>
        <w:tc>
          <w:tcPr>
            <w:tcW w:type="dxa" w:w="17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r>
      <w:tr>
        <w:tc>
          <w:tcPr>
            <w:tcW w:type="dxa" w:w="1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Majoreni</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600.0 (14)</w:t>
            </w:r>
          </w:p>
        </w:tc>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657.1 (7)</w:t>
            </w:r>
          </w:p>
        </w:tc>
        <w:tc>
          <w:tcPr>
            <w:tcW w:type="dxa" w:w="17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17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r>
      <w:tr>
        <w:tc>
          <w:tcPr>
            <w:tcW w:type="dxa" w:w="1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Vanga</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576.2 (21)</w:t>
            </w:r>
          </w:p>
        </w:tc>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750.0 (4)</w:t>
            </w:r>
          </w:p>
        </w:tc>
        <w:tc>
          <w:tcPr>
            <w:tcW w:type="dxa" w:w="17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17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r>
      <w:tr>
        <w:tc>
          <w:tcPr>
            <w:tcW w:type="dxa" w:w="1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Msambweni</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616.7 (3)</w:t>
            </w:r>
          </w:p>
        </w:tc>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17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17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r>
      <w:tr>
        <w:tc>
          <w:tcPr>
            <w:tcW w:type="dxa" w:w="1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Other sites</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500.0 (2)</w:t>
            </w:r>
          </w:p>
        </w:tc>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17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400.0 (4)</w:t>
            </w:r>
          </w:p>
        </w:tc>
        <w:tc>
          <w:tcPr>
            <w:tcW w:type="dxa" w:w="17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1,300.0 (4)</w:t>
            </w:r>
          </w:p>
        </w:tc>
      </w:tr>
      <w:tr>
        <w:tc>
          <w:tcPr>
            <w:tcW w:type="dxa" w:w="190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All sites</w:t>
            </w:r>
          </w:p>
        </w:tc>
        <w:tc>
          <w:tcPr>
            <w:tcW w:type="dxa" w:w="180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514.6 (65)</w:t>
            </w:r>
          </w:p>
        </w:tc>
        <w:tc>
          <w:tcPr>
            <w:tcW w:type="dxa" w:w="185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718.2 (22)</w:t>
            </w:r>
          </w:p>
        </w:tc>
        <w:tc>
          <w:tcPr>
            <w:tcW w:type="dxa" w:w="175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380.0 (5)</w:t>
            </w:r>
          </w:p>
        </w:tc>
        <w:tc>
          <w:tcPr>
            <w:tcW w:type="dxa" w:w="1726"/>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1,300.0 (4)</w:t>
            </w:r>
          </w:p>
        </w:tc>
      </w:tr>
    </w:tbl>
    <w:p>
      <w:pPr>
        <w:spacing w:after="120" w:before="0" w:line="360"/>
        <w:jc w:val="both"/>
      </w:pPr>
      <w:r>
        <w:rPr>
          <w:rFonts w:ascii="Times New Roman" w:cs="Times New Roman" w:eastAsia="Times New Roman" w:hAnsi="Times New Roman"/>
          <w:color w:val="000000"/>
          <w:sz w:val="24"/>
          <w:szCs w:val="24"/>
        </w:rPr>
        <w:t xml:space="preserve">Table 38 shows that fisher prices varied considerably by site. Majoreni fishers reported the highest large-crab mean at KSh 785.7 per kilogram, well above Shimoni at KSh 540.0 and Vanga at KSh 535.7, with Msambweni at KSh 650.0 on three respondents. Middleman means were much closer together, from KSh 857.1 at Majoreni to KSh 1,000.0 at Vanga. Returning to Table 37, fisher prices differed significantly across sites for large crabs, H(3) = 20.32, p &lt; .001, and for medium crabs, H(3) = 20.07, p &lt; .001, while middleman prices did not, H(2) = 5.33, p = .070 and H(2) = 3.78, p = .151. Small-grade prices did not differ across sites either, H(3) = 5.85, p = .119.</w:t>
      </w:r>
    </w:p>
    <w:p>
      <w:pPr>
        <w:spacing w:after="0" w:before="240" w:line="240"/>
      </w:pPr>
      <w:r>
        <w:rPr>
          <w:rFonts w:ascii="Times New Roman" w:cs="Times New Roman" w:eastAsia="Times New Roman" w:hAnsi="Times New Roman"/>
          <w:b/>
          <w:bCs/>
          <w:color w:val="000000"/>
          <w:sz w:val="24"/>
          <w:szCs w:val="24"/>
        </w:rPr>
        <w:t xml:space="preserve">Table 39</w:t>
      </w:r>
    </w:p>
    <w:p>
      <w:pPr>
        <w:spacing w:after="120" w:before="0" w:line="240"/>
      </w:pPr>
      <w:r>
        <w:rPr>
          <w:rFonts w:ascii="Times New Roman" w:cs="Times New Roman" w:eastAsia="Times New Roman" w:hAnsi="Times New Roman"/>
          <w:b w:val="false"/>
          <w:bCs w:val="false"/>
          <w:i/>
          <w:iCs/>
          <w:color w:val="000000"/>
          <w:sz w:val="24"/>
          <w:szCs w:val="24"/>
        </w:rPr>
        <w:t xml:space="preserve">First-Sale Price Spread Between Fishers and Middlemen Within Each BMU</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1500"/>
        <w:gridCol w:w="1300"/>
        <w:gridCol w:w="1450"/>
        <w:gridCol w:w="1200"/>
        <w:gridCol w:w="1700"/>
        <w:gridCol w:w="1876"/>
      </w:tblGrid>
      <w:tr>
        <w:trPr>
          <w:tblHeader/>
        </w:trPr>
        <w:tc>
          <w:tcPr>
            <w:tcW w:type="dxa" w:w="15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20"/>
                <w:szCs w:val="20"/>
              </w:rPr>
              <w:t xml:space="preserve">BMU</w:t>
            </w:r>
          </w:p>
        </w:tc>
        <w:tc>
          <w:tcPr>
            <w:tcW w:type="dxa" w:w="13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0" w:before="20" w:line="240"/>
              <w:jc w:val="center"/>
            </w:pPr>
            <w:r>
              <w:rPr>
                <w:rFonts w:ascii="Times New Roman" w:cs="Times New Roman" w:eastAsia="Times New Roman" w:hAnsi="Times New Roman"/>
                <w:b/>
                <w:bCs/>
                <w:i w:val="false"/>
                <w:iCs w:val="false"/>
                <w:color w:val="000000"/>
                <w:sz w:val="20"/>
                <w:szCs w:val="20"/>
              </w:rPr>
              <w:t xml:space="preserve">Fisher M</w:t>
            </w:r>
          </w:p>
          <w:p>
            <w:pPr>
              <w:spacing w:after="20" w:before="0" w:line="240"/>
              <w:jc w:val="center"/>
            </w:pPr>
            <w:r>
              <w:rPr>
                <w:rFonts w:ascii="Times New Roman" w:cs="Times New Roman" w:eastAsia="Times New Roman" w:hAnsi="Times New Roman"/>
                <w:b/>
                <w:bCs/>
                <w:i w:val="false"/>
                <w:iCs w:val="false"/>
                <w:color w:val="000000"/>
                <w:sz w:val="20"/>
                <w:szCs w:val="20"/>
              </w:rPr>
              <w:t xml:space="preserve">(KSh/kg)</w:t>
            </w:r>
          </w:p>
        </w:tc>
        <w:tc>
          <w:tcPr>
            <w:tcW w:type="dxa" w:w="14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0" w:before="20" w:line="240"/>
              <w:jc w:val="center"/>
            </w:pPr>
            <w:r>
              <w:rPr>
                <w:rFonts w:ascii="Times New Roman" w:cs="Times New Roman" w:eastAsia="Times New Roman" w:hAnsi="Times New Roman"/>
                <w:b/>
                <w:bCs/>
                <w:i w:val="false"/>
                <w:iCs w:val="false"/>
                <w:color w:val="000000"/>
                <w:sz w:val="20"/>
                <w:szCs w:val="20"/>
              </w:rPr>
              <w:t xml:space="preserve">Middleman M</w:t>
            </w:r>
          </w:p>
          <w:p>
            <w:pPr>
              <w:spacing w:after="20" w:before="0" w:line="240"/>
              <w:jc w:val="center"/>
            </w:pPr>
            <w:r>
              <w:rPr>
                <w:rFonts w:ascii="Times New Roman" w:cs="Times New Roman" w:eastAsia="Times New Roman" w:hAnsi="Times New Roman"/>
                <w:b/>
                <w:bCs/>
                <w:i w:val="false"/>
                <w:iCs w:val="false"/>
                <w:color w:val="000000"/>
                <w:sz w:val="20"/>
                <w:szCs w:val="20"/>
              </w:rPr>
              <w:t xml:space="preserve">(KSh/kg)</w:t>
            </w:r>
          </w:p>
        </w:tc>
        <w:tc>
          <w:tcPr>
            <w:tcW w:type="dxa" w:w="12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0" w:before="20" w:line="240"/>
              <w:jc w:val="center"/>
            </w:pPr>
            <w:r>
              <w:rPr>
                <w:rFonts w:ascii="Times New Roman" w:cs="Times New Roman" w:eastAsia="Times New Roman" w:hAnsi="Times New Roman"/>
                <w:b/>
                <w:bCs/>
                <w:i w:val="false"/>
                <w:iCs w:val="false"/>
                <w:color w:val="000000"/>
                <w:sz w:val="20"/>
                <w:szCs w:val="20"/>
              </w:rPr>
              <w:t xml:space="preserve">Spread</w:t>
            </w:r>
          </w:p>
          <w:p>
            <w:pPr>
              <w:spacing w:after="20" w:before="0" w:line="240"/>
              <w:jc w:val="center"/>
            </w:pPr>
            <w:r>
              <w:rPr>
                <w:rFonts w:ascii="Times New Roman" w:cs="Times New Roman" w:eastAsia="Times New Roman" w:hAnsi="Times New Roman"/>
                <w:b/>
                <w:bCs/>
                <w:i w:val="false"/>
                <w:iCs w:val="false"/>
                <w:color w:val="000000"/>
                <w:sz w:val="20"/>
                <w:szCs w:val="20"/>
              </w:rPr>
              <w:t xml:space="preserve">(KSh/kg)</w:t>
            </w:r>
          </w:p>
        </w:tc>
        <w:tc>
          <w:tcPr>
            <w:tcW w:type="dxa" w:w="17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0" w:before="20" w:line="240"/>
              <w:jc w:val="center"/>
            </w:pPr>
            <w:r>
              <w:rPr>
                <w:rFonts w:ascii="Times New Roman" w:cs="Times New Roman" w:eastAsia="Times New Roman" w:hAnsi="Times New Roman"/>
                <w:b/>
                <w:bCs/>
                <w:i w:val="false"/>
                <w:iCs w:val="false"/>
                <w:color w:val="000000"/>
                <w:sz w:val="20"/>
                <w:szCs w:val="20"/>
              </w:rPr>
              <w:t xml:space="preserve">Spread as % of</w:t>
            </w:r>
          </w:p>
          <w:p>
            <w:pPr>
              <w:spacing w:after="20" w:before="0" w:line="240"/>
              <w:jc w:val="center"/>
            </w:pPr>
            <w:r>
              <w:rPr>
                <w:rFonts w:ascii="Times New Roman" w:cs="Times New Roman" w:eastAsia="Times New Roman" w:hAnsi="Times New Roman"/>
                <w:b/>
                <w:bCs/>
                <w:i w:val="false"/>
                <w:iCs w:val="false"/>
                <w:color w:val="000000"/>
                <w:sz w:val="20"/>
                <w:szCs w:val="20"/>
              </w:rPr>
              <w:t xml:space="preserve">the fisher price</w:t>
            </w:r>
          </w:p>
        </w:tc>
        <w:tc>
          <w:tcPr>
            <w:tcW w:type="dxa" w:w="1876"/>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0" w:before="20" w:line="240"/>
              <w:jc w:val="center"/>
            </w:pPr>
            <w:r>
              <w:rPr>
                <w:rFonts w:ascii="Times New Roman" w:cs="Times New Roman" w:eastAsia="Times New Roman" w:hAnsi="Times New Roman"/>
                <w:b/>
                <w:bCs/>
                <w:i w:val="false"/>
                <w:iCs w:val="false"/>
                <w:color w:val="000000"/>
                <w:sz w:val="20"/>
                <w:szCs w:val="20"/>
              </w:rPr>
              <w:t xml:space="preserve">Fisher price as % of</w:t>
            </w:r>
          </w:p>
          <w:p>
            <w:pPr>
              <w:spacing w:after="20" w:before="0" w:line="240"/>
              <w:jc w:val="center"/>
            </w:pPr>
            <w:r>
              <w:rPr>
                <w:rFonts w:ascii="Times New Roman" w:cs="Times New Roman" w:eastAsia="Times New Roman" w:hAnsi="Times New Roman"/>
                <w:b/>
                <w:bCs/>
                <w:i w:val="false"/>
                <w:iCs w:val="false"/>
                <w:color w:val="000000"/>
                <w:sz w:val="20"/>
                <w:szCs w:val="20"/>
              </w:rPr>
              <w:t xml:space="preserve">the middleman price</w:t>
            </w:r>
          </w:p>
        </w:tc>
      </w:tr>
      <w:tr>
        <w:tc>
          <w:tcPr>
            <w:tcW w:type="dxa" w:w="9026"/>
            <w:gridSpan w:val="6"/>
            <w:tcBorders>
              <w:top w:val="none" w:color="FFFFFF" w:sz="0"/>
              <w:left w:val="none" w:color="FFFFFF" w:sz="0"/>
              <w:bottom w:val="none" w:color="FFFFFF" w:sz="0"/>
              <w:right w:val="none" w:color="FFFFFF" w:sz="0"/>
            </w:tcBorders>
            <w:tcMar>
              <w:top w:type="dxa" w:w="90"/>
              <w:left w:type="dxa" w:w="90"/>
              <w:bottom w:type="dxa" w:w="30"/>
              <w:right w:type="dxa" w:w="90"/>
            </w:tcMar>
          </w:tcPr>
          <w:p>
            <w:pPr>
              <w:spacing w:after="20" w:before="20" w:line="240"/>
              <w:jc w:val="left"/>
            </w:pPr>
            <w:r>
              <w:rPr>
                <w:rFonts w:ascii="Times New Roman" w:cs="Times New Roman" w:eastAsia="Times New Roman" w:hAnsi="Times New Roman"/>
                <w:b w:val="false"/>
                <w:bCs w:val="false"/>
                <w:i/>
                <w:iCs/>
                <w:color w:val="000000"/>
                <w:sz w:val="20"/>
                <w:szCs w:val="20"/>
              </w:rPr>
              <w:t xml:space="preserve">Large (Grade A)</w:t>
            </w:r>
          </w:p>
        </w:tc>
      </w:tr>
      <w:tr>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Shimoni</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540.0</w:t>
            </w:r>
          </w:p>
        </w:tc>
        <w:tc>
          <w:tcPr>
            <w:tcW w:type="dxa" w:w="14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981.8</w:t>
            </w:r>
          </w:p>
        </w:tc>
        <w:tc>
          <w:tcPr>
            <w:tcW w:type="dxa" w:w="12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441.8</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81.8</w:t>
            </w:r>
          </w:p>
        </w:tc>
        <w:tc>
          <w:tcPr>
            <w:tcW w:type="dxa" w:w="187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55.0</w:t>
            </w:r>
          </w:p>
        </w:tc>
      </w:tr>
      <w:tr>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Majoreni</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785.7</w:t>
            </w:r>
          </w:p>
        </w:tc>
        <w:tc>
          <w:tcPr>
            <w:tcW w:type="dxa" w:w="14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857.1</w:t>
            </w:r>
          </w:p>
        </w:tc>
        <w:tc>
          <w:tcPr>
            <w:tcW w:type="dxa" w:w="12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71.4</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9.1</w:t>
            </w:r>
          </w:p>
        </w:tc>
        <w:tc>
          <w:tcPr>
            <w:tcW w:type="dxa" w:w="187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91.7</w:t>
            </w:r>
          </w:p>
        </w:tc>
      </w:tr>
      <w:tr>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Vanga</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535.7</w:t>
            </w:r>
          </w:p>
        </w:tc>
        <w:tc>
          <w:tcPr>
            <w:tcW w:type="dxa" w:w="14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1,000.0</w:t>
            </w:r>
          </w:p>
        </w:tc>
        <w:tc>
          <w:tcPr>
            <w:tcW w:type="dxa" w:w="12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464.3</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86.7</w:t>
            </w:r>
          </w:p>
        </w:tc>
        <w:tc>
          <w:tcPr>
            <w:tcW w:type="dxa" w:w="187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53.6</w:t>
            </w:r>
          </w:p>
        </w:tc>
      </w:tr>
      <w:tr>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Msambweni</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650.0</w:t>
            </w:r>
          </w:p>
        </w:tc>
        <w:tc>
          <w:tcPr>
            <w:tcW w:type="dxa" w:w="14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12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187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r>
      <w:tr>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Other sites</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800.0</w:t>
            </w:r>
          </w:p>
        </w:tc>
        <w:tc>
          <w:tcPr>
            <w:tcW w:type="dxa" w:w="14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12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187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r>
      <w:tr>
        <w:tc>
          <w:tcPr>
            <w:tcW w:type="dxa" w:w="9026"/>
            <w:gridSpan w:val="6"/>
            <w:tcBorders>
              <w:top w:val="none" w:color="FFFFFF" w:sz="0"/>
              <w:left w:val="none" w:color="FFFFFF" w:sz="0"/>
              <w:bottom w:val="none" w:color="FFFFFF" w:sz="0"/>
              <w:right w:val="none" w:color="FFFFFF" w:sz="0"/>
            </w:tcBorders>
            <w:tcMar>
              <w:top w:type="dxa" w:w="90"/>
              <w:left w:type="dxa" w:w="90"/>
              <w:bottom w:type="dxa" w:w="30"/>
              <w:right w:type="dxa" w:w="90"/>
            </w:tcMar>
          </w:tcPr>
          <w:p>
            <w:pPr>
              <w:spacing w:after="20" w:before="20" w:line="240"/>
              <w:jc w:val="left"/>
            </w:pPr>
            <w:r>
              <w:rPr>
                <w:rFonts w:ascii="Times New Roman" w:cs="Times New Roman" w:eastAsia="Times New Roman" w:hAnsi="Times New Roman"/>
                <w:b w:val="false"/>
                <w:bCs w:val="false"/>
                <w:i/>
                <w:iCs/>
                <w:color w:val="000000"/>
                <w:sz w:val="20"/>
                <w:szCs w:val="20"/>
              </w:rPr>
              <w:t xml:space="preserve">Medium (Grade B)</w:t>
            </w:r>
          </w:p>
        </w:tc>
      </w:tr>
      <w:tr>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Shimoni</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404.0</w:t>
            </w:r>
          </w:p>
        </w:tc>
        <w:tc>
          <w:tcPr>
            <w:tcW w:type="dxa" w:w="14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745.5</w:t>
            </w:r>
          </w:p>
        </w:tc>
        <w:tc>
          <w:tcPr>
            <w:tcW w:type="dxa" w:w="12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341.5</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84.5</w:t>
            </w:r>
          </w:p>
        </w:tc>
        <w:tc>
          <w:tcPr>
            <w:tcW w:type="dxa" w:w="187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54.2</w:t>
            </w:r>
          </w:p>
        </w:tc>
      </w:tr>
      <w:tr>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Majoreni</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600.0</w:t>
            </w:r>
          </w:p>
        </w:tc>
        <w:tc>
          <w:tcPr>
            <w:tcW w:type="dxa" w:w="14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657.1</w:t>
            </w:r>
          </w:p>
        </w:tc>
        <w:tc>
          <w:tcPr>
            <w:tcW w:type="dxa" w:w="12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57.1</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9.5</w:t>
            </w:r>
          </w:p>
        </w:tc>
        <w:tc>
          <w:tcPr>
            <w:tcW w:type="dxa" w:w="187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91.3</w:t>
            </w:r>
          </w:p>
        </w:tc>
      </w:tr>
      <w:tr>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Vanga</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576.2</w:t>
            </w:r>
          </w:p>
        </w:tc>
        <w:tc>
          <w:tcPr>
            <w:tcW w:type="dxa" w:w="14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750.0</w:t>
            </w:r>
          </w:p>
        </w:tc>
        <w:tc>
          <w:tcPr>
            <w:tcW w:type="dxa" w:w="12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173.8</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30.2</w:t>
            </w:r>
          </w:p>
        </w:tc>
        <w:tc>
          <w:tcPr>
            <w:tcW w:type="dxa" w:w="187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76.8</w:t>
            </w:r>
          </w:p>
        </w:tc>
      </w:tr>
      <w:tr>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Msambweni</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616.7</w:t>
            </w:r>
          </w:p>
        </w:tc>
        <w:tc>
          <w:tcPr>
            <w:tcW w:type="dxa" w:w="14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12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187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r>
      <w:tr>
        <w:tc>
          <w:tcPr>
            <w:tcW w:type="dxa" w:w="150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Other sites</w:t>
            </w:r>
          </w:p>
        </w:tc>
        <w:tc>
          <w:tcPr>
            <w:tcW w:type="dxa" w:w="130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500.0</w:t>
            </w:r>
          </w:p>
        </w:tc>
        <w:tc>
          <w:tcPr>
            <w:tcW w:type="dxa" w:w="145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120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170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1876"/>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r>
    </w:tbl>
    <w:p>
      <w:pPr>
        <w:spacing w:after="120" w:before="0" w:line="360"/>
        <w:jc w:val="both"/>
      </w:pPr>
      <w:r>
        <w:rPr>
          <w:rFonts w:ascii="Times New Roman" w:cs="Times New Roman" w:eastAsia="Times New Roman" w:hAnsi="Times New Roman"/>
          <w:color w:val="000000"/>
          <w:sz w:val="24"/>
          <w:szCs w:val="24"/>
        </w:rPr>
        <w:t xml:space="preserve">Table 39 sets the two upstream node prices side by side at each landing site. Majoreni stands apart: its fishers held 91.7% of the local middleman price for large crabs and 91.3% for medium crabs, leaving spreads of only KSh 71.4 and KSh 57.1 per kilogram. At Shimoni and Vanga the same comparison gave 55.0% and 53.6% for large crabs, spreads of KSh 441.8 and KSh 464.3, or between 82% and 87% on top of what the fisher was paid. Vanga sat in between for medium crabs at 76.8%. The pattern holds in both grades, which makes it unlikely to be an artefact of one unusual price. The single Shimoni hotelier and the Other sites group rest on very small numbers.</w:t>
      </w:r>
    </w:p>
    <w:p>
      <w:pPr>
        <w:spacing w:after="120" w:before="0" w:line="360"/>
        <w:jc w:val="both"/>
      </w:pPr>
      <w:r>
        <w:rPr>
          <w:rFonts w:ascii="Times New Roman" w:cs="Times New Roman" w:eastAsia="Times New Roman" w:hAnsi="Times New Roman"/>
          <w:color w:val="000000"/>
          <w:sz w:val="24"/>
          <w:szCs w:val="24"/>
        </w:rPr>
        <w:t xml:space="preserve">The two nodes did not move together, and that is where the difference comes from. Fisher prices varied significantly across sites; middleman prices did not. The narrow Majoreni gap is therefore built on the fisher side of the transaction rather than on Majoreni traders charging less than their counterparts: Majoreni middlemen sold at KSh 857.1, within KSh 143 of the other two sites, while Majoreni fishers were paid KSh 785.7 against roughly KSh 537 at Shimoni and Vanga. The gap a fisher faces is set at his own landing site. It is also worth recalling from Table 16 that Majoreni fishers reached the point of sale fastest, which is consistent with, though not proof of, a shorter and more competitive first-sale market there. Msambweni and the Other sites group are absent because no middleman was sampled there.</w:t>
      </w:r>
    </w:p>
    <w:p>
      <w:pPr>
        <w:pStyle w:val="Heading3"/>
        <w:spacing w:after="120" w:before="240" w:line="360"/>
      </w:pPr>
      <w:r>
        <w:rPr>
          <w:rFonts w:ascii="Times New Roman" w:cs="Times New Roman" w:eastAsia="Times New Roman" w:hAnsi="Times New Roman"/>
          <w:b/>
          <w:bCs/>
          <w:color w:val="000000"/>
          <w:sz w:val="24"/>
          <w:szCs w:val="24"/>
        </w:rPr>
        <w:t xml:space="preserve">4.4.10 Concentration at the Point of First Sale</w:t>
      </w:r>
    </w:p>
    <w:p>
      <w:pPr>
        <w:spacing w:after="120" w:before="0" w:line="360"/>
        <w:jc w:val="both"/>
      </w:pPr>
      <w:r>
        <w:rPr>
          <w:rFonts w:ascii="Times New Roman" w:cs="Times New Roman" w:eastAsia="Times New Roman" w:hAnsi="Times New Roman"/>
          <w:color w:val="000000"/>
          <w:sz w:val="24"/>
          <w:szCs w:val="24"/>
        </w:rPr>
        <w:t xml:space="preserve">Objective Two asks how the market is organised, and concentration is the standard way of answering that. A textbook concentration ratio needs a census of the buyers operating at each landing site and the volume each one handles; this survey interviewed actors and recorded neither. What it did record is where each fisher took his catch for first sale, and that supports a concentration measure of a different kind: how far the harvesters at a site are spread across buying points, or gathered at one. The shares below are shares of harvesters, not shares of volume, and the index is read accordingly.</w:t>
      </w:r>
    </w:p>
    <w:p>
      <w:pPr>
        <w:spacing w:after="0" w:before="240" w:line="240"/>
      </w:pPr>
      <w:r>
        <w:rPr>
          <w:rFonts w:ascii="Times New Roman" w:cs="Times New Roman" w:eastAsia="Times New Roman" w:hAnsi="Times New Roman"/>
          <w:b/>
          <w:bCs/>
          <w:color w:val="000000"/>
          <w:sz w:val="24"/>
          <w:szCs w:val="24"/>
        </w:rPr>
        <w:t xml:space="preserve">Table 40</w:t>
      </w:r>
    </w:p>
    <w:p>
      <w:pPr>
        <w:spacing w:after="120" w:before="0" w:line="240"/>
      </w:pPr>
      <w:r>
        <w:rPr>
          <w:rFonts w:ascii="Times New Roman" w:cs="Times New Roman" w:eastAsia="Times New Roman" w:hAnsi="Times New Roman"/>
          <w:b w:val="false"/>
          <w:bCs w:val="false"/>
          <w:i/>
          <w:iCs/>
          <w:color w:val="000000"/>
          <w:sz w:val="24"/>
          <w:szCs w:val="24"/>
        </w:rPr>
        <w:t xml:space="preserve">Concentration of First-Sale Outlets Reported by Fishers, by BMU</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1500"/>
        <w:gridCol w:w="1100"/>
        <w:gridCol w:w="1150"/>
        <w:gridCol w:w="1600"/>
        <w:gridCol w:w="1250"/>
        <w:gridCol w:w="1050"/>
        <w:gridCol w:w="1376"/>
      </w:tblGrid>
      <w:tr>
        <w:trPr>
          <w:tblHeader/>
        </w:trPr>
        <w:tc>
          <w:tcPr>
            <w:tcW w:type="dxa" w:w="15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20"/>
                <w:szCs w:val="20"/>
              </w:rPr>
              <w:t xml:space="preserve">BMU</w:t>
            </w:r>
          </w:p>
        </w:tc>
        <w:tc>
          <w:tcPr>
            <w:tcW w:type="dxa" w:w="11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0" w:before="20" w:line="240"/>
              <w:jc w:val="center"/>
            </w:pPr>
            <w:r>
              <w:rPr>
                <w:rFonts w:ascii="Times New Roman" w:cs="Times New Roman" w:eastAsia="Times New Roman" w:hAnsi="Times New Roman"/>
                <w:b/>
                <w:bCs/>
                <w:i w:val="false"/>
                <w:iCs w:val="false"/>
                <w:color w:val="000000"/>
                <w:sz w:val="20"/>
                <w:szCs w:val="20"/>
              </w:rPr>
              <w:t xml:space="preserve">Fishers</w:t>
            </w:r>
          </w:p>
          <w:p>
            <w:pPr>
              <w:spacing w:after="20" w:before="0" w:line="240"/>
              <w:jc w:val="center"/>
            </w:pPr>
            <w:r>
              <w:rPr>
                <w:rFonts w:ascii="Times New Roman" w:cs="Times New Roman" w:eastAsia="Times New Roman" w:hAnsi="Times New Roman"/>
                <w:b/>
                <w:bCs/>
                <w:i w:val="false"/>
                <w:iCs w:val="false"/>
                <w:color w:val="000000"/>
                <w:sz w:val="20"/>
                <w:szCs w:val="20"/>
              </w:rPr>
              <w:t xml:space="preserve">answering</w:t>
            </w:r>
          </w:p>
        </w:tc>
        <w:tc>
          <w:tcPr>
            <w:tcW w:type="dxa" w:w="11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0" w:before="20" w:line="240"/>
              <w:jc w:val="center"/>
            </w:pPr>
            <w:r>
              <w:rPr>
                <w:rFonts w:ascii="Times New Roman" w:cs="Times New Roman" w:eastAsia="Times New Roman" w:hAnsi="Times New Roman"/>
                <w:b/>
                <w:bCs/>
                <w:i w:val="false"/>
                <w:iCs w:val="false"/>
                <w:color w:val="000000"/>
                <w:sz w:val="20"/>
                <w:szCs w:val="20"/>
              </w:rPr>
              <w:t xml:space="preserve">Buying points</w:t>
            </w:r>
          </w:p>
          <w:p>
            <w:pPr>
              <w:spacing w:after="20" w:before="0" w:line="240"/>
              <w:jc w:val="center"/>
            </w:pPr>
            <w:r>
              <w:rPr>
                <w:rFonts w:ascii="Times New Roman" w:cs="Times New Roman" w:eastAsia="Times New Roman" w:hAnsi="Times New Roman"/>
                <w:b/>
                <w:bCs/>
                <w:i w:val="false"/>
                <w:iCs w:val="false"/>
                <w:color w:val="000000"/>
                <w:sz w:val="20"/>
                <w:szCs w:val="20"/>
              </w:rPr>
              <w:t xml:space="preserve">named</w:t>
            </w:r>
          </w:p>
        </w:tc>
        <w:tc>
          <w:tcPr>
            <w:tcW w:type="dxa" w:w="16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Largest point</w:t>
            </w:r>
          </w:p>
        </w:tc>
        <w:tc>
          <w:tcPr>
            <w:tcW w:type="dxa" w:w="12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0" w:before="20" w:line="240"/>
              <w:jc w:val="center"/>
            </w:pPr>
            <w:r>
              <w:rPr>
                <w:rFonts w:ascii="Times New Roman" w:cs="Times New Roman" w:eastAsia="Times New Roman" w:hAnsi="Times New Roman"/>
                <w:b/>
                <w:bCs/>
                <w:i w:val="false"/>
                <w:iCs w:val="false"/>
                <w:color w:val="000000"/>
                <w:sz w:val="20"/>
                <w:szCs w:val="20"/>
              </w:rPr>
              <w:t xml:space="preserve">Share at the</w:t>
            </w:r>
          </w:p>
          <w:p>
            <w:pPr>
              <w:spacing w:after="20" w:before="0" w:line="240"/>
              <w:jc w:val="center"/>
            </w:pPr>
            <w:r>
              <w:rPr>
                <w:rFonts w:ascii="Times New Roman" w:cs="Times New Roman" w:eastAsia="Times New Roman" w:hAnsi="Times New Roman"/>
                <w:b/>
                <w:bCs/>
                <w:i w:val="false"/>
                <w:iCs w:val="false"/>
                <w:color w:val="000000"/>
                <w:sz w:val="20"/>
                <w:szCs w:val="20"/>
              </w:rPr>
              <w:t xml:space="preserve">largest point</w:t>
            </w:r>
          </w:p>
        </w:tc>
        <w:tc>
          <w:tcPr>
            <w:tcW w:type="dxa" w:w="10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HHI</w:t>
            </w:r>
          </w:p>
        </w:tc>
        <w:tc>
          <w:tcPr>
            <w:tcW w:type="dxa" w:w="1376"/>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0" w:before="20" w:line="240"/>
              <w:jc w:val="center"/>
            </w:pPr>
            <w:r>
              <w:rPr>
                <w:rFonts w:ascii="Times New Roman" w:cs="Times New Roman" w:eastAsia="Times New Roman" w:hAnsi="Times New Roman"/>
                <w:b/>
                <w:bCs/>
                <w:i w:val="false"/>
                <w:iCs w:val="false"/>
                <w:color w:val="000000"/>
                <w:sz w:val="20"/>
                <w:szCs w:val="20"/>
              </w:rPr>
              <w:t xml:space="preserve">Numbers</w:t>
            </w:r>
          </w:p>
          <w:p>
            <w:pPr>
              <w:spacing w:after="20" w:before="0" w:line="240"/>
              <w:jc w:val="center"/>
            </w:pPr>
            <w:r>
              <w:rPr>
                <w:rFonts w:ascii="Times New Roman" w:cs="Times New Roman" w:eastAsia="Times New Roman" w:hAnsi="Times New Roman"/>
                <w:b/>
                <w:bCs/>
                <w:i w:val="false"/>
                <w:iCs w:val="false"/>
                <w:color w:val="000000"/>
                <w:sz w:val="20"/>
                <w:szCs w:val="20"/>
              </w:rPr>
              <w:t xml:space="preserve">equivalent</w:t>
            </w:r>
          </w:p>
        </w:tc>
      </w:tr>
      <w:tr>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Shimoni</w:t>
            </w:r>
          </w:p>
        </w:tc>
        <w:tc>
          <w:tcPr>
            <w:tcW w:type="dxa" w:w="11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25</w:t>
            </w:r>
          </w:p>
        </w:tc>
        <w:tc>
          <w:tcPr>
            <w:tcW w:type="dxa" w:w="11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5</w:t>
            </w:r>
          </w:p>
        </w:tc>
        <w:tc>
          <w:tcPr>
            <w:tcW w:type="dxa" w:w="16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Mkuyuni</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64.0%</w:t>
            </w:r>
          </w:p>
        </w:tc>
        <w:tc>
          <w:tcPr>
            <w:tcW w:type="dxa" w:w="10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4,592</w:t>
            </w:r>
          </w:p>
        </w:tc>
        <w:tc>
          <w:tcPr>
            <w:tcW w:type="dxa" w:w="137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2.18</w:t>
            </w:r>
          </w:p>
        </w:tc>
      </w:tr>
      <w:tr>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Majoreni</w:t>
            </w:r>
          </w:p>
        </w:tc>
        <w:tc>
          <w:tcPr>
            <w:tcW w:type="dxa" w:w="11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13</w:t>
            </w:r>
          </w:p>
        </w:tc>
        <w:tc>
          <w:tcPr>
            <w:tcW w:type="dxa" w:w="11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2</w:t>
            </w:r>
          </w:p>
        </w:tc>
        <w:tc>
          <w:tcPr>
            <w:tcW w:type="dxa" w:w="16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Majoreni / Aleni</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92.3%</w:t>
            </w:r>
          </w:p>
        </w:tc>
        <w:tc>
          <w:tcPr>
            <w:tcW w:type="dxa" w:w="10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8,580</w:t>
            </w:r>
          </w:p>
        </w:tc>
        <w:tc>
          <w:tcPr>
            <w:tcW w:type="dxa" w:w="137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1.17</w:t>
            </w:r>
          </w:p>
        </w:tc>
      </w:tr>
      <w:tr>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Vanga</w:t>
            </w:r>
          </w:p>
        </w:tc>
        <w:tc>
          <w:tcPr>
            <w:tcW w:type="dxa" w:w="11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20</w:t>
            </w:r>
          </w:p>
        </w:tc>
        <w:tc>
          <w:tcPr>
            <w:tcW w:type="dxa" w:w="11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4</w:t>
            </w:r>
          </w:p>
        </w:tc>
        <w:tc>
          <w:tcPr>
            <w:tcW w:type="dxa" w:w="16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Kiwegu</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75.0%</w:t>
            </w:r>
          </w:p>
        </w:tc>
        <w:tc>
          <w:tcPr>
            <w:tcW w:type="dxa" w:w="10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5,850</w:t>
            </w:r>
          </w:p>
        </w:tc>
        <w:tc>
          <w:tcPr>
            <w:tcW w:type="dxa" w:w="137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1.71</w:t>
            </w:r>
          </w:p>
        </w:tc>
      </w:tr>
      <w:tr>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Msambweni</w:t>
            </w:r>
          </w:p>
        </w:tc>
        <w:tc>
          <w:tcPr>
            <w:tcW w:type="dxa" w:w="11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3</w:t>
            </w:r>
          </w:p>
        </w:tc>
        <w:tc>
          <w:tcPr>
            <w:tcW w:type="dxa" w:w="11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2</w:t>
            </w:r>
          </w:p>
        </w:tc>
        <w:tc>
          <w:tcPr>
            <w:tcW w:type="dxa" w:w="16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Gasi</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66.7%</w:t>
            </w:r>
          </w:p>
        </w:tc>
        <w:tc>
          <w:tcPr>
            <w:tcW w:type="dxa" w:w="10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5,556</w:t>
            </w:r>
          </w:p>
        </w:tc>
        <w:tc>
          <w:tcPr>
            <w:tcW w:type="dxa" w:w="137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1.80</w:t>
            </w:r>
          </w:p>
        </w:tc>
      </w:tr>
      <w:tr>
        <w:tc>
          <w:tcPr>
            <w:tcW w:type="dxa" w:w="150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All four BMUs</w:t>
            </w:r>
          </w:p>
        </w:tc>
        <w:tc>
          <w:tcPr>
            <w:tcW w:type="dxa" w:w="110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63</w:t>
            </w:r>
          </w:p>
        </w:tc>
        <w:tc>
          <w:tcPr>
            <w:tcW w:type="dxa" w:w="115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8</w:t>
            </w:r>
          </w:p>
        </w:tc>
        <w:tc>
          <w:tcPr>
            <w:tcW w:type="dxa" w:w="160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Majoreni / Aleni</w:t>
            </w:r>
          </w:p>
        </w:tc>
        <w:tc>
          <w:tcPr>
            <w:tcW w:type="dxa" w:w="125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30.2%</w:t>
            </w:r>
          </w:p>
        </w:tc>
        <w:tc>
          <w:tcPr>
            <w:tcW w:type="dxa" w:w="105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2,371</w:t>
            </w:r>
          </w:p>
        </w:tc>
        <w:tc>
          <w:tcPr>
            <w:tcW w:type="dxa" w:w="1376"/>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4.22</w:t>
            </w:r>
          </w:p>
        </w:tc>
      </w:tr>
    </w:tbl>
    <w:p>
      <w:pPr>
        <w:spacing w:after="120" w:before="0" w:line="360"/>
        <w:jc w:val="both"/>
      </w:pPr>
      <w:r>
        <w:rPr>
          <w:rFonts w:ascii="Times New Roman" w:cs="Times New Roman" w:eastAsia="Times New Roman" w:hAnsi="Times New Roman"/>
          <w:color w:val="000000"/>
          <w:sz w:val="24"/>
          <w:szCs w:val="24"/>
        </w:rPr>
        <w:t xml:space="preserve">Table 40 shows that first sale is concentrated at every landing site. Across the four BMUs the 63 fishers who answered named only 8 buying points between them, with an HHI of 2,371 and a numbers-equivalent of 4.22 outlets. Within a site the picture is tighter still. Majoreni fishers named two points and 92.3% of them went to one, giving an HHI of 8,580 and a numbers-equivalent of 1.17: in practice a single outlet. Vanga returned 5,850, Msambweni 5,556 and Shimoni, the least concentrated, 4,592. Competition authorities commonly treat a market above 2,500 as highly concentrated. Every BMU in this study sits above that line, and three of the four sit above 4,500.</w:t>
      </w:r>
    </w:p>
    <w:p>
      <w:pPr>
        <w:spacing w:after="0" w:before="240" w:line="240"/>
      </w:pPr>
      <w:r>
        <w:rPr>
          <w:rFonts w:ascii="Times New Roman" w:cs="Times New Roman" w:eastAsia="Times New Roman" w:hAnsi="Times New Roman"/>
          <w:b/>
          <w:bCs/>
          <w:color w:val="000000"/>
          <w:sz w:val="24"/>
          <w:szCs w:val="24"/>
        </w:rPr>
        <w:t xml:space="preserve">Table 41</w:t>
      </w:r>
    </w:p>
    <w:p>
      <w:pPr>
        <w:spacing w:after="120" w:before="0" w:line="240"/>
      </w:pPr>
      <w:r>
        <w:rPr>
          <w:rFonts w:ascii="Times New Roman" w:cs="Times New Roman" w:eastAsia="Times New Roman" w:hAnsi="Times New Roman"/>
          <w:b w:val="false"/>
          <w:bCs w:val="false"/>
          <w:i/>
          <w:iCs/>
          <w:color w:val="000000"/>
          <w:sz w:val="24"/>
          <w:szCs w:val="24"/>
        </w:rPr>
        <w:t xml:space="preserve">Buyer Options per Harvester and Harvesters per Trader, by BMU</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1500"/>
        <w:gridCol w:w="1150"/>
        <w:gridCol w:w="1400"/>
        <w:gridCol w:w="1250"/>
        <w:gridCol w:w="1050"/>
        <w:gridCol w:w="1150"/>
        <w:gridCol w:w="1526"/>
      </w:tblGrid>
      <w:tr>
        <w:trPr>
          <w:tblHeader/>
        </w:trPr>
        <w:tc>
          <w:tcPr>
            <w:tcW w:type="dxa" w:w="15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20"/>
                <w:szCs w:val="20"/>
              </w:rPr>
              <w:t xml:space="preserve">BMU</w:t>
            </w:r>
          </w:p>
        </w:tc>
        <w:tc>
          <w:tcPr>
            <w:tcW w:type="dxa" w:w="11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0" w:before="20" w:line="240"/>
              <w:jc w:val="center"/>
            </w:pPr>
            <w:r>
              <w:rPr>
                <w:rFonts w:ascii="Times New Roman" w:cs="Times New Roman" w:eastAsia="Times New Roman" w:hAnsi="Times New Roman"/>
                <w:b/>
                <w:bCs/>
                <w:i w:val="false"/>
                <w:iCs w:val="false"/>
                <w:color w:val="000000"/>
                <w:sz w:val="20"/>
                <w:szCs w:val="20"/>
              </w:rPr>
              <w:t xml:space="preserve">Fishers</w:t>
            </w:r>
          </w:p>
          <w:p>
            <w:pPr>
              <w:spacing w:after="20" w:before="0" w:line="240"/>
              <w:jc w:val="center"/>
            </w:pPr>
            <w:r>
              <w:rPr>
                <w:rFonts w:ascii="Times New Roman" w:cs="Times New Roman" w:eastAsia="Times New Roman" w:hAnsi="Times New Roman"/>
                <w:b/>
                <w:bCs/>
                <w:i w:val="false"/>
                <w:iCs w:val="false"/>
                <w:color w:val="000000"/>
                <w:sz w:val="20"/>
                <w:szCs w:val="20"/>
              </w:rPr>
              <w:t xml:space="preserve">answering</w:t>
            </w:r>
          </w:p>
        </w:tc>
        <w:tc>
          <w:tcPr>
            <w:tcW w:type="dxa" w:w="14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0" w:before="20" w:line="240"/>
              <w:jc w:val="center"/>
            </w:pPr>
            <w:r>
              <w:rPr>
                <w:rFonts w:ascii="Times New Roman" w:cs="Times New Roman" w:eastAsia="Times New Roman" w:hAnsi="Times New Roman"/>
                <w:b/>
                <w:bCs/>
                <w:i w:val="false"/>
                <w:iCs w:val="false"/>
                <w:color w:val="000000"/>
                <w:sz w:val="20"/>
                <w:szCs w:val="20"/>
              </w:rPr>
              <w:t xml:space="preserve">Selling to one</w:t>
            </w:r>
          </w:p>
          <w:p>
            <w:pPr>
              <w:spacing w:after="20" w:before="0" w:line="240"/>
              <w:jc w:val="center"/>
            </w:pPr>
            <w:r>
              <w:rPr>
                <w:rFonts w:ascii="Times New Roman" w:cs="Times New Roman" w:eastAsia="Times New Roman" w:hAnsi="Times New Roman"/>
                <w:b/>
                <w:bCs/>
                <w:i w:val="false"/>
                <w:iCs w:val="false"/>
                <w:color w:val="000000"/>
                <w:sz w:val="20"/>
                <w:szCs w:val="20"/>
              </w:rPr>
              <w:t xml:space="preserve">buyer only</w:t>
            </w:r>
          </w:p>
        </w:tc>
        <w:tc>
          <w:tcPr>
            <w:tcW w:type="dxa" w:w="12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0" w:before="20" w:line="240"/>
              <w:jc w:val="center"/>
            </w:pPr>
            <w:r>
              <w:rPr>
                <w:rFonts w:ascii="Times New Roman" w:cs="Times New Roman" w:eastAsia="Times New Roman" w:hAnsi="Times New Roman"/>
                <w:b/>
                <w:bCs/>
                <w:i w:val="false"/>
                <w:iCs w:val="false"/>
                <w:color w:val="000000"/>
                <w:sz w:val="20"/>
                <w:szCs w:val="20"/>
              </w:rPr>
              <w:t xml:space="preserve">Mean buyers</w:t>
            </w:r>
          </w:p>
          <w:p>
            <w:pPr>
              <w:spacing w:after="20" w:before="0" w:line="240"/>
              <w:jc w:val="center"/>
            </w:pPr>
            <w:r>
              <w:rPr>
                <w:rFonts w:ascii="Times New Roman" w:cs="Times New Roman" w:eastAsia="Times New Roman" w:hAnsi="Times New Roman"/>
                <w:b/>
                <w:bCs/>
                <w:i w:val="false"/>
                <w:iCs w:val="false"/>
                <w:color w:val="000000"/>
                <w:sz w:val="20"/>
                <w:szCs w:val="20"/>
              </w:rPr>
              <w:t xml:space="preserve">per fisher</w:t>
            </w:r>
          </w:p>
        </w:tc>
        <w:tc>
          <w:tcPr>
            <w:tcW w:type="dxa" w:w="10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0" w:before="20" w:line="240"/>
              <w:jc w:val="center"/>
            </w:pPr>
            <w:r>
              <w:rPr>
                <w:rFonts w:ascii="Times New Roman" w:cs="Times New Roman" w:eastAsia="Times New Roman" w:hAnsi="Times New Roman"/>
                <w:b/>
                <w:bCs/>
                <w:i w:val="false"/>
                <w:iCs w:val="false"/>
                <w:color w:val="000000"/>
                <w:sz w:val="20"/>
                <w:szCs w:val="20"/>
              </w:rPr>
              <w:t xml:space="preserve">Fishers</w:t>
            </w:r>
          </w:p>
          <w:p>
            <w:pPr>
              <w:spacing w:after="20" w:before="0" w:line="240"/>
              <w:jc w:val="center"/>
            </w:pPr>
            <w:r>
              <w:rPr>
                <w:rFonts w:ascii="Times New Roman" w:cs="Times New Roman" w:eastAsia="Times New Roman" w:hAnsi="Times New Roman"/>
                <w:b/>
                <w:bCs/>
                <w:i w:val="false"/>
                <w:iCs w:val="false"/>
                <w:color w:val="000000"/>
                <w:sz w:val="20"/>
                <w:szCs w:val="20"/>
              </w:rPr>
              <w:t xml:space="preserve">sampled</w:t>
            </w:r>
          </w:p>
        </w:tc>
        <w:tc>
          <w:tcPr>
            <w:tcW w:type="dxa" w:w="11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0" w:before="20" w:line="240"/>
              <w:jc w:val="center"/>
            </w:pPr>
            <w:r>
              <w:rPr>
                <w:rFonts w:ascii="Times New Roman" w:cs="Times New Roman" w:eastAsia="Times New Roman" w:hAnsi="Times New Roman"/>
                <w:b/>
                <w:bCs/>
                <w:i w:val="false"/>
                <w:iCs w:val="false"/>
                <w:color w:val="000000"/>
                <w:sz w:val="20"/>
                <w:szCs w:val="20"/>
              </w:rPr>
              <w:t xml:space="preserve">Middlemen</w:t>
            </w:r>
          </w:p>
          <w:p>
            <w:pPr>
              <w:spacing w:after="20" w:before="0" w:line="240"/>
              <w:jc w:val="center"/>
            </w:pPr>
            <w:r>
              <w:rPr>
                <w:rFonts w:ascii="Times New Roman" w:cs="Times New Roman" w:eastAsia="Times New Roman" w:hAnsi="Times New Roman"/>
                <w:b/>
                <w:bCs/>
                <w:i w:val="false"/>
                <w:iCs w:val="false"/>
                <w:color w:val="000000"/>
                <w:sz w:val="20"/>
                <w:szCs w:val="20"/>
              </w:rPr>
              <w:t xml:space="preserve">sampled</w:t>
            </w:r>
          </w:p>
        </w:tc>
        <w:tc>
          <w:tcPr>
            <w:tcW w:type="dxa" w:w="1526"/>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0" w:before="20" w:line="240"/>
              <w:jc w:val="center"/>
            </w:pPr>
            <w:r>
              <w:rPr>
                <w:rFonts w:ascii="Times New Roman" w:cs="Times New Roman" w:eastAsia="Times New Roman" w:hAnsi="Times New Roman"/>
                <w:b/>
                <w:bCs/>
                <w:i w:val="false"/>
                <w:iCs w:val="false"/>
                <w:color w:val="000000"/>
                <w:sz w:val="20"/>
                <w:szCs w:val="20"/>
              </w:rPr>
              <w:t xml:space="preserve">Fishers per</w:t>
            </w:r>
          </w:p>
          <w:p>
            <w:pPr>
              <w:spacing w:after="20" w:before="0" w:line="240"/>
              <w:jc w:val="center"/>
            </w:pPr>
            <w:r>
              <w:rPr>
                <w:rFonts w:ascii="Times New Roman" w:cs="Times New Roman" w:eastAsia="Times New Roman" w:hAnsi="Times New Roman"/>
                <w:b/>
                <w:bCs/>
                <w:i w:val="false"/>
                <w:iCs w:val="false"/>
                <w:color w:val="000000"/>
                <w:sz w:val="20"/>
                <w:szCs w:val="20"/>
              </w:rPr>
              <w:t xml:space="preserve">middleman</w:t>
            </w:r>
          </w:p>
        </w:tc>
      </w:tr>
      <w:tr>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Shimoni</w:t>
            </w:r>
          </w:p>
        </w:tc>
        <w:tc>
          <w:tcPr>
            <w:tcW w:type="dxa" w:w="11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25</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17 (68.0%)</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1.32</w:t>
            </w:r>
          </w:p>
        </w:tc>
        <w:tc>
          <w:tcPr>
            <w:tcW w:type="dxa" w:w="10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25</w:t>
            </w:r>
          </w:p>
        </w:tc>
        <w:tc>
          <w:tcPr>
            <w:tcW w:type="dxa" w:w="11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11</w:t>
            </w:r>
          </w:p>
        </w:tc>
        <w:tc>
          <w:tcPr>
            <w:tcW w:type="dxa" w:w="15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2.27 : 1</w:t>
            </w:r>
          </w:p>
        </w:tc>
      </w:tr>
      <w:tr>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Majoreni</w:t>
            </w:r>
          </w:p>
        </w:tc>
        <w:tc>
          <w:tcPr>
            <w:tcW w:type="dxa" w:w="11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14</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10 (71.4%)</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1.29</w:t>
            </w:r>
          </w:p>
        </w:tc>
        <w:tc>
          <w:tcPr>
            <w:tcW w:type="dxa" w:w="10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14</w:t>
            </w:r>
          </w:p>
        </w:tc>
        <w:tc>
          <w:tcPr>
            <w:tcW w:type="dxa" w:w="11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7</w:t>
            </w:r>
          </w:p>
        </w:tc>
        <w:tc>
          <w:tcPr>
            <w:tcW w:type="dxa" w:w="15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2.00 : 1</w:t>
            </w:r>
          </w:p>
        </w:tc>
      </w:tr>
      <w:tr>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Vanga</w:t>
            </w:r>
          </w:p>
        </w:tc>
        <w:tc>
          <w:tcPr>
            <w:tcW w:type="dxa" w:w="11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21</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18 (85.7%)</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1.14</w:t>
            </w:r>
          </w:p>
        </w:tc>
        <w:tc>
          <w:tcPr>
            <w:tcW w:type="dxa" w:w="10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21</w:t>
            </w:r>
          </w:p>
        </w:tc>
        <w:tc>
          <w:tcPr>
            <w:tcW w:type="dxa" w:w="11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4</w:t>
            </w:r>
          </w:p>
        </w:tc>
        <w:tc>
          <w:tcPr>
            <w:tcW w:type="dxa" w:w="15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5.25 : 1</w:t>
            </w:r>
          </w:p>
        </w:tc>
      </w:tr>
      <w:tr>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Msambweni</w:t>
            </w:r>
          </w:p>
        </w:tc>
        <w:tc>
          <w:tcPr>
            <w:tcW w:type="dxa" w:w="11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3</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3 (100.0%)</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1.00</w:t>
            </w:r>
          </w:p>
        </w:tc>
        <w:tc>
          <w:tcPr>
            <w:tcW w:type="dxa" w:w="10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3</w:t>
            </w:r>
          </w:p>
        </w:tc>
        <w:tc>
          <w:tcPr>
            <w:tcW w:type="dxa" w:w="11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w:t>
            </w:r>
          </w:p>
        </w:tc>
        <w:tc>
          <w:tcPr>
            <w:tcW w:type="dxa" w:w="15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no trader sampled</w:t>
            </w:r>
          </w:p>
        </w:tc>
      </w:tr>
      <w:tr>
        <w:tc>
          <w:tcPr>
            <w:tcW w:type="dxa" w:w="150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All four BMUs</w:t>
            </w:r>
          </w:p>
        </w:tc>
        <w:tc>
          <w:tcPr>
            <w:tcW w:type="dxa" w:w="115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65</w:t>
            </w:r>
          </w:p>
        </w:tc>
        <w:tc>
          <w:tcPr>
            <w:tcW w:type="dxa" w:w="140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50 (76.9%)</w:t>
            </w:r>
          </w:p>
        </w:tc>
        <w:tc>
          <w:tcPr>
            <w:tcW w:type="dxa" w:w="125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1.23</w:t>
            </w:r>
          </w:p>
        </w:tc>
        <w:tc>
          <w:tcPr>
            <w:tcW w:type="dxa" w:w="105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65</w:t>
            </w:r>
          </w:p>
        </w:tc>
        <w:tc>
          <w:tcPr>
            <w:tcW w:type="dxa" w:w="115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22</w:t>
            </w:r>
          </w:p>
        </w:tc>
        <w:tc>
          <w:tcPr>
            <w:tcW w:type="dxa" w:w="1526"/>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2.95 : 1</w:t>
            </w:r>
          </w:p>
        </w:tc>
      </w:tr>
    </w:tbl>
    <w:p>
      <w:pPr>
        <w:spacing w:after="120" w:before="0" w:line="360"/>
        <w:jc w:val="both"/>
      </w:pPr>
      <w:r>
        <w:rPr>
          <w:rFonts w:ascii="Times New Roman" w:cs="Times New Roman" w:eastAsia="Times New Roman" w:hAnsi="Times New Roman"/>
          <w:color w:val="000000"/>
          <w:sz w:val="24"/>
          <w:szCs w:val="24"/>
        </w:rPr>
        <w:t xml:space="preserve">Table 41 approaches the same structure from the seller’s side. 50 of the 65 fishers who answered (76.9%) sold to a single buyer, and the mean across all fishers was 1.23 buyers. The single-buyer share ran from 68.0% at Shimoni to 85.7% at Vanga and all three fishers at Msambweni. Set against that, 65 fishers were sampled against 22 middlemen, 2.95 harvesters for every trader, rising to 5.25 at Vanga and falling to 2.00 at Majoreni. Every fisher in the sample also described his main buyer as a regular one and reported being tied to a trader, so the single-buyer figure is not a matter of convenience on the day.</w:t>
      </w:r>
    </w:p>
    <w:p>
      <w:pPr>
        <w:spacing w:after="120" w:before="0" w:line="360"/>
        <w:jc w:val="both"/>
      </w:pPr>
      <w:r>
        <w:rPr>
          <w:rFonts w:ascii="Times New Roman" w:cs="Times New Roman" w:eastAsia="Times New Roman" w:hAnsi="Times New Roman"/>
          <w:color w:val="000000"/>
          <w:sz w:val="24"/>
          <w:szCs w:val="24"/>
        </w:rPr>
        <w:t xml:space="preserve">Two cautions belong with these numbers. They measure where harvesters take their catch, not how much crab each buying point handles, so a point that many fishers name but that buys little from each would be overweighted. They also rest on the fishers sampled at a site rather than on every fisher working there. Neither caution changes the direction: at three of the four BMUs more than two thirds of the harvesters interviewed carried their catch to one place, and more than three quarters dealt with one buyer when they got there.</w:t>
      </w:r>
    </w:p>
    <w:p>
      <w:pPr>
        <w:pStyle w:val="Heading3"/>
        <w:spacing w:after="120" w:before="240" w:line="360"/>
      </w:pPr>
      <w:r>
        <w:rPr>
          <w:rFonts w:ascii="Times New Roman" w:cs="Times New Roman" w:eastAsia="Times New Roman" w:hAnsi="Times New Roman"/>
          <w:b/>
          <w:bCs/>
          <w:color w:val="000000"/>
          <w:sz w:val="24"/>
          <w:szCs w:val="24"/>
        </w:rPr>
        <w:t xml:space="preserve">4.4.11 Marketing Margins and the Distribution of Value</w:t>
      </w:r>
    </w:p>
    <w:p>
      <w:pPr>
        <w:spacing w:after="120" w:before="0" w:line="360"/>
        <w:jc w:val="both"/>
      </w:pPr>
      <w:r>
        <w:rPr>
          <w:rFonts w:ascii="Times New Roman" w:cs="Times New Roman" w:eastAsia="Times New Roman" w:hAnsi="Times New Roman"/>
          <w:color w:val="000000"/>
          <w:sz w:val="24"/>
          <w:szCs w:val="24"/>
        </w:rPr>
        <w:t xml:space="preserve">Reading the four node prices as one chain shows where the final price accumulates. Two end points were available: large crabs leaving the middleman for an exporter finished at KSh 1,700.0 per kilogram and those going to a hotel kitchen at KSh 2,200.0. The margin at a node is what an actor adds between buying and selling, expressed against his own selling price; the producer’s share asks how much of the final price reaches the person who caught the crab.</w:t>
      </w:r>
    </w:p>
    <w:p>
      <w:pPr>
        <w:spacing w:after="0" w:before="240" w:line="240"/>
      </w:pPr>
      <w:r>
        <w:rPr>
          <w:rFonts w:ascii="Times New Roman" w:cs="Times New Roman" w:eastAsia="Times New Roman" w:hAnsi="Times New Roman"/>
          <w:b/>
          <w:bCs/>
          <w:color w:val="000000"/>
          <w:sz w:val="24"/>
          <w:szCs w:val="24"/>
        </w:rPr>
        <w:t xml:space="preserve">Table 42</w:t>
      </w:r>
    </w:p>
    <w:p>
      <w:pPr>
        <w:spacing w:after="120" w:before="0" w:line="240"/>
      </w:pPr>
      <w:r>
        <w:rPr>
          <w:rFonts w:ascii="Times New Roman" w:cs="Times New Roman" w:eastAsia="Times New Roman" w:hAnsi="Times New Roman"/>
          <w:b w:val="false"/>
          <w:bCs w:val="false"/>
          <w:i/>
          <w:iCs/>
          <w:color w:val="000000"/>
          <w:sz w:val="24"/>
          <w:szCs w:val="24"/>
        </w:rPr>
        <w:t xml:space="preserve">Marketing Margins and the Distribution of the Final Chain Price Across Actor Nodes</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2400"/>
        <w:gridCol w:w="1450"/>
        <w:gridCol w:w="1900"/>
        <w:gridCol w:w="1750"/>
        <w:gridCol w:w="1526"/>
      </w:tblGrid>
      <w:tr>
        <w:trPr>
          <w:tblHeader/>
        </w:trPr>
        <w:tc>
          <w:tcPr>
            <w:tcW w:type="dxa" w:w="24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20"/>
                <w:szCs w:val="20"/>
              </w:rPr>
              <w:t xml:space="preserve">Market node</w:t>
            </w:r>
          </w:p>
        </w:tc>
        <w:tc>
          <w:tcPr>
            <w:tcW w:type="dxa" w:w="14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0" w:before="20" w:line="240"/>
              <w:jc w:val="center"/>
            </w:pPr>
            <w:r>
              <w:rPr>
                <w:rFonts w:ascii="Times New Roman" w:cs="Times New Roman" w:eastAsia="Times New Roman" w:hAnsi="Times New Roman"/>
                <w:b/>
                <w:bCs/>
                <w:i w:val="false"/>
                <w:iCs w:val="false"/>
                <w:color w:val="000000"/>
                <w:sz w:val="20"/>
                <w:szCs w:val="20"/>
              </w:rPr>
              <w:t xml:space="preserve">Mean price</w:t>
            </w:r>
          </w:p>
          <w:p>
            <w:pPr>
              <w:spacing w:after="20" w:before="0" w:line="240"/>
              <w:jc w:val="center"/>
            </w:pPr>
            <w:r>
              <w:rPr>
                <w:rFonts w:ascii="Times New Roman" w:cs="Times New Roman" w:eastAsia="Times New Roman" w:hAnsi="Times New Roman"/>
                <w:b/>
                <w:bCs/>
                <w:i w:val="false"/>
                <w:iCs w:val="false"/>
                <w:color w:val="000000"/>
                <w:sz w:val="20"/>
                <w:szCs w:val="20"/>
              </w:rPr>
              <w:t xml:space="preserve">(KSh/kg)</w:t>
            </w:r>
          </w:p>
        </w:tc>
        <w:tc>
          <w:tcPr>
            <w:tcW w:type="dxa" w:w="19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0" w:before="20" w:line="240"/>
              <w:jc w:val="center"/>
            </w:pPr>
            <w:r>
              <w:rPr>
                <w:rFonts w:ascii="Times New Roman" w:cs="Times New Roman" w:eastAsia="Times New Roman" w:hAnsi="Times New Roman"/>
                <w:b/>
                <w:bCs/>
                <w:i w:val="false"/>
                <w:iCs w:val="false"/>
                <w:color w:val="000000"/>
                <w:sz w:val="20"/>
                <w:szCs w:val="20"/>
              </w:rPr>
              <w:t xml:space="preserve">Value retained or</w:t>
            </w:r>
          </w:p>
          <w:p>
            <w:pPr>
              <w:spacing w:after="20" w:before="0" w:line="240"/>
              <w:jc w:val="center"/>
            </w:pPr>
            <w:r>
              <w:rPr>
                <w:rFonts w:ascii="Times New Roman" w:cs="Times New Roman" w:eastAsia="Times New Roman" w:hAnsi="Times New Roman"/>
                <w:b/>
                <w:bCs/>
                <w:i w:val="false"/>
                <w:iCs w:val="false"/>
                <w:color w:val="000000"/>
                <w:sz w:val="20"/>
                <w:szCs w:val="20"/>
              </w:rPr>
              <w:t xml:space="preserve">margin added (KSh/kg)</w:t>
            </w:r>
          </w:p>
        </w:tc>
        <w:tc>
          <w:tcPr>
            <w:tcW w:type="dxa" w:w="17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0" w:before="20" w:line="240"/>
              <w:jc w:val="center"/>
            </w:pPr>
            <w:r>
              <w:rPr>
                <w:rFonts w:ascii="Times New Roman" w:cs="Times New Roman" w:eastAsia="Times New Roman" w:hAnsi="Times New Roman"/>
                <w:b/>
                <w:bCs/>
                <w:i w:val="false"/>
                <w:iCs w:val="false"/>
                <w:color w:val="000000"/>
                <w:sz w:val="20"/>
                <w:szCs w:val="20"/>
              </w:rPr>
              <w:t xml:space="preserve">Margin as % of the</w:t>
            </w:r>
          </w:p>
          <w:p>
            <w:pPr>
              <w:spacing w:after="20" w:before="0" w:line="240"/>
              <w:jc w:val="center"/>
            </w:pPr>
            <w:r>
              <w:rPr>
                <w:rFonts w:ascii="Times New Roman" w:cs="Times New Roman" w:eastAsia="Times New Roman" w:hAnsi="Times New Roman"/>
                <w:b/>
                <w:bCs/>
                <w:i w:val="false"/>
                <w:iCs w:val="false"/>
                <w:color w:val="000000"/>
                <w:sz w:val="20"/>
                <w:szCs w:val="20"/>
              </w:rPr>
              <w:t xml:space="preserve">fisher price</w:t>
            </w:r>
          </w:p>
        </w:tc>
        <w:tc>
          <w:tcPr>
            <w:tcW w:type="dxa" w:w="1526"/>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0" w:before="20" w:line="240"/>
              <w:jc w:val="center"/>
            </w:pPr>
            <w:r>
              <w:rPr>
                <w:rFonts w:ascii="Times New Roman" w:cs="Times New Roman" w:eastAsia="Times New Roman" w:hAnsi="Times New Roman"/>
                <w:b/>
                <w:bCs/>
                <w:i w:val="false"/>
                <w:iCs w:val="false"/>
                <w:color w:val="000000"/>
                <w:sz w:val="20"/>
                <w:szCs w:val="20"/>
              </w:rPr>
              <w:t xml:space="preserve">% of the final</w:t>
            </w:r>
          </w:p>
          <w:p>
            <w:pPr>
              <w:spacing w:after="20" w:before="0" w:line="240"/>
              <w:jc w:val="center"/>
            </w:pPr>
            <w:r>
              <w:rPr>
                <w:rFonts w:ascii="Times New Roman" w:cs="Times New Roman" w:eastAsia="Times New Roman" w:hAnsi="Times New Roman"/>
                <w:b/>
                <w:bCs/>
                <w:i w:val="false"/>
                <w:iCs w:val="false"/>
                <w:color w:val="000000"/>
                <w:sz w:val="20"/>
                <w:szCs w:val="20"/>
              </w:rPr>
              <w:t xml:space="preserve">chain price</w:t>
            </w:r>
          </w:p>
        </w:tc>
      </w:tr>
      <w:tr>
        <w:tc>
          <w:tcPr>
            <w:tcW w:type="dxa" w:w="9026"/>
            <w:gridSpan w:val="5"/>
            <w:tcBorders>
              <w:top w:val="none" w:color="FFFFFF" w:sz="0"/>
              <w:left w:val="none" w:color="FFFFFF" w:sz="0"/>
              <w:bottom w:val="none" w:color="FFFFFF" w:sz="0"/>
              <w:right w:val="none" w:color="FFFFFF" w:sz="0"/>
            </w:tcBorders>
            <w:tcMar>
              <w:top w:type="dxa" w:w="90"/>
              <w:left w:type="dxa" w:w="90"/>
              <w:bottom w:type="dxa" w:w="30"/>
              <w:right w:type="dxa" w:w="90"/>
            </w:tcMar>
          </w:tcPr>
          <w:p>
            <w:pPr>
              <w:spacing w:after="20" w:before="20" w:line="240"/>
              <w:jc w:val="left"/>
            </w:pPr>
            <w:r>
              <w:rPr>
                <w:rFonts w:ascii="Times New Roman" w:cs="Times New Roman" w:eastAsia="Times New Roman" w:hAnsi="Times New Roman"/>
                <w:b w:val="false"/>
                <w:bCs w:val="false"/>
                <w:i/>
                <w:iCs/>
                <w:color w:val="000000"/>
                <w:sz w:val="20"/>
                <w:szCs w:val="20"/>
              </w:rPr>
              <w:t xml:space="preserve">Large (Grade A) sold on to exporters</w:t>
            </w:r>
          </w:p>
        </w:tc>
      </w:tr>
      <w:tr>
        <w:tc>
          <w:tcPr>
            <w:tcW w:type="dxa" w:w="2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Fisher (first sale)</w:t>
            </w:r>
          </w:p>
        </w:tc>
        <w:tc>
          <w:tcPr>
            <w:tcW w:type="dxa" w:w="14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604.6</w:t>
            </w:r>
          </w:p>
        </w:tc>
        <w:tc>
          <w:tcPr>
            <w:tcW w:type="dxa" w:w="1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604.6</w:t>
            </w:r>
          </w:p>
        </w:tc>
        <w:tc>
          <w:tcPr>
            <w:tcW w:type="dxa" w:w="17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15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35.6</w:t>
            </w:r>
          </w:p>
        </w:tc>
      </w:tr>
      <w:tr>
        <w:tc>
          <w:tcPr>
            <w:tcW w:type="dxa" w:w="2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Middleman</w:t>
            </w:r>
          </w:p>
        </w:tc>
        <w:tc>
          <w:tcPr>
            <w:tcW w:type="dxa" w:w="14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945.5</w:t>
            </w:r>
          </w:p>
        </w:tc>
        <w:tc>
          <w:tcPr>
            <w:tcW w:type="dxa" w:w="1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340.8</w:t>
            </w:r>
          </w:p>
        </w:tc>
        <w:tc>
          <w:tcPr>
            <w:tcW w:type="dxa" w:w="17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56.4</w:t>
            </w:r>
          </w:p>
        </w:tc>
        <w:tc>
          <w:tcPr>
            <w:tcW w:type="dxa" w:w="15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20.0</w:t>
            </w:r>
          </w:p>
        </w:tc>
      </w:tr>
      <w:tr>
        <w:tc>
          <w:tcPr>
            <w:tcW w:type="dxa" w:w="2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Exporter (end of chain)</w:t>
            </w:r>
          </w:p>
        </w:tc>
        <w:tc>
          <w:tcPr>
            <w:tcW w:type="dxa" w:w="14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1,700.0</w:t>
            </w:r>
          </w:p>
        </w:tc>
        <w:tc>
          <w:tcPr>
            <w:tcW w:type="dxa" w:w="1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754.5</w:t>
            </w:r>
          </w:p>
        </w:tc>
        <w:tc>
          <w:tcPr>
            <w:tcW w:type="dxa" w:w="17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124.8</w:t>
            </w:r>
          </w:p>
        </w:tc>
        <w:tc>
          <w:tcPr>
            <w:tcW w:type="dxa" w:w="15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44.4</w:t>
            </w:r>
          </w:p>
        </w:tc>
      </w:tr>
      <w:tr>
        <w:tc>
          <w:tcPr>
            <w:tcW w:type="dxa" w:w="2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Hotelier (not in this chain)</w:t>
            </w:r>
          </w:p>
        </w:tc>
        <w:tc>
          <w:tcPr>
            <w:tcW w:type="dxa" w:w="14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1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17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15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r>
      <w:tr>
        <w:tc>
          <w:tcPr>
            <w:tcW w:type="dxa" w:w="9026"/>
            <w:gridSpan w:val="5"/>
            <w:tcBorders>
              <w:top w:val="none" w:color="FFFFFF" w:sz="0"/>
              <w:left w:val="none" w:color="FFFFFF" w:sz="0"/>
              <w:bottom w:val="none" w:color="FFFFFF" w:sz="0"/>
              <w:right w:val="none" w:color="FFFFFF" w:sz="0"/>
            </w:tcBorders>
            <w:tcMar>
              <w:top w:type="dxa" w:w="90"/>
              <w:left w:type="dxa" w:w="90"/>
              <w:bottom w:type="dxa" w:w="30"/>
              <w:right w:type="dxa" w:w="90"/>
            </w:tcMar>
          </w:tcPr>
          <w:p>
            <w:pPr>
              <w:spacing w:after="20" w:before="20" w:line="240"/>
              <w:jc w:val="left"/>
            </w:pPr>
            <w:r>
              <w:rPr>
                <w:rFonts w:ascii="Times New Roman" w:cs="Times New Roman" w:eastAsia="Times New Roman" w:hAnsi="Times New Roman"/>
                <w:b w:val="false"/>
                <w:bCs w:val="false"/>
                <w:i/>
                <w:iCs/>
                <w:color w:val="000000"/>
                <w:sz w:val="20"/>
                <w:szCs w:val="20"/>
              </w:rPr>
              <w:t xml:space="preserve">Large (Grade A) sold on to hoteliers</w:t>
            </w:r>
          </w:p>
        </w:tc>
      </w:tr>
      <w:tr>
        <w:tc>
          <w:tcPr>
            <w:tcW w:type="dxa" w:w="2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Fisher (first sale)</w:t>
            </w:r>
          </w:p>
        </w:tc>
        <w:tc>
          <w:tcPr>
            <w:tcW w:type="dxa" w:w="14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604.6</w:t>
            </w:r>
          </w:p>
        </w:tc>
        <w:tc>
          <w:tcPr>
            <w:tcW w:type="dxa" w:w="1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604.6</w:t>
            </w:r>
          </w:p>
        </w:tc>
        <w:tc>
          <w:tcPr>
            <w:tcW w:type="dxa" w:w="17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15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27.5</w:t>
            </w:r>
          </w:p>
        </w:tc>
      </w:tr>
      <w:tr>
        <w:tc>
          <w:tcPr>
            <w:tcW w:type="dxa" w:w="2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Middleman</w:t>
            </w:r>
          </w:p>
        </w:tc>
        <w:tc>
          <w:tcPr>
            <w:tcW w:type="dxa" w:w="14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945.5</w:t>
            </w:r>
          </w:p>
        </w:tc>
        <w:tc>
          <w:tcPr>
            <w:tcW w:type="dxa" w:w="1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340.8</w:t>
            </w:r>
          </w:p>
        </w:tc>
        <w:tc>
          <w:tcPr>
            <w:tcW w:type="dxa" w:w="17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56.4</w:t>
            </w:r>
          </w:p>
        </w:tc>
        <w:tc>
          <w:tcPr>
            <w:tcW w:type="dxa" w:w="15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15.5</w:t>
            </w:r>
          </w:p>
        </w:tc>
      </w:tr>
      <w:tr>
        <w:tc>
          <w:tcPr>
            <w:tcW w:type="dxa" w:w="2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Hotelier (end of chain)</w:t>
            </w:r>
          </w:p>
        </w:tc>
        <w:tc>
          <w:tcPr>
            <w:tcW w:type="dxa" w:w="14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2,200.0</w:t>
            </w:r>
          </w:p>
        </w:tc>
        <w:tc>
          <w:tcPr>
            <w:tcW w:type="dxa" w:w="1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1,254.5</w:t>
            </w:r>
          </w:p>
        </w:tc>
        <w:tc>
          <w:tcPr>
            <w:tcW w:type="dxa" w:w="17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207.5</w:t>
            </w:r>
          </w:p>
        </w:tc>
        <w:tc>
          <w:tcPr>
            <w:tcW w:type="dxa" w:w="15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57.0</w:t>
            </w:r>
          </w:p>
        </w:tc>
      </w:tr>
      <w:tr>
        <w:tc>
          <w:tcPr>
            <w:tcW w:type="dxa" w:w="2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Exporter (not in this chain)</w:t>
            </w:r>
          </w:p>
        </w:tc>
        <w:tc>
          <w:tcPr>
            <w:tcW w:type="dxa" w:w="14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1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17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15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r>
      <w:tr>
        <w:tc>
          <w:tcPr>
            <w:tcW w:type="dxa" w:w="9026"/>
            <w:gridSpan w:val="5"/>
            <w:tcBorders>
              <w:top w:val="none" w:color="FFFFFF" w:sz="0"/>
              <w:left w:val="none" w:color="FFFFFF" w:sz="0"/>
              <w:bottom w:val="none" w:color="FFFFFF" w:sz="0"/>
              <w:right w:val="none" w:color="FFFFFF" w:sz="0"/>
            </w:tcBorders>
            <w:tcMar>
              <w:top w:type="dxa" w:w="90"/>
              <w:left w:type="dxa" w:w="90"/>
              <w:bottom w:type="dxa" w:w="30"/>
              <w:right w:type="dxa" w:w="90"/>
            </w:tcMar>
          </w:tcPr>
          <w:p>
            <w:pPr>
              <w:spacing w:after="20" w:before="20" w:line="240"/>
              <w:jc w:val="left"/>
            </w:pPr>
            <w:r>
              <w:rPr>
                <w:rFonts w:ascii="Times New Roman" w:cs="Times New Roman" w:eastAsia="Times New Roman" w:hAnsi="Times New Roman"/>
                <w:b w:val="false"/>
                <w:bCs w:val="false"/>
                <w:i/>
                <w:iCs/>
                <w:color w:val="000000"/>
                <w:sz w:val="20"/>
                <w:szCs w:val="20"/>
              </w:rPr>
              <w:t xml:space="preserve">Medium (Grade B) sold on to exporters</w:t>
            </w:r>
          </w:p>
        </w:tc>
      </w:tr>
      <w:tr>
        <w:tc>
          <w:tcPr>
            <w:tcW w:type="dxa" w:w="2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Fisher (first sale)</w:t>
            </w:r>
          </w:p>
        </w:tc>
        <w:tc>
          <w:tcPr>
            <w:tcW w:type="dxa" w:w="14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514.6</w:t>
            </w:r>
          </w:p>
        </w:tc>
        <w:tc>
          <w:tcPr>
            <w:tcW w:type="dxa" w:w="1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514.6</w:t>
            </w:r>
          </w:p>
        </w:tc>
        <w:tc>
          <w:tcPr>
            <w:tcW w:type="dxa" w:w="17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15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39.6</w:t>
            </w:r>
          </w:p>
        </w:tc>
      </w:tr>
      <w:tr>
        <w:tc>
          <w:tcPr>
            <w:tcW w:type="dxa" w:w="2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Middleman</w:t>
            </w:r>
          </w:p>
        </w:tc>
        <w:tc>
          <w:tcPr>
            <w:tcW w:type="dxa" w:w="14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718.2</w:t>
            </w:r>
          </w:p>
        </w:tc>
        <w:tc>
          <w:tcPr>
            <w:tcW w:type="dxa" w:w="1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203.6</w:t>
            </w:r>
          </w:p>
        </w:tc>
        <w:tc>
          <w:tcPr>
            <w:tcW w:type="dxa" w:w="17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39.6</w:t>
            </w:r>
          </w:p>
        </w:tc>
        <w:tc>
          <w:tcPr>
            <w:tcW w:type="dxa" w:w="15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15.7</w:t>
            </w:r>
          </w:p>
        </w:tc>
      </w:tr>
      <w:tr>
        <w:tc>
          <w:tcPr>
            <w:tcW w:type="dxa" w:w="2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Exporter (end of chain)</w:t>
            </w:r>
          </w:p>
        </w:tc>
        <w:tc>
          <w:tcPr>
            <w:tcW w:type="dxa" w:w="14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1,300.0</w:t>
            </w:r>
          </w:p>
        </w:tc>
        <w:tc>
          <w:tcPr>
            <w:tcW w:type="dxa" w:w="1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581.8</w:t>
            </w:r>
          </w:p>
        </w:tc>
        <w:tc>
          <w:tcPr>
            <w:tcW w:type="dxa" w:w="17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113.1</w:t>
            </w:r>
          </w:p>
        </w:tc>
        <w:tc>
          <w:tcPr>
            <w:tcW w:type="dxa" w:w="15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44.8</w:t>
            </w:r>
          </w:p>
        </w:tc>
      </w:tr>
      <w:tr>
        <w:tc>
          <w:tcPr>
            <w:tcW w:type="dxa" w:w="240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Hotelier (not in this chain)</w:t>
            </w:r>
          </w:p>
        </w:tc>
        <w:tc>
          <w:tcPr>
            <w:tcW w:type="dxa" w:w="145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190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175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1526"/>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r>
    </w:tbl>
    <w:p>
      <w:pPr>
        <w:spacing w:after="120" w:before="0" w:line="360"/>
        <w:jc w:val="both"/>
      </w:pPr>
      <w:r>
        <w:rPr>
          <w:rFonts w:ascii="Times New Roman" w:cs="Times New Roman" w:eastAsia="Times New Roman" w:hAnsi="Times New Roman"/>
          <w:color w:val="000000"/>
          <w:sz w:val="24"/>
          <w:szCs w:val="24"/>
        </w:rPr>
        <w:t xml:space="preserve">As shown in Table 42, the fisher kept between a quarter and two fifths of the end price. Large crabs sold on to an exporter left 35.6% with the harvester; the same crabs sold to a hotel left 27.5%. Medium crabs going for export were the fisher’s best case at 39.6%. In every chain the largest single share was added at the last step, 44.4% between the middleman and the exporter and 57.0% between the middleman and the hotel, while the middleman, the actor most often identified with the low beach price, took the smallest share of the three, between 15.5% and 20.0%.</w:t>
      </w:r>
    </w:p>
    <w:p>
      <w:pPr>
        <w:spacing w:after="0" w:before="240" w:line="240"/>
      </w:pPr>
      <w:r>
        <w:rPr>
          <w:rFonts w:ascii="Times New Roman" w:cs="Times New Roman" w:eastAsia="Times New Roman" w:hAnsi="Times New Roman"/>
          <w:b/>
          <w:bCs/>
          <w:color w:val="000000"/>
          <w:sz w:val="24"/>
          <w:szCs w:val="24"/>
        </w:rPr>
        <w:t xml:space="preserve">Table 43</w:t>
      </w:r>
    </w:p>
    <w:p>
      <w:pPr>
        <w:spacing w:after="120" w:before="0" w:line="240"/>
      </w:pPr>
      <w:r>
        <w:rPr>
          <w:rFonts w:ascii="Times New Roman" w:cs="Times New Roman" w:eastAsia="Times New Roman" w:hAnsi="Times New Roman"/>
          <w:b w:val="false"/>
          <w:bCs w:val="false"/>
          <w:i/>
          <w:iCs/>
          <w:color w:val="000000"/>
          <w:sz w:val="24"/>
          <w:szCs w:val="24"/>
        </w:rPr>
        <w:t xml:space="preserve">Gross Marketing Margin, Total Margin and Producer’s Share by Chain</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1710"/>
        <w:gridCol w:w="810"/>
        <w:gridCol w:w="900"/>
        <w:gridCol w:w="900"/>
        <w:gridCol w:w="900"/>
        <w:gridCol w:w="900"/>
        <w:gridCol w:w="765"/>
        <w:gridCol w:w="900"/>
        <w:gridCol w:w="1241"/>
      </w:tblGrid>
      <w:tr>
        <w:trPr>
          <w:tblHeader/>
        </w:trPr>
        <w:tc>
          <w:tcPr>
            <w:tcW w:type="dxa" w:w="171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17"/>
                <w:szCs w:val="17"/>
              </w:rPr>
              <w:t xml:space="preserve">Chain</w:t>
            </w:r>
          </w:p>
        </w:tc>
        <w:tc>
          <w:tcPr>
            <w:tcW w:type="dxa" w:w="81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0" w:before="20" w:line="240"/>
              <w:jc w:val="center"/>
            </w:pPr>
            <w:r>
              <w:rPr>
                <w:rFonts w:ascii="Times New Roman" w:cs="Times New Roman" w:eastAsia="Times New Roman" w:hAnsi="Times New Roman"/>
                <w:b/>
                <w:bCs/>
                <w:i w:val="false"/>
                <w:iCs w:val="false"/>
                <w:color w:val="000000"/>
                <w:sz w:val="17"/>
                <w:szCs w:val="17"/>
              </w:rPr>
              <w:t xml:space="preserve">Fisher</w:t>
            </w:r>
          </w:p>
          <w:p>
            <w:pPr>
              <w:spacing w:after="20" w:before="0" w:line="240"/>
              <w:jc w:val="center"/>
            </w:pPr>
            <w:r>
              <w:rPr>
                <w:rFonts w:ascii="Times New Roman" w:cs="Times New Roman" w:eastAsia="Times New Roman" w:hAnsi="Times New Roman"/>
                <w:b/>
                <w:bCs/>
                <w:i w:val="false"/>
                <w:iCs w:val="false"/>
                <w:color w:val="000000"/>
                <w:sz w:val="17"/>
                <w:szCs w:val="17"/>
              </w:rPr>
              <w:t xml:space="preserve">KSh/kg</w:t>
            </w:r>
          </w:p>
        </w:tc>
        <w:tc>
          <w:tcPr>
            <w:tcW w:type="dxa" w:w="9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0" w:before="20" w:line="240"/>
              <w:jc w:val="center"/>
            </w:pPr>
            <w:r>
              <w:rPr>
                <w:rFonts w:ascii="Times New Roman" w:cs="Times New Roman" w:eastAsia="Times New Roman" w:hAnsi="Times New Roman"/>
                <w:b/>
                <w:bCs/>
                <w:i w:val="false"/>
                <w:iCs w:val="false"/>
                <w:color w:val="000000"/>
                <w:sz w:val="17"/>
                <w:szCs w:val="17"/>
              </w:rPr>
              <w:t xml:space="preserve">Middleman</w:t>
            </w:r>
          </w:p>
          <w:p>
            <w:pPr>
              <w:spacing w:after="20" w:before="0" w:line="240"/>
              <w:jc w:val="center"/>
            </w:pPr>
            <w:r>
              <w:rPr>
                <w:rFonts w:ascii="Times New Roman" w:cs="Times New Roman" w:eastAsia="Times New Roman" w:hAnsi="Times New Roman"/>
                <w:b/>
                <w:bCs/>
                <w:i w:val="false"/>
                <w:iCs w:val="false"/>
                <w:color w:val="000000"/>
                <w:sz w:val="17"/>
                <w:szCs w:val="17"/>
              </w:rPr>
              <w:t xml:space="preserve">KSh/kg</w:t>
            </w:r>
          </w:p>
        </w:tc>
        <w:tc>
          <w:tcPr>
            <w:tcW w:type="dxa" w:w="9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0" w:before="20" w:line="240"/>
              <w:jc w:val="center"/>
            </w:pPr>
            <w:r>
              <w:rPr>
                <w:rFonts w:ascii="Times New Roman" w:cs="Times New Roman" w:eastAsia="Times New Roman" w:hAnsi="Times New Roman"/>
                <w:b/>
                <w:bCs/>
                <w:i w:val="false"/>
                <w:iCs w:val="false"/>
                <w:color w:val="000000"/>
                <w:sz w:val="17"/>
                <w:szCs w:val="17"/>
              </w:rPr>
              <w:t xml:space="preserve">Final node</w:t>
            </w:r>
          </w:p>
          <w:p>
            <w:pPr>
              <w:spacing w:after="20" w:before="0" w:line="240"/>
              <w:jc w:val="center"/>
            </w:pPr>
            <w:r>
              <w:rPr>
                <w:rFonts w:ascii="Times New Roman" w:cs="Times New Roman" w:eastAsia="Times New Roman" w:hAnsi="Times New Roman"/>
                <w:b/>
                <w:bCs/>
                <w:i w:val="false"/>
                <w:iCs w:val="false"/>
                <w:color w:val="000000"/>
                <w:sz w:val="17"/>
                <w:szCs w:val="17"/>
              </w:rPr>
              <w:t xml:space="preserve">KSh/kg</w:t>
            </w:r>
          </w:p>
        </w:tc>
        <w:tc>
          <w:tcPr>
            <w:tcW w:type="dxa" w:w="9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0" w:before="20" w:line="240"/>
              <w:jc w:val="center"/>
            </w:pPr>
            <w:r>
              <w:rPr>
                <w:rFonts w:ascii="Times New Roman" w:cs="Times New Roman" w:eastAsia="Times New Roman" w:hAnsi="Times New Roman"/>
                <w:b/>
                <w:bCs/>
                <w:i w:val="false"/>
                <w:iCs w:val="false"/>
                <w:color w:val="000000"/>
                <w:sz w:val="17"/>
                <w:szCs w:val="17"/>
              </w:rPr>
              <w:t xml:space="preserve">Middleman</w:t>
            </w:r>
          </w:p>
          <w:p>
            <w:pPr>
              <w:spacing w:after="20" w:before="0" w:line="240"/>
              <w:jc w:val="center"/>
            </w:pPr>
            <w:r>
              <w:rPr>
                <w:rFonts w:ascii="Times New Roman" w:cs="Times New Roman" w:eastAsia="Times New Roman" w:hAnsi="Times New Roman"/>
                <w:b/>
                <w:bCs/>
                <w:i w:val="false"/>
                <w:iCs w:val="false"/>
                <w:color w:val="000000"/>
                <w:sz w:val="17"/>
                <w:szCs w:val="17"/>
              </w:rPr>
              <w:t xml:space="preserve">GMM</w:t>
            </w:r>
          </w:p>
        </w:tc>
        <w:tc>
          <w:tcPr>
            <w:tcW w:type="dxa" w:w="9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0" w:before="20" w:line="240"/>
              <w:jc w:val="center"/>
            </w:pPr>
            <w:r>
              <w:rPr>
                <w:rFonts w:ascii="Times New Roman" w:cs="Times New Roman" w:eastAsia="Times New Roman" w:hAnsi="Times New Roman"/>
                <w:b/>
                <w:bCs/>
                <w:i w:val="false"/>
                <w:iCs w:val="false"/>
                <w:color w:val="000000"/>
                <w:sz w:val="17"/>
                <w:szCs w:val="17"/>
              </w:rPr>
              <w:t xml:space="preserve">Final node</w:t>
            </w:r>
          </w:p>
          <w:p>
            <w:pPr>
              <w:spacing w:after="20" w:before="0" w:line="240"/>
              <w:jc w:val="center"/>
            </w:pPr>
            <w:r>
              <w:rPr>
                <w:rFonts w:ascii="Times New Roman" w:cs="Times New Roman" w:eastAsia="Times New Roman" w:hAnsi="Times New Roman"/>
                <w:b/>
                <w:bCs/>
                <w:i w:val="false"/>
                <w:iCs w:val="false"/>
                <w:color w:val="000000"/>
                <w:sz w:val="17"/>
                <w:szCs w:val="17"/>
              </w:rPr>
              <w:t xml:space="preserve">GMM</w:t>
            </w:r>
          </w:p>
        </w:tc>
        <w:tc>
          <w:tcPr>
            <w:tcW w:type="dxa" w:w="765"/>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0" w:before="20" w:line="240"/>
              <w:jc w:val="center"/>
            </w:pPr>
            <w:r>
              <w:rPr>
                <w:rFonts w:ascii="Times New Roman" w:cs="Times New Roman" w:eastAsia="Times New Roman" w:hAnsi="Times New Roman"/>
                <w:b/>
                <w:bCs/>
                <w:i w:val="false"/>
                <w:iCs w:val="false"/>
                <w:color w:val="000000"/>
                <w:sz w:val="17"/>
                <w:szCs w:val="17"/>
              </w:rPr>
              <w:t xml:space="preserve">Total</w:t>
            </w:r>
          </w:p>
          <w:p>
            <w:pPr>
              <w:spacing w:after="20" w:before="0" w:line="240"/>
              <w:jc w:val="center"/>
            </w:pPr>
            <w:r>
              <w:rPr>
                <w:rFonts w:ascii="Times New Roman" w:cs="Times New Roman" w:eastAsia="Times New Roman" w:hAnsi="Times New Roman"/>
                <w:b/>
                <w:bCs/>
                <w:i w:val="false"/>
                <w:iCs w:val="false"/>
                <w:color w:val="000000"/>
                <w:sz w:val="17"/>
                <w:szCs w:val="17"/>
              </w:rPr>
              <w:t xml:space="preserve">GMM</w:t>
            </w:r>
          </w:p>
        </w:tc>
        <w:tc>
          <w:tcPr>
            <w:tcW w:type="dxa" w:w="9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0" w:before="20" w:line="240"/>
              <w:jc w:val="center"/>
            </w:pPr>
            <w:r>
              <w:rPr>
                <w:rFonts w:ascii="Times New Roman" w:cs="Times New Roman" w:eastAsia="Times New Roman" w:hAnsi="Times New Roman"/>
                <w:b/>
                <w:bCs/>
                <w:i w:val="false"/>
                <w:iCs w:val="false"/>
                <w:color w:val="000000"/>
                <w:sz w:val="17"/>
                <w:szCs w:val="17"/>
              </w:rPr>
              <w:t xml:space="preserve">Producer’s</w:t>
            </w:r>
          </w:p>
          <w:p>
            <w:pPr>
              <w:spacing w:after="20" w:before="0" w:line="240"/>
              <w:jc w:val="center"/>
            </w:pPr>
            <w:r>
              <w:rPr>
                <w:rFonts w:ascii="Times New Roman" w:cs="Times New Roman" w:eastAsia="Times New Roman" w:hAnsi="Times New Roman"/>
                <w:b/>
                <w:bCs/>
                <w:i w:val="false"/>
                <w:iCs w:val="false"/>
                <w:color w:val="000000"/>
                <w:sz w:val="17"/>
                <w:szCs w:val="17"/>
              </w:rPr>
              <w:t xml:space="preserve">share</w:t>
            </w:r>
          </w:p>
        </w:tc>
        <w:tc>
          <w:tcPr>
            <w:tcW w:type="dxa" w:w="1241"/>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0" w:before="20" w:line="240"/>
              <w:jc w:val="center"/>
            </w:pPr>
            <w:r>
              <w:rPr>
                <w:rFonts w:ascii="Times New Roman" w:cs="Times New Roman" w:eastAsia="Times New Roman" w:hAnsi="Times New Roman"/>
                <w:b/>
                <w:bCs/>
                <w:i w:val="false"/>
                <w:iCs w:val="false"/>
                <w:color w:val="000000"/>
                <w:sz w:val="17"/>
                <w:szCs w:val="17"/>
              </w:rPr>
              <w:t xml:space="preserve">Producer’s share</w:t>
            </w:r>
          </w:p>
          <w:p>
            <w:pPr>
              <w:spacing w:after="20" w:before="0" w:line="240"/>
              <w:jc w:val="center"/>
            </w:pPr>
            <w:r>
              <w:rPr>
                <w:rFonts w:ascii="Times New Roman" w:cs="Times New Roman" w:eastAsia="Times New Roman" w:hAnsi="Times New Roman"/>
                <w:b/>
                <w:bCs/>
                <w:i w:val="false"/>
                <w:iCs w:val="false"/>
                <w:color w:val="000000"/>
                <w:sz w:val="17"/>
                <w:szCs w:val="17"/>
              </w:rPr>
              <w:t xml:space="preserve">net of loss</w:t>
            </w:r>
          </w:p>
        </w:tc>
      </w:tr>
      <w:tr>
        <w:tc>
          <w:tcPr>
            <w:tcW w:type="dxa" w:w="171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Large (Grade A) sold on to exporters</w:t>
            </w:r>
          </w:p>
        </w:tc>
        <w:tc>
          <w:tcPr>
            <w:tcW w:type="dxa" w:w="81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604.6</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945.5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1,700.0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36.1%</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44.4%</w:t>
            </w:r>
          </w:p>
        </w:tc>
        <w:tc>
          <w:tcPr>
            <w:tcW w:type="dxa" w:w="765"/>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64.4%</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35.6%</w:t>
            </w:r>
          </w:p>
        </w:tc>
        <w:tc>
          <w:tcPr>
            <w:tcW w:type="dxa" w:w="124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31.9%</w:t>
            </w:r>
          </w:p>
        </w:tc>
      </w:tr>
      <w:tr>
        <w:tc>
          <w:tcPr>
            <w:tcW w:type="dxa" w:w="171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Large (Grade A) sold on to hoteliers</w:t>
            </w:r>
          </w:p>
        </w:tc>
        <w:tc>
          <w:tcPr>
            <w:tcW w:type="dxa" w:w="81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604.6</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945.5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2,200.0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36.1%</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57.0%</w:t>
            </w:r>
          </w:p>
        </w:tc>
        <w:tc>
          <w:tcPr>
            <w:tcW w:type="dxa" w:w="765"/>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72.5%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27.5%</w:t>
            </w:r>
          </w:p>
        </w:tc>
        <w:tc>
          <w:tcPr>
            <w:tcW w:type="dxa" w:w="124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24.6%</w:t>
            </w:r>
          </w:p>
        </w:tc>
      </w:tr>
      <w:tr>
        <w:tc>
          <w:tcPr>
            <w:tcW w:type="dxa" w:w="171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Medium (Grade B) sold on to exporters</w:t>
            </w:r>
          </w:p>
        </w:tc>
        <w:tc>
          <w:tcPr>
            <w:tcW w:type="dxa" w:w="81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514.6</w:t>
            </w:r>
          </w:p>
        </w:tc>
        <w:tc>
          <w:tcPr>
            <w:tcW w:type="dxa" w:w="90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718.2</w:t>
            </w:r>
          </w:p>
        </w:tc>
        <w:tc>
          <w:tcPr>
            <w:tcW w:type="dxa" w:w="90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1,300.0</w:t>
            </w:r>
          </w:p>
        </w:tc>
        <w:tc>
          <w:tcPr>
            <w:tcW w:type="dxa" w:w="90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28.3%</w:t>
            </w:r>
          </w:p>
        </w:tc>
        <w:tc>
          <w:tcPr>
            <w:tcW w:type="dxa" w:w="90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44.8%</w:t>
            </w:r>
          </w:p>
        </w:tc>
        <w:tc>
          <w:tcPr>
            <w:tcW w:type="dxa" w:w="765"/>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60.4%</w:t>
            </w:r>
          </w:p>
        </w:tc>
        <w:tc>
          <w:tcPr>
            <w:tcW w:type="dxa" w:w="90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39.6%</w:t>
            </w:r>
          </w:p>
        </w:tc>
        <w:tc>
          <w:tcPr>
            <w:tcW w:type="dxa" w:w="1241"/>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35.5%</w:t>
            </w:r>
          </w:p>
        </w:tc>
      </w:tr>
    </w:tbl>
    <w:p>
      <w:pPr>
        <w:spacing w:after="120" w:before="0" w:line="360"/>
        <w:jc w:val="both"/>
      </w:pPr>
      <w:r>
        <w:rPr>
          <w:rFonts w:ascii="Times New Roman" w:cs="Times New Roman" w:eastAsia="Times New Roman" w:hAnsi="Times New Roman"/>
          <w:color w:val="000000"/>
          <w:sz w:val="24"/>
          <w:szCs w:val="24"/>
        </w:rPr>
        <w:t xml:space="preserve">Table 43 states the same chain as margins. The middleman’s gross marketing margin was 36.1% of his own selling price for large crabs and 28.3% for medium, the final node took 44.4% or 57.0% of his, and the total marketing margin ran from 60.4% to 72.5% of the final price. An exporter paying KSh 945.5 and selling at KSh 1,700.0 works on a spread of KSh 754.5 per kilogram, roughly one and a quarter times what the fisher received for landing the animal.</w:t>
      </w:r>
    </w:p>
    <w:p>
      <w:pPr>
        <w:spacing w:after="120" w:before="0" w:line="360"/>
        <w:jc w:val="both"/>
      </w:pPr>
      <w:r>
        <w:rPr>
          <w:rFonts w:ascii="Times New Roman" w:cs="Times New Roman" w:eastAsia="Times New Roman" w:hAnsi="Times New Roman"/>
          <w:color w:val="000000"/>
          <w:sz w:val="24"/>
          <w:szCs w:val="24"/>
        </w:rPr>
        <w:t xml:space="preserve">These are gross margins. The shares rest on group means rather than on one crab followed from beach to buyer, and the survey priced no transport, holding, ice, packaging or cost of capital, so nothing here is a profit. One cost was measured and belongs in the calculation: fishers reported a mean of 0.75 kg of dead crab a day against a mean daily catch of 7.68 kg, a loss of 10.4% of what they land. Carrying that through cuts the producer’s share from 35.6% to 31.9% in the export chain and from 27.5% to 24.6% in the hotel chain. Middlemen reported a larger absolute loss, a mean of 4.33 kg a day, but the survey did not record the volume they handle, so the same rate cannot be formed for them. The direction is still hard to argue away: the value is realised two steps beyond the point the harvester can reach.</w:t>
      </w:r>
    </w:p>
    <w:p>
      <w:pPr>
        <w:pStyle w:val="Heading3"/>
        <w:spacing w:after="120" w:before="240" w:line="360"/>
      </w:pPr>
      <w:r>
        <w:rPr>
          <w:rFonts w:ascii="Times New Roman" w:cs="Times New Roman" w:eastAsia="Times New Roman" w:hAnsi="Times New Roman"/>
          <w:b/>
          <w:bCs/>
          <w:color w:val="000000"/>
          <w:sz w:val="24"/>
          <w:szCs w:val="24"/>
        </w:rPr>
        <w:t xml:space="preserve">4.4.12 Price Dispersion and Price Transmission</w:t>
      </w:r>
    </w:p>
    <w:p>
      <w:pPr>
        <w:spacing w:after="120" w:before="0" w:line="360"/>
        <w:jc w:val="both"/>
      </w:pPr>
      <w:r>
        <w:rPr>
          <w:rFonts w:ascii="Times New Roman" w:cs="Times New Roman" w:eastAsia="Times New Roman" w:hAnsi="Times New Roman"/>
          <w:color w:val="000000"/>
          <w:sz w:val="24"/>
          <w:szCs w:val="24"/>
        </w:rPr>
        <w:t xml:space="preserve">A market in which the same product fetches widely different prices on the same day is transmitting information poorly. The coefficient of variation measures that spread independently of the price level, so it can be compared across nodes whose prices differ by a factor of three.</w:t>
      </w:r>
    </w:p>
    <w:p>
      <w:pPr>
        <w:spacing w:after="0" w:before="240" w:line="240"/>
      </w:pPr>
      <w:r>
        <w:rPr>
          <w:rFonts w:ascii="Times New Roman" w:cs="Times New Roman" w:eastAsia="Times New Roman" w:hAnsi="Times New Roman"/>
          <w:b/>
          <w:bCs/>
          <w:color w:val="000000"/>
          <w:sz w:val="24"/>
          <w:szCs w:val="24"/>
        </w:rPr>
        <w:t xml:space="preserve">Table 44</w:t>
      </w:r>
    </w:p>
    <w:p>
      <w:pPr>
        <w:spacing w:after="120" w:before="0" w:line="240"/>
      </w:pPr>
      <w:r>
        <w:rPr>
          <w:rFonts w:ascii="Times New Roman" w:cs="Times New Roman" w:eastAsia="Times New Roman" w:hAnsi="Times New Roman"/>
          <w:b w:val="false"/>
          <w:bCs w:val="false"/>
          <w:i/>
          <w:iCs/>
          <w:color w:val="000000"/>
          <w:sz w:val="24"/>
          <w:szCs w:val="24"/>
        </w:rPr>
        <w:t xml:space="preserve">Price Dispersion Within Each Actor Category and Price Transmission to the Fisher</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1925"/>
        <w:gridCol w:w="963"/>
        <w:gridCol w:w="1107"/>
        <w:gridCol w:w="1011"/>
        <w:gridCol w:w="1011"/>
        <w:gridCol w:w="963"/>
        <w:gridCol w:w="1011"/>
        <w:gridCol w:w="1035"/>
      </w:tblGrid>
      <w:tr>
        <w:trPr>
          <w:tblHeader/>
        </w:trPr>
        <w:tc>
          <w:tcPr>
            <w:tcW w:type="dxa" w:w="1925"/>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17"/>
                <w:szCs w:val="17"/>
              </w:rPr>
              <w:t xml:space="preserve">Size grade</w:t>
            </w:r>
          </w:p>
        </w:tc>
        <w:tc>
          <w:tcPr>
            <w:tcW w:type="dxa" w:w="963"/>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Fisher</w:t>
            </w:r>
          </w:p>
        </w:tc>
        <w:tc>
          <w:tcPr>
            <w:tcW w:type="dxa" w:w="1107"/>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Middleman</w:t>
            </w:r>
          </w:p>
        </w:tc>
        <w:tc>
          <w:tcPr>
            <w:tcW w:type="dxa" w:w="1011"/>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Hotelier</w:t>
            </w:r>
          </w:p>
        </w:tc>
        <w:tc>
          <w:tcPr>
            <w:tcW w:type="dxa" w:w="1011"/>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Exporter</w:t>
            </w:r>
          </w:p>
        </w:tc>
        <w:tc>
          <w:tcPr>
            <w:tcW w:type="dxa" w:w="963"/>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Shimoni</w:t>
            </w:r>
          </w:p>
        </w:tc>
        <w:tc>
          <w:tcPr>
            <w:tcW w:type="dxa" w:w="1011"/>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Majoreni</w:t>
            </w:r>
          </w:p>
        </w:tc>
        <w:tc>
          <w:tcPr>
            <w:tcW w:type="dxa" w:w="1035"/>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Vanga</w:t>
            </w:r>
          </w:p>
        </w:tc>
      </w:tr>
      <w:tr>
        <w:tc>
          <w:tcPr>
            <w:tcW w:type="dxa" w:w="9026"/>
            <w:gridSpan w:val="8"/>
            <w:tcBorders>
              <w:top w:val="none" w:color="FFFFFF" w:sz="0"/>
              <w:left w:val="none" w:color="FFFFFF" w:sz="0"/>
              <w:bottom w:val="none" w:color="FFFFFF" w:sz="0"/>
              <w:right w:val="none" w:color="FFFFFF" w:sz="0"/>
            </w:tcBorders>
            <w:tcMar>
              <w:top w:type="dxa" w:w="90"/>
              <w:left w:type="dxa" w:w="90"/>
              <w:bottom w:type="dxa" w:w="30"/>
              <w:right w:type="dxa" w:w="90"/>
            </w:tcMar>
          </w:tcPr>
          <w:p>
            <w:pPr>
              <w:spacing w:after="20" w:before="20" w:line="240"/>
              <w:jc w:val="left"/>
            </w:pPr>
            <w:r>
              <w:rPr>
                <w:rFonts w:ascii="Times New Roman" w:cs="Times New Roman" w:eastAsia="Times New Roman" w:hAnsi="Times New Roman"/>
                <w:b w:val="false"/>
                <w:bCs w:val="false"/>
                <w:i/>
                <w:iCs/>
                <w:color w:val="000000"/>
                <w:sz w:val="17"/>
                <w:szCs w:val="17"/>
              </w:rPr>
              <w:t xml:space="preserve">Coefficient of variation of reported price, by actor category</w:t>
            </w:r>
          </w:p>
        </w:tc>
      </w:tr>
      <w:tr>
        <w:tc>
          <w:tcPr>
            <w:tcW w:type="dxa" w:w="1925"/>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Large (Grade A)</w:t>
            </w:r>
          </w:p>
        </w:tc>
        <w:tc>
          <w:tcPr>
            <w:tcW w:type="dxa" w:w="963"/>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31.8%</w:t>
            </w:r>
          </w:p>
        </w:tc>
        <w:tc>
          <w:tcPr>
            <w:tcW w:type="dxa" w:w="1107"/>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14.9%</w:t>
            </w:r>
          </w:p>
        </w:tc>
        <w:tc>
          <w:tcPr>
            <w:tcW w:type="dxa" w:w="101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25.9%</w:t>
            </w:r>
          </w:p>
        </w:tc>
        <w:tc>
          <w:tcPr>
            <w:tcW w:type="dxa" w:w="101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6.8%</w:t>
            </w:r>
          </w:p>
        </w:tc>
        <w:tc>
          <w:tcPr>
            <w:tcW w:type="dxa" w:w="963"/>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c>
          <w:tcPr>
            <w:tcW w:type="dxa" w:w="101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c>
          <w:tcPr>
            <w:tcW w:type="dxa" w:w="1035"/>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925"/>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Medium (Grade B)</w:t>
            </w:r>
          </w:p>
        </w:tc>
        <w:tc>
          <w:tcPr>
            <w:tcW w:type="dxa" w:w="963"/>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31.8%</w:t>
            </w:r>
          </w:p>
        </w:tc>
        <w:tc>
          <w:tcPr>
            <w:tcW w:type="dxa" w:w="1107"/>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14.0%</w:t>
            </w:r>
          </w:p>
        </w:tc>
        <w:tc>
          <w:tcPr>
            <w:tcW w:type="dxa" w:w="101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28.8%</w:t>
            </w:r>
          </w:p>
        </w:tc>
        <w:tc>
          <w:tcPr>
            <w:tcW w:type="dxa" w:w="101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8.9%</w:t>
            </w:r>
          </w:p>
        </w:tc>
        <w:tc>
          <w:tcPr>
            <w:tcW w:type="dxa" w:w="963"/>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c>
          <w:tcPr>
            <w:tcW w:type="dxa" w:w="101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c>
          <w:tcPr>
            <w:tcW w:type="dxa" w:w="1035"/>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9026"/>
            <w:gridSpan w:val="8"/>
            <w:tcBorders>
              <w:top w:val="none" w:color="FFFFFF" w:sz="0"/>
              <w:left w:val="none" w:color="FFFFFF" w:sz="0"/>
              <w:bottom w:val="none" w:color="FFFFFF" w:sz="0"/>
              <w:right w:val="none" w:color="FFFFFF" w:sz="0"/>
            </w:tcBorders>
            <w:tcMar>
              <w:top w:type="dxa" w:w="90"/>
              <w:left w:type="dxa" w:w="90"/>
              <w:bottom w:type="dxa" w:w="30"/>
              <w:right w:type="dxa" w:w="90"/>
            </w:tcMar>
          </w:tcPr>
          <w:p>
            <w:pPr>
              <w:spacing w:after="20" w:before="20" w:line="240"/>
              <w:jc w:val="left"/>
            </w:pPr>
            <w:r>
              <w:rPr>
                <w:rFonts w:ascii="Times New Roman" w:cs="Times New Roman" w:eastAsia="Times New Roman" w:hAnsi="Times New Roman"/>
                <w:b w:val="false"/>
                <w:bCs w:val="false"/>
                <w:i/>
                <w:iCs/>
                <w:color w:val="000000"/>
                <w:sz w:val="17"/>
                <w:szCs w:val="17"/>
              </w:rPr>
              <w:t xml:space="preserve">Fisher price as a percentage of the middleman price at the same BMU</w:t>
            </w:r>
          </w:p>
        </w:tc>
      </w:tr>
      <w:tr>
        <w:tc>
          <w:tcPr>
            <w:tcW w:type="dxa" w:w="1925"/>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Large (Grade A)</w:t>
            </w:r>
          </w:p>
        </w:tc>
        <w:tc>
          <w:tcPr>
            <w:tcW w:type="dxa" w:w="963"/>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c>
          <w:tcPr>
            <w:tcW w:type="dxa" w:w="1107"/>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c>
          <w:tcPr>
            <w:tcW w:type="dxa" w:w="101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c>
          <w:tcPr>
            <w:tcW w:type="dxa" w:w="101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c>
          <w:tcPr>
            <w:tcW w:type="dxa" w:w="963"/>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55.0%</w:t>
            </w:r>
          </w:p>
        </w:tc>
        <w:tc>
          <w:tcPr>
            <w:tcW w:type="dxa" w:w="101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91.7%</w:t>
            </w:r>
          </w:p>
        </w:tc>
        <w:tc>
          <w:tcPr>
            <w:tcW w:type="dxa" w:w="1035"/>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53.6%</w:t>
            </w:r>
          </w:p>
        </w:tc>
      </w:tr>
      <w:tr>
        <w:tc>
          <w:tcPr>
            <w:tcW w:type="dxa" w:w="1925"/>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Medium (Grade B)</w:t>
            </w:r>
          </w:p>
        </w:tc>
        <w:tc>
          <w:tcPr>
            <w:tcW w:type="dxa" w:w="963"/>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c>
          <w:tcPr>
            <w:tcW w:type="dxa" w:w="1107"/>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c>
          <w:tcPr>
            <w:tcW w:type="dxa" w:w="1011"/>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c>
          <w:tcPr>
            <w:tcW w:type="dxa" w:w="1011"/>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c>
          <w:tcPr>
            <w:tcW w:type="dxa" w:w="963"/>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54.2%</w:t>
            </w:r>
          </w:p>
        </w:tc>
        <w:tc>
          <w:tcPr>
            <w:tcW w:type="dxa" w:w="1011"/>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91.3%</w:t>
            </w:r>
          </w:p>
        </w:tc>
        <w:tc>
          <w:tcPr>
            <w:tcW w:type="dxa" w:w="1035"/>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76.8%</w:t>
            </w:r>
          </w:p>
        </w:tc>
      </w:tr>
    </w:tbl>
    <w:p>
      <w:pPr>
        <w:spacing w:after="120" w:before="0" w:line="360"/>
        <w:jc w:val="both"/>
      </w:pPr>
      <w:r>
        <w:rPr>
          <w:rFonts w:ascii="Times New Roman" w:cs="Times New Roman" w:eastAsia="Times New Roman" w:hAnsi="Times New Roman"/>
          <w:color w:val="000000"/>
          <w:sz w:val="24"/>
          <w:szCs w:val="24"/>
        </w:rPr>
        <w:t xml:space="preserve">Table 44 shows dispersion falling steadily down the chain. For large crabs the fisher coefficient of variation was 31.8%, the middleman 14.9% and the exporter 6.8%; the medium grade gives the same ordering. Two harvesters selling the same grade on the same coast can therefore expect materially different prices, while two exporters expect nearly the same one. The lower half of the table sets the fisher mean against the middleman mean at the same site. Majoreni transmitted 91.7% of the large-grade middleman price to its fishers, against 55.0% at Shimoni and 53.6% at Vanga.</w:t>
      </w:r>
    </w:p>
    <w:p>
      <w:pPr>
        <w:spacing w:after="120" w:before="0" w:line="360"/>
        <w:jc w:val="both"/>
      </w:pPr>
      <w:r>
        <w:rPr>
          <w:rFonts w:ascii="Times New Roman" w:cs="Times New Roman" w:eastAsia="Times New Roman" w:hAnsi="Times New Roman"/>
          <w:color w:val="000000"/>
          <w:sz w:val="24"/>
          <w:szCs w:val="24"/>
        </w:rPr>
        <w:t xml:space="preserve">Set beside the concentration results, one finding needs care. Majoreni was the most concentrated site on every measure in Table 40, yet it transmitted the largest share of the downstream price to its harvesters, while Vanga carried the highest number of harvesters per trader (5.25 to one) and transmitted the least. Concentration of outlets and the price a harvester receives did not move together here. With three sites and a cross-sectional design nothing causal can be drawn from that, but it does suggest that how many buying points exist matters less than how many sellers compete for the attention of each buyer, and it marks a question worth designing a study around.</w:t>
      </w:r>
    </w:p>
    <w:p>
      <w:pPr>
        <w:pStyle w:val="Heading3"/>
        <w:spacing w:after="120" w:before="240" w:line="360"/>
      </w:pPr>
      <w:r>
        <w:rPr>
          <w:rFonts w:ascii="Times New Roman" w:cs="Times New Roman" w:eastAsia="Times New Roman" w:hAnsi="Times New Roman"/>
          <w:b/>
          <w:bCs/>
          <w:color w:val="000000"/>
          <w:sz w:val="24"/>
          <w:szCs w:val="24"/>
        </w:rPr>
        <w:t xml:space="preserve">4.4.13 Summary of Objective Two</w:t>
      </w:r>
    </w:p>
    <w:p>
      <w:pPr>
        <w:spacing w:after="120" w:before="0" w:line="360"/>
        <w:jc w:val="both"/>
      </w:pPr>
      <w:r>
        <w:rPr>
          <w:rFonts w:ascii="Times New Roman" w:cs="Times New Roman" w:eastAsia="Times New Roman" w:hAnsi="Times New Roman"/>
          <w:color w:val="000000"/>
          <w:sz w:val="24"/>
          <w:szCs w:val="24"/>
        </w:rPr>
        <w:t xml:space="preserve">Objective Two shows functions dividing cleanly by node, and the information used to set value dividing with them. Fishers graded on weight alone; every other category used four criteria. Formal quality control and contact with the final buyer sat entirely downstream. Prices rose at every node and differed significantly between actor categories, first sale was concentrated at every landing site, and the harvester kept between a quarter and two fifths of the end-of-chain price.</w:t>
      </w:r>
    </w:p>
    <w:p>
      <w:pPr>
        <w:pStyle w:val="Heading3"/>
        <w:spacing w:after="120" w:before="240" w:line="360"/>
      </w:pPr>
      <w:r>
        <w:rPr>
          <w:rFonts w:ascii="Times New Roman" w:cs="Times New Roman" w:eastAsia="Times New Roman" w:hAnsi="Times New Roman"/>
          <w:b/>
          <w:bCs/>
          <w:color w:val="000000"/>
          <w:sz w:val="24"/>
          <w:szCs w:val="24"/>
        </w:rPr>
        <w:t xml:space="preserve">4.4.14 Discussion of Findings in Relation to Previous Studies</w:t>
      </w:r>
    </w:p>
    <w:p>
      <w:pPr>
        <w:spacing w:after="120" w:before="0" w:line="360"/>
        <w:jc w:val="both"/>
      </w:pPr>
      <w:r>
        <w:rPr>
          <w:rFonts w:ascii="Times New Roman" w:cs="Times New Roman" w:eastAsia="Times New Roman" w:hAnsi="Times New Roman"/>
          <w:color w:val="000000"/>
          <w:sz w:val="24"/>
          <w:szCs w:val="24"/>
        </w:rPr>
        <w:t xml:space="preserve">Harvesting, aggregation, processing and export were each performed by a different actor category, which matches the value-chain structure described for this fishery (Mirera, 2017a; Fondo &amp; Ogutu, 2021) and the wider account of middlemen linking dispersed harvesters to distant buyers (Crona et al., 2016). Testing each function against site rather than assuming uniformity is what this study adds: among fishers only travel time and the large- and small-crab size labels varied significantly by BMU, and among middlemen nothing did.</w:t>
      </w:r>
    </w:p>
    <w:p>
      <w:pPr>
        <w:spacing w:after="120" w:before="0" w:line="360"/>
        <w:jc w:val="both"/>
      </w:pPr>
      <w:r>
        <w:rPr>
          <w:rFonts w:ascii="Times New Roman" w:cs="Times New Roman" w:eastAsia="Times New Roman" w:hAnsi="Times New Roman"/>
          <w:color w:val="000000"/>
          <w:sz w:val="24"/>
          <w:szCs w:val="24"/>
        </w:rPr>
        <w:t xml:space="preserve">Grading is the clearest contribution. Every actor graded, but fishers graded on weight alone while every downstream category used four criteria. Jacinto (2004) identifies this kind of informational asymmetry as a determinant of how value is shared in small-scale fisheries, and these data give a clean instance of it in a fishery where actors and functions have been documented more thoroughly than the terms of exchange between them. The site variation in labelling has not been reported before.</w:t>
      </w:r>
    </w:p>
    <w:p>
      <w:pPr>
        <w:spacing w:after="120" w:before="0" w:line="360"/>
        <w:jc w:val="both"/>
      </w:pPr>
      <w:r>
        <w:rPr>
          <w:rFonts w:ascii="Times New Roman" w:cs="Times New Roman" w:eastAsia="Times New Roman" w:hAnsi="Times New Roman"/>
          <w:color w:val="000000"/>
          <w:sz w:val="24"/>
          <w:szCs w:val="24"/>
        </w:rPr>
        <w:t xml:space="preserve">Protection rises downstream while mortality rises with the volume held, which follows FAO (2025) on survival and quality in the live trade. The difference lies in measurement rather than direction: nobody in this chain records losses against a shared standard, so the cost of mortality cannot be attributed, priced or recovered.</w:t>
      </w:r>
    </w:p>
    <w:p>
      <w:pPr>
        <w:spacing w:after="120" w:before="0" w:line="360"/>
        <w:jc w:val="both"/>
      </w:pPr>
      <w:r>
        <w:rPr>
          <w:rFonts w:ascii="Times New Roman" w:cs="Times New Roman" w:eastAsia="Times New Roman" w:hAnsi="Times New Roman"/>
          <w:color w:val="000000"/>
          <w:sz w:val="24"/>
          <w:szCs w:val="24"/>
        </w:rPr>
        <w:t xml:space="preserve">Prices rise at every node, as expected where later actors carry aggregation, mortality, transport and buyer-access costs. Munga and Muthumbi (2018) show for the Tana Delta that gross differentials narrow considerably once handling and transport are netted out, so none of this speaks to profit. Within that limit, the producer’s share of 27.5% to 39.6% sits at the low end of what has been reported for perishable, high-value seafood, and the ordering matches Jacinto’s (2004) argument that the share captured at each node tracks control of information and market access rather than physical effort.</w:t>
      </w:r>
    </w:p>
    <w:p>
      <w:pPr>
        <w:spacing w:after="120" w:before="0" w:line="360"/>
        <w:jc w:val="both"/>
      </w:pPr>
      <w:r>
        <w:rPr>
          <w:rFonts w:ascii="Times New Roman" w:cs="Times New Roman" w:eastAsia="Times New Roman" w:hAnsi="Times New Roman"/>
          <w:color w:val="000000"/>
          <w:sz w:val="24"/>
          <w:szCs w:val="24"/>
        </w:rPr>
        <w:t xml:space="preserve">The middleman result cuts against the popular account. Middlemen took the smallest of the three shares in every chain, yet fishers most often identify them with the low beach price. Crona et al. (2016) reach the same conclusion for Kenya and Zanzibar, finding middlemen blamed for outcomes settled further along the chain while operating on modest turnovers and carrying the mortality risk. Green and Clark (2021) treat dispersion at first sale as an indicator of weak integration; on that criterion Shimoni and Vanga are the weaker of the three markets. Because fisher prices varied significantly across sites while middleman prices did not, the mechanism sits on the fisher side of the transaction.</w:t>
      </w:r>
    </w:p>
    <w:p>
      <w:pPr>
        <w:pStyle w:val="Heading2"/>
        <w:spacing w:after="140" w:before="280" w:line="360"/>
      </w:pPr>
      <w:r>
        <w:rPr>
          <w:rFonts w:ascii="Times New Roman" w:cs="Times New Roman" w:eastAsia="Times New Roman" w:hAnsi="Times New Roman"/>
          <w:b/>
          <w:bCs/>
          <w:color w:val="000000"/>
          <w:sz w:val="26"/>
          <w:szCs w:val="26"/>
        </w:rPr>
        <w:t xml:space="preserve">4.5 Objective Three: Constraints and Opportunities Facing Each Actor Category</w:t>
      </w:r>
    </w:p>
    <w:p>
      <w:pPr>
        <w:spacing w:after="120" w:before="0" w:line="360"/>
        <w:jc w:val="both"/>
      </w:pPr>
      <w:r>
        <w:rPr>
          <w:rFonts w:ascii="Times New Roman" w:cs="Times New Roman" w:eastAsia="Times New Roman" w:hAnsi="Times New Roman"/>
          <w:color w:val="000000"/>
          <w:sz w:val="24"/>
          <w:szCs w:val="24"/>
        </w:rPr>
        <w:t xml:space="preserve">Objective Three assessed the constraints each actor category reported and the opportunities they identified. The results are grouped into operational and infrastructure constraints, market access and risk, regulation and information, perceptions of market organisation, and opportunities.</w:t>
      </w:r>
    </w:p>
    <w:p>
      <w:pPr>
        <w:pStyle w:val="Heading3"/>
        <w:spacing w:after="120" w:before="240" w:line="360"/>
      </w:pPr>
      <w:r>
        <w:rPr>
          <w:rFonts w:ascii="Times New Roman" w:cs="Times New Roman" w:eastAsia="Times New Roman" w:hAnsi="Times New Roman"/>
          <w:b/>
          <w:bCs/>
          <w:color w:val="000000"/>
          <w:sz w:val="24"/>
          <w:szCs w:val="24"/>
        </w:rPr>
        <w:t xml:space="preserve">4.5.1 Operational and Infrastructure Constraints</w:t>
      </w:r>
    </w:p>
    <w:p>
      <w:pPr>
        <w:spacing w:after="0" w:before="240" w:line="240"/>
      </w:pPr>
      <w:r>
        <w:rPr>
          <w:rFonts w:ascii="Times New Roman" w:cs="Times New Roman" w:eastAsia="Times New Roman" w:hAnsi="Times New Roman"/>
          <w:b/>
          <w:bCs/>
          <w:color w:val="000000"/>
          <w:sz w:val="24"/>
          <w:szCs w:val="24"/>
        </w:rPr>
        <w:t xml:space="preserve">Table 45</w:t>
      </w:r>
    </w:p>
    <w:p>
      <w:pPr>
        <w:spacing w:after="120" w:before="0" w:line="240"/>
      </w:pPr>
      <w:r>
        <w:rPr>
          <w:rFonts w:ascii="Times New Roman" w:cs="Times New Roman" w:eastAsia="Times New Roman" w:hAnsi="Times New Roman"/>
          <w:b w:val="false"/>
          <w:bCs w:val="false"/>
          <w:i/>
          <w:iCs/>
          <w:color w:val="000000"/>
          <w:sz w:val="24"/>
          <w:szCs w:val="24"/>
        </w:rPr>
        <w:t xml:space="preserve">Main Operational or Marketing Constraint by Actor and BMU</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1850"/>
        <w:gridCol w:w="1250"/>
        <w:gridCol w:w="900"/>
        <w:gridCol w:w="820"/>
        <w:gridCol w:w="820"/>
        <w:gridCol w:w="760"/>
        <w:gridCol w:w="900"/>
        <w:gridCol w:w="880"/>
        <w:gridCol w:w="846"/>
      </w:tblGrid>
      <w:tr>
        <w:trPr>
          <w:tblHeader/>
        </w:trPr>
        <w:tc>
          <w:tcPr>
            <w:tcW w:type="dxa" w:w="18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17"/>
                <w:szCs w:val="17"/>
              </w:rPr>
              <w:t xml:space="preserve">Characteristic / response</w:t>
            </w:r>
          </w:p>
        </w:tc>
        <w:tc>
          <w:tcPr>
            <w:tcW w:type="dxa" w:w="12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Actor</w:t>
            </w:r>
          </w:p>
        </w:tc>
        <w:tc>
          <w:tcPr>
            <w:tcW w:type="dxa" w:w="9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Overall</w:t>
            </w:r>
          </w:p>
        </w:tc>
        <w:tc>
          <w:tcPr>
            <w:tcW w:type="dxa" w:w="82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Shimoni</w:t>
            </w:r>
          </w:p>
        </w:tc>
        <w:tc>
          <w:tcPr>
            <w:tcW w:type="dxa" w:w="82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Majoreni</w:t>
            </w:r>
          </w:p>
        </w:tc>
        <w:tc>
          <w:tcPr>
            <w:tcW w:type="dxa" w:w="76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Vanga</w:t>
            </w:r>
          </w:p>
        </w:tc>
        <w:tc>
          <w:tcPr>
            <w:tcW w:type="dxa" w:w="9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Msambweni</w:t>
            </w:r>
          </w:p>
        </w:tc>
        <w:tc>
          <w:tcPr>
            <w:tcW w:type="dxa" w:w="88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Other sites</w:t>
            </w:r>
          </w:p>
        </w:tc>
        <w:tc>
          <w:tcPr>
            <w:tcW w:type="dxa" w:w="846"/>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BMU p-value</w:t>
            </w:r>
          </w:p>
        </w:tc>
      </w:tr>
      <w:tr>
        <w:tc>
          <w:tcPr>
            <w:tcW w:type="dxa" w:w="9026"/>
            <w:gridSpan w:val="9"/>
            <w:tcBorders>
              <w:top w:val="none" w:color="FFFFFF" w:sz="0"/>
              <w:left w:val="none" w:color="FFFFFF" w:sz="0"/>
              <w:bottom w:val="none" w:color="FFFFFF" w:sz="0"/>
              <w:right w:val="none" w:color="FFFFFF" w:sz="0"/>
            </w:tcBorders>
            <w:tcMar>
              <w:top w:type="dxa" w:w="90"/>
              <w:left w:type="dxa" w:w="90"/>
              <w:bottom w:type="dxa" w:w="30"/>
              <w:right w:type="dxa" w:w="90"/>
            </w:tcMar>
          </w:tcPr>
          <w:p>
            <w:pPr>
              <w:spacing w:after="20" w:before="20" w:line="240"/>
              <w:jc w:val="left"/>
            </w:pPr>
            <w:r>
              <w:rPr>
                <w:rFonts w:ascii="Times New Roman" w:cs="Times New Roman" w:eastAsia="Times New Roman" w:hAnsi="Times New Roman"/>
                <w:b w:val="false"/>
                <w:bCs w:val="false"/>
                <w:i/>
                <w:iCs/>
                <w:color w:val="000000"/>
                <w:sz w:val="17"/>
                <w:szCs w:val="17"/>
              </w:rPr>
              <w:t xml:space="preserve">Main operational or marketing constraint</w:t>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Price fluctuations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59 (90.8%)</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24 (96.0%)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11 (78.6%)</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19 (90.5%)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 (100.0%)</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 (100.0%)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.334</w:t>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Mortality</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6 (9.2%)</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(4.0%)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 (21.4%)</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 (9.5%)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Market seasonality</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High freight, flight delays and supply risk</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Price fluctuations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22</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11 (50.0%)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8 (72.7%)</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 (42.9%)</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.036</w:t>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Mortality</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11 (50.0%)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 (27.3%)</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(57.1%)</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Market seasonality</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High freight, flight delays and supply risk</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Price fluctuations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Mortality</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Market seasonality</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5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High freight, flight delays and supply risk</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Price fluctuations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4</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Mortality</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Market seasonality</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High freight, flight delays and supply risk</w:t>
            </w:r>
          </w:p>
        </w:tc>
        <w:tc>
          <w:tcPr>
            <w:tcW w:type="dxa" w:w="125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c>
          <w:tcPr>
            <w:tcW w:type="dxa" w:w="90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2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46"/>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bl>
    <w:p>
      <w:pPr>
        <w:spacing w:after="120" w:before="0" w:line="360"/>
        <w:jc w:val="both"/>
      </w:pPr>
      <w:r>
        <w:rPr>
          <w:rFonts w:ascii="Times New Roman" w:cs="Times New Roman" w:eastAsia="Times New Roman" w:hAnsi="Times New Roman"/>
          <w:color w:val="000000"/>
          <w:sz w:val="24"/>
          <w:szCs w:val="24"/>
        </w:rPr>
        <w:t xml:space="preserve">As shown in Table 45, no constraint was shared across the chain. Price fluctuation was named by 59 fishers (90.8%) and by half the middlemen (11, 50.0%); mortality by the other half of middlemen and by 6 fishers (9.2%); market seasonality by all five hoteliers; and high freight, flight delays and supply risk by all four exporters. The middleman split varied significantly by site (p = .036): all four Vanga middlemen and 4 of 7 at Majoreni (57.1%) named mortality, while only 3 of 11 at Shimoni (27.3%) did. Fisher responses did not vary by site (p = .334).</w:t>
      </w:r>
    </w:p>
    <w:p>
      <w:pPr>
        <w:spacing w:after="0" w:before="240" w:line="240"/>
      </w:pPr>
      <w:r>
        <w:rPr>
          <w:rFonts w:ascii="Times New Roman" w:cs="Times New Roman" w:eastAsia="Times New Roman" w:hAnsi="Times New Roman"/>
          <w:b/>
          <w:bCs/>
          <w:color w:val="000000"/>
          <w:sz w:val="24"/>
          <w:szCs w:val="24"/>
        </w:rPr>
        <w:t xml:space="preserve">Table 46</w:t>
      </w:r>
    </w:p>
    <w:p>
      <w:pPr>
        <w:spacing w:after="120" w:before="0" w:line="240"/>
      </w:pPr>
      <w:r>
        <w:rPr>
          <w:rFonts w:ascii="Times New Roman" w:cs="Times New Roman" w:eastAsia="Times New Roman" w:hAnsi="Times New Roman"/>
          <w:b w:val="false"/>
          <w:bCs w:val="false"/>
          <w:i/>
          <w:iCs/>
          <w:color w:val="000000"/>
          <w:sz w:val="24"/>
          <w:szCs w:val="24"/>
        </w:rPr>
        <w:t xml:space="preserve">Main Infrastructure or Logistics Constraint and Need for Improvement by Actor and BMU</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1850"/>
        <w:gridCol w:w="1250"/>
        <w:gridCol w:w="900"/>
        <w:gridCol w:w="820"/>
        <w:gridCol w:w="820"/>
        <w:gridCol w:w="760"/>
        <w:gridCol w:w="900"/>
        <w:gridCol w:w="880"/>
        <w:gridCol w:w="846"/>
      </w:tblGrid>
      <w:tr>
        <w:trPr>
          <w:tblHeader/>
        </w:trPr>
        <w:tc>
          <w:tcPr>
            <w:tcW w:type="dxa" w:w="18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17"/>
                <w:szCs w:val="17"/>
              </w:rPr>
              <w:t xml:space="preserve">Characteristic / response</w:t>
            </w:r>
          </w:p>
        </w:tc>
        <w:tc>
          <w:tcPr>
            <w:tcW w:type="dxa" w:w="12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Actor</w:t>
            </w:r>
          </w:p>
        </w:tc>
        <w:tc>
          <w:tcPr>
            <w:tcW w:type="dxa" w:w="9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Overall</w:t>
            </w:r>
          </w:p>
        </w:tc>
        <w:tc>
          <w:tcPr>
            <w:tcW w:type="dxa" w:w="82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Shimoni</w:t>
            </w:r>
          </w:p>
        </w:tc>
        <w:tc>
          <w:tcPr>
            <w:tcW w:type="dxa" w:w="82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Majoreni</w:t>
            </w:r>
          </w:p>
        </w:tc>
        <w:tc>
          <w:tcPr>
            <w:tcW w:type="dxa" w:w="76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Vanga</w:t>
            </w:r>
          </w:p>
        </w:tc>
        <w:tc>
          <w:tcPr>
            <w:tcW w:type="dxa" w:w="9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Msambweni</w:t>
            </w:r>
          </w:p>
        </w:tc>
        <w:tc>
          <w:tcPr>
            <w:tcW w:type="dxa" w:w="88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Other sites</w:t>
            </w:r>
          </w:p>
        </w:tc>
        <w:tc>
          <w:tcPr>
            <w:tcW w:type="dxa" w:w="846"/>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BMU p-value</w:t>
            </w:r>
          </w:p>
        </w:tc>
      </w:tr>
      <w:tr>
        <w:tc>
          <w:tcPr>
            <w:tcW w:type="dxa" w:w="9026"/>
            <w:gridSpan w:val="9"/>
            <w:tcBorders>
              <w:top w:val="none" w:color="FFFFFF" w:sz="0"/>
              <w:left w:val="none" w:color="FFFFFF" w:sz="0"/>
              <w:bottom w:val="none" w:color="FFFFFF" w:sz="0"/>
              <w:right w:val="none" w:color="FFFFFF" w:sz="0"/>
            </w:tcBorders>
            <w:tcMar>
              <w:top w:type="dxa" w:w="90"/>
              <w:left w:type="dxa" w:w="90"/>
              <w:bottom w:type="dxa" w:w="30"/>
              <w:right w:type="dxa" w:w="90"/>
            </w:tcMar>
          </w:tcPr>
          <w:p>
            <w:pPr>
              <w:spacing w:after="20" w:before="20" w:line="240"/>
              <w:jc w:val="left"/>
            </w:pPr>
            <w:r>
              <w:rPr>
                <w:rFonts w:ascii="Times New Roman" w:cs="Times New Roman" w:eastAsia="Times New Roman" w:hAnsi="Times New Roman"/>
                <w:b w:val="false"/>
                <w:bCs w:val="false"/>
                <w:i/>
                <w:iCs/>
                <w:color w:val="000000"/>
                <w:sz w:val="17"/>
                <w:szCs w:val="17"/>
              </w:rPr>
              <w:t xml:space="preserve">Infrastructure improvements are needed</w:t>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Yes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65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25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14 (100.0%)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21 (100.0%)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 (100.0%)</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 (100.0%)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Yes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22</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22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11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7 (100.0%)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Yes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5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Yes</w:t>
            </w:r>
          </w:p>
        </w:tc>
        <w:tc>
          <w:tcPr>
            <w:tcW w:type="dxa" w:w="125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4</w:t>
            </w:r>
          </w:p>
        </w:tc>
        <w:tc>
          <w:tcPr>
            <w:tcW w:type="dxa" w:w="90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2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46"/>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bl>
    <w:p>
      <w:pPr>
        <w:spacing w:after="120" w:before="0" w:line="360"/>
        <w:jc w:val="both"/>
      </w:pPr>
      <w:r>
        <w:rPr>
          <w:rFonts w:ascii="Times New Roman" w:cs="Times New Roman" w:eastAsia="Times New Roman" w:hAnsi="Times New Roman"/>
          <w:color w:val="000000"/>
          <w:sz w:val="24"/>
          <w:szCs w:val="24"/>
        </w:rPr>
        <w:t xml:space="preserve">Table 46 and Figure 19 show the same divergence in infrastructure. Poor road infrastructure dominated the fisher responses (64, 98.5%), reaching 100.0% at Shimoni, Vanga and Msambweni, while 20 of 22 middlemen (90.9%) named the lack of aggregation facilities, rising to all seven (100.0%) at Majoreni. All five hoteliers named market seasonality and all four exporters named high freight, flight delays and mortality. Every respondent in all four categories, without exception, said infrastructure improvements were needed. Neither fisher (p = .264) nor middleman (p = .339) responses varied significantly by site.</w:t>
      </w:r>
    </w:p>
    <w:p>
      <w:pPr>
        <w:spacing w:after="0" w:before="240" w:line="240"/>
      </w:pPr>
      <w:r>
        <w:rPr>
          <w:rFonts w:ascii="Times New Roman" w:cs="Times New Roman" w:eastAsia="Times New Roman" w:hAnsi="Times New Roman"/>
          <w:b/>
          <w:bCs/>
          <w:color w:val="000000"/>
          <w:sz w:val="24"/>
          <w:szCs w:val="24"/>
        </w:rPr>
        <w:t xml:space="preserve">Figure 19</w:t>
      </w:r>
    </w:p>
    <w:p>
      <w:pPr>
        <w:spacing w:after="120" w:before="0" w:line="240"/>
      </w:pPr>
      <w:r>
        <w:rPr>
          <w:rFonts w:ascii="Times New Roman" w:cs="Times New Roman" w:eastAsia="Times New Roman" w:hAnsi="Times New Roman"/>
          <w:i/>
          <w:iCs/>
          <w:color w:val="000000"/>
          <w:sz w:val="24"/>
          <w:szCs w:val="24"/>
        </w:rPr>
        <w:t xml:space="preserve">Main Infrastructure or Logistics Constraint by Actor Category</w:t>
      </w:r>
    </w:p>
    <w:p>
      <w:pPr>
        <w:spacing w:after="240"/>
        <w:jc w:val="center"/>
      </w:pPr>
      <w:r>
        <w:drawing>
          <wp:inline distT="0" distB="0" distL="0" distR="0">
            <wp:extent cx="5715000" cy="23336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715000" cy="2333625"/>
                    </a:xfrm>
                    <a:prstGeom prst="rect">
                      <a:avLst/>
                    </a:prstGeom>
                  </pic:spPr>
                </pic:pic>
              </a:graphicData>
            </a:graphic>
          </wp:inline>
        </w:drawing>
      </w:r>
    </w:p>
    <w:p>
      <w:pPr>
        <w:spacing w:after="120" w:before="0" w:line="360"/>
        <w:jc w:val="both"/>
      </w:pPr>
      <w:r>
        <w:rPr>
          <w:rFonts w:ascii="Times New Roman" w:cs="Times New Roman" w:eastAsia="Times New Roman" w:hAnsi="Times New Roman"/>
          <w:color w:val="000000"/>
          <w:sz w:val="24"/>
          <w:szCs w:val="24"/>
        </w:rPr>
        <w:t xml:space="preserve">Table 45, Table 46 and Figure 19 show that each constraint follows from the work the actor does. The fisher sells the same day at a price he does not set, so volatility reaches him first and the road is what stands between him and a buyer. The middleman holds stock, so he loses crabs and needs somewhere to hold them. The hotelier lives on tourist arrivals and feels the season. The exporter lives on cargo space and feels the freight. The practical consequence for Objective Three is that a single chain-wide intervention would not reach all four, which is why the recommendations in Chapter Six are written by actor category.</w:t>
      </w:r>
    </w:p>
    <w:p>
      <w:pPr>
        <w:pStyle w:val="Heading3"/>
        <w:spacing w:after="120" w:before="240" w:line="360"/>
      </w:pPr>
      <w:r>
        <w:rPr>
          <w:rFonts w:ascii="Times New Roman" w:cs="Times New Roman" w:eastAsia="Times New Roman" w:hAnsi="Times New Roman"/>
          <w:b/>
          <w:bCs/>
          <w:color w:val="000000"/>
          <w:sz w:val="24"/>
          <w:szCs w:val="24"/>
        </w:rPr>
        <w:t xml:space="preserve">4.5.2 Market Access, Operational Challenges and Risk</w:t>
      </w:r>
    </w:p>
    <w:p>
      <w:pPr>
        <w:spacing w:after="0" w:before="240" w:line="240"/>
      </w:pPr>
      <w:r>
        <w:rPr>
          <w:rFonts w:ascii="Times New Roman" w:cs="Times New Roman" w:eastAsia="Times New Roman" w:hAnsi="Times New Roman"/>
          <w:b/>
          <w:bCs/>
          <w:color w:val="000000"/>
          <w:sz w:val="24"/>
          <w:szCs w:val="24"/>
        </w:rPr>
        <w:t xml:space="preserve">Table 47</w:t>
      </w:r>
    </w:p>
    <w:p>
      <w:pPr>
        <w:spacing w:after="120" w:before="0" w:line="240"/>
      </w:pPr>
      <w:r>
        <w:rPr>
          <w:rFonts w:ascii="Times New Roman" w:cs="Times New Roman" w:eastAsia="Times New Roman" w:hAnsi="Times New Roman"/>
          <w:b w:val="false"/>
          <w:bCs w:val="false"/>
          <w:i/>
          <w:iCs/>
          <w:color w:val="000000"/>
          <w:sz w:val="24"/>
          <w:szCs w:val="24"/>
        </w:rPr>
        <w:t xml:space="preserve">Barriers to Market Access and Operational Challenges by Actor and BMU</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1850"/>
        <w:gridCol w:w="1250"/>
        <w:gridCol w:w="900"/>
        <w:gridCol w:w="820"/>
        <w:gridCol w:w="820"/>
        <w:gridCol w:w="760"/>
        <w:gridCol w:w="900"/>
        <w:gridCol w:w="880"/>
        <w:gridCol w:w="846"/>
      </w:tblGrid>
      <w:tr>
        <w:trPr>
          <w:tblHeader/>
        </w:trPr>
        <w:tc>
          <w:tcPr>
            <w:tcW w:type="dxa" w:w="18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17"/>
                <w:szCs w:val="17"/>
              </w:rPr>
              <w:t xml:space="preserve">Characteristic / response</w:t>
            </w:r>
          </w:p>
        </w:tc>
        <w:tc>
          <w:tcPr>
            <w:tcW w:type="dxa" w:w="12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Actor</w:t>
            </w:r>
          </w:p>
        </w:tc>
        <w:tc>
          <w:tcPr>
            <w:tcW w:type="dxa" w:w="9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Overall</w:t>
            </w:r>
          </w:p>
        </w:tc>
        <w:tc>
          <w:tcPr>
            <w:tcW w:type="dxa" w:w="82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Shimoni</w:t>
            </w:r>
          </w:p>
        </w:tc>
        <w:tc>
          <w:tcPr>
            <w:tcW w:type="dxa" w:w="82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Majoreni</w:t>
            </w:r>
          </w:p>
        </w:tc>
        <w:tc>
          <w:tcPr>
            <w:tcW w:type="dxa" w:w="76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Vanga</w:t>
            </w:r>
          </w:p>
        </w:tc>
        <w:tc>
          <w:tcPr>
            <w:tcW w:type="dxa" w:w="9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Msambweni</w:t>
            </w:r>
          </w:p>
        </w:tc>
        <w:tc>
          <w:tcPr>
            <w:tcW w:type="dxa" w:w="88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Other sites</w:t>
            </w:r>
          </w:p>
        </w:tc>
        <w:tc>
          <w:tcPr>
            <w:tcW w:type="dxa" w:w="846"/>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BMU p-value</w:t>
            </w:r>
          </w:p>
        </w:tc>
      </w:tr>
      <w:tr>
        <w:tc>
          <w:tcPr>
            <w:tcW w:type="dxa" w:w="9026"/>
            <w:gridSpan w:val="9"/>
            <w:tcBorders>
              <w:top w:val="none" w:color="FFFFFF" w:sz="0"/>
              <w:left w:val="none" w:color="FFFFFF" w:sz="0"/>
              <w:bottom w:val="none" w:color="FFFFFF" w:sz="0"/>
              <w:right w:val="none" w:color="FFFFFF" w:sz="0"/>
            </w:tcBorders>
            <w:tcMar>
              <w:top w:type="dxa" w:w="90"/>
              <w:left w:type="dxa" w:w="90"/>
              <w:bottom w:type="dxa" w:w="30"/>
              <w:right w:type="dxa" w:w="90"/>
            </w:tcMar>
          </w:tcPr>
          <w:p>
            <w:pPr>
              <w:spacing w:after="20" w:before="20" w:line="240"/>
              <w:jc w:val="left"/>
            </w:pPr>
            <w:r>
              <w:rPr>
                <w:rFonts w:ascii="Times New Roman" w:cs="Times New Roman" w:eastAsia="Times New Roman" w:hAnsi="Times New Roman"/>
                <w:b w:val="false"/>
                <w:bCs w:val="false"/>
                <w:i/>
                <w:iCs/>
                <w:color w:val="000000"/>
                <w:sz w:val="17"/>
                <w:szCs w:val="17"/>
              </w:rPr>
              <w:t xml:space="preserve">Experienced barriers to market access</w:t>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Yes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61 (93.8%)</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23 (92.0%)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14 (100.0%)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19 (90.5%)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 (100.0%)</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 (100.0%)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.730</w:t>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No</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(6.2%)</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 (8.0%)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 (9.5%)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Yes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22</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22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11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7 (100.0%)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No</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Yes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5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No</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Yes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4</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No</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9026"/>
            <w:gridSpan w:val="9"/>
            <w:tcBorders>
              <w:top w:val="none" w:color="FFFFFF" w:sz="0"/>
              <w:left w:val="none" w:color="FFFFFF" w:sz="0"/>
              <w:bottom w:val="none" w:color="FFFFFF" w:sz="0"/>
              <w:right w:val="none" w:color="FFFFFF" w:sz="0"/>
            </w:tcBorders>
            <w:tcMar>
              <w:top w:type="dxa" w:w="90"/>
              <w:left w:type="dxa" w:w="90"/>
              <w:bottom w:type="dxa" w:w="30"/>
              <w:right w:type="dxa" w:w="90"/>
            </w:tcMar>
          </w:tcPr>
          <w:p>
            <w:pPr>
              <w:spacing w:after="20" w:before="20" w:line="240"/>
              <w:jc w:val="left"/>
            </w:pPr>
            <w:r>
              <w:rPr>
                <w:rFonts w:ascii="Times New Roman" w:cs="Times New Roman" w:eastAsia="Times New Roman" w:hAnsi="Times New Roman"/>
                <w:b w:val="false"/>
                <w:bCs w:val="false"/>
                <w:i/>
                <w:iCs/>
                <w:color w:val="000000"/>
                <w:sz w:val="17"/>
                <w:szCs w:val="17"/>
              </w:rPr>
              <w:t xml:space="preserve">Experienced significant operational challenges</w:t>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Yes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53 (81.5%)</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19 (76.0%)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14 (100.0%)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16 (76.2%)</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 (66.7%)</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 (100.0%)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.253</w:t>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No</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12 (18.5%)</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6 (24.0%)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5 (23.8%)</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(33.3%)</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Yes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22</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22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11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7 (100.0%)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No</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Yes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5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No</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Yes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4</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No</w:t>
            </w:r>
          </w:p>
        </w:tc>
        <w:tc>
          <w:tcPr>
            <w:tcW w:type="dxa" w:w="125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c>
          <w:tcPr>
            <w:tcW w:type="dxa" w:w="90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bl>
    <w:p>
      <w:pPr>
        <w:spacing w:after="120" w:before="0" w:line="360"/>
        <w:jc w:val="both"/>
      </w:pPr>
      <w:r>
        <w:rPr>
          <w:rFonts w:ascii="Times New Roman" w:cs="Times New Roman" w:eastAsia="Times New Roman" w:hAnsi="Times New Roman"/>
          <w:color w:val="000000"/>
          <w:sz w:val="24"/>
          <w:szCs w:val="24"/>
        </w:rPr>
        <w:t xml:space="preserve">As shown in Table 47, barriers to market access were close to universal: 61 fishers (93.8%), all 22 middlemen, all five hoteliers and all four exporters reported them, with the fisher share reaching 100.0% at Majoreni and Msambweni. Significant operational challenges were reported by 53 fishers (81.5%) and by every respondent in the other three categories. Neither item was associated with BMU among fishers (p = .730 and p = .253).</w:t>
      </w:r>
    </w:p>
    <w:p>
      <w:pPr>
        <w:spacing w:after="0" w:before="240" w:line="240"/>
      </w:pPr>
      <w:r>
        <w:rPr>
          <w:rFonts w:ascii="Times New Roman" w:cs="Times New Roman" w:eastAsia="Times New Roman" w:hAnsi="Times New Roman"/>
          <w:b/>
          <w:bCs/>
          <w:color w:val="000000"/>
          <w:sz w:val="24"/>
          <w:szCs w:val="24"/>
        </w:rPr>
        <w:t xml:space="preserve">Table 48</w:t>
      </w:r>
    </w:p>
    <w:p>
      <w:pPr>
        <w:spacing w:after="120" w:before="0" w:line="240"/>
      </w:pPr>
      <w:r>
        <w:rPr>
          <w:rFonts w:ascii="Times New Roman" w:cs="Times New Roman" w:eastAsia="Times New Roman" w:hAnsi="Times New Roman"/>
          <w:b w:val="false"/>
          <w:bCs w:val="false"/>
          <w:i/>
          <w:iCs/>
          <w:color w:val="000000"/>
          <w:sz w:val="24"/>
          <w:szCs w:val="24"/>
        </w:rPr>
        <w:t xml:space="preserve">Risk Management Method by Actor and BMU</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1850"/>
        <w:gridCol w:w="1250"/>
        <w:gridCol w:w="900"/>
        <w:gridCol w:w="820"/>
        <w:gridCol w:w="820"/>
        <w:gridCol w:w="760"/>
        <w:gridCol w:w="900"/>
        <w:gridCol w:w="880"/>
        <w:gridCol w:w="846"/>
      </w:tblGrid>
      <w:tr>
        <w:trPr>
          <w:tblHeader/>
        </w:trPr>
        <w:tc>
          <w:tcPr>
            <w:tcW w:type="dxa" w:w="18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17"/>
                <w:szCs w:val="17"/>
              </w:rPr>
              <w:t xml:space="preserve">Characteristic / response</w:t>
            </w:r>
          </w:p>
        </w:tc>
        <w:tc>
          <w:tcPr>
            <w:tcW w:type="dxa" w:w="12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Actor</w:t>
            </w:r>
          </w:p>
        </w:tc>
        <w:tc>
          <w:tcPr>
            <w:tcW w:type="dxa" w:w="9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Overall</w:t>
            </w:r>
          </w:p>
        </w:tc>
        <w:tc>
          <w:tcPr>
            <w:tcW w:type="dxa" w:w="82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Shimoni</w:t>
            </w:r>
          </w:p>
        </w:tc>
        <w:tc>
          <w:tcPr>
            <w:tcW w:type="dxa" w:w="82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Majoreni</w:t>
            </w:r>
          </w:p>
        </w:tc>
        <w:tc>
          <w:tcPr>
            <w:tcW w:type="dxa" w:w="76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Vanga</w:t>
            </w:r>
          </w:p>
        </w:tc>
        <w:tc>
          <w:tcPr>
            <w:tcW w:type="dxa" w:w="9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Msambweni</w:t>
            </w:r>
          </w:p>
        </w:tc>
        <w:tc>
          <w:tcPr>
            <w:tcW w:type="dxa" w:w="88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Other sites</w:t>
            </w:r>
          </w:p>
        </w:tc>
        <w:tc>
          <w:tcPr>
            <w:tcW w:type="dxa" w:w="846"/>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BMU p-value</w:t>
            </w:r>
          </w:p>
        </w:tc>
      </w:tr>
      <w:tr>
        <w:tc>
          <w:tcPr>
            <w:tcW w:type="dxa" w:w="9026"/>
            <w:gridSpan w:val="9"/>
            <w:tcBorders>
              <w:top w:val="none" w:color="FFFFFF" w:sz="0"/>
              <w:left w:val="none" w:color="FFFFFF" w:sz="0"/>
              <w:bottom w:val="none" w:color="FFFFFF" w:sz="0"/>
              <w:right w:val="none" w:color="FFFFFF" w:sz="0"/>
            </w:tcBorders>
            <w:tcMar>
              <w:top w:type="dxa" w:w="90"/>
              <w:left w:type="dxa" w:w="90"/>
              <w:bottom w:type="dxa" w:w="30"/>
              <w:right w:type="dxa" w:w="90"/>
            </w:tcMar>
          </w:tcPr>
          <w:p>
            <w:pPr>
              <w:spacing w:after="20" w:before="20" w:line="240"/>
              <w:jc w:val="left"/>
            </w:pPr>
            <w:r>
              <w:rPr>
                <w:rFonts w:ascii="Times New Roman" w:cs="Times New Roman" w:eastAsia="Times New Roman" w:hAnsi="Times New Roman"/>
                <w:b w:val="false"/>
                <w:bCs w:val="false"/>
                <w:i/>
                <w:iCs/>
                <w:color w:val="000000"/>
                <w:sz w:val="17"/>
                <w:szCs w:val="17"/>
              </w:rPr>
              <w:t xml:space="preserve">Method used to manage risk</w:t>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Diversification</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65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25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14 (100.0%)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21 (100.0%)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 (100.0%)</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 (100.0%)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Insurance and diversification</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Diversification</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22</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22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11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7 (100.0%)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Insurance and diversification</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Diversification</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5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Insurance and diversification</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Diversification</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4</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Insurance and diversification</w:t>
            </w:r>
          </w:p>
        </w:tc>
        <w:tc>
          <w:tcPr>
            <w:tcW w:type="dxa" w:w="125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c>
          <w:tcPr>
            <w:tcW w:type="dxa" w:w="90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2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46"/>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bl>
    <w:p>
      <w:pPr>
        <w:spacing w:after="120" w:before="0" w:line="360"/>
        <w:jc w:val="both"/>
      </w:pPr>
      <w:r>
        <w:rPr>
          <w:rFonts w:ascii="Times New Roman" w:cs="Times New Roman" w:eastAsia="Times New Roman" w:hAnsi="Times New Roman"/>
          <w:color w:val="000000"/>
          <w:sz w:val="24"/>
          <w:szCs w:val="24"/>
        </w:rPr>
        <w:t xml:space="preserve">Table 48 records how actors managed that risk, and the answer is uniform and thin. Diversification was the only method named by fishers, middlemen and hoteliers, at 100.0% in each category and at every site; the four exporters added insurance to diversification. No other method was reported anywhere in the sample.</w:t>
      </w:r>
    </w:p>
    <w:p>
      <w:pPr>
        <w:spacing w:after="0" w:before="240" w:line="240"/>
      </w:pPr>
      <w:r>
        <w:rPr>
          <w:rFonts w:ascii="Times New Roman" w:cs="Times New Roman" w:eastAsia="Times New Roman" w:hAnsi="Times New Roman"/>
          <w:b/>
          <w:bCs/>
          <w:color w:val="000000"/>
          <w:sz w:val="24"/>
          <w:szCs w:val="24"/>
        </w:rPr>
        <w:t xml:space="preserve">Table 49</w:t>
      </w:r>
    </w:p>
    <w:p>
      <w:pPr>
        <w:spacing w:after="120" w:before="0" w:line="240"/>
      </w:pPr>
      <w:r>
        <w:rPr>
          <w:rFonts w:ascii="Times New Roman" w:cs="Times New Roman" w:eastAsia="Times New Roman" w:hAnsi="Times New Roman"/>
          <w:b w:val="false"/>
          <w:bCs w:val="false"/>
          <w:i/>
          <w:iCs/>
          <w:color w:val="000000"/>
          <w:sz w:val="24"/>
          <w:szCs w:val="24"/>
        </w:rPr>
        <w:t xml:space="preserve">Innovation, Changes in Marketing Strategy and Adaptation by Actor and BMU</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1850"/>
        <w:gridCol w:w="1250"/>
        <w:gridCol w:w="900"/>
        <w:gridCol w:w="820"/>
        <w:gridCol w:w="820"/>
        <w:gridCol w:w="760"/>
        <w:gridCol w:w="900"/>
        <w:gridCol w:w="880"/>
        <w:gridCol w:w="846"/>
      </w:tblGrid>
      <w:tr>
        <w:trPr>
          <w:tblHeader/>
        </w:trPr>
        <w:tc>
          <w:tcPr>
            <w:tcW w:type="dxa" w:w="18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17"/>
                <w:szCs w:val="17"/>
              </w:rPr>
              <w:t xml:space="preserve">Characteristic / response</w:t>
            </w:r>
          </w:p>
        </w:tc>
        <w:tc>
          <w:tcPr>
            <w:tcW w:type="dxa" w:w="12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Actor</w:t>
            </w:r>
          </w:p>
        </w:tc>
        <w:tc>
          <w:tcPr>
            <w:tcW w:type="dxa" w:w="9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Overall</w:t>
            </w:r>
          </w:p>
        </w:tc>
        <w:tc>
          <w:tcPr>
            <w:tcW w:type="dxa" w:w="82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Shimoni</w:t>
            </w:r>
          </w:p>
        </w:tc>
        <w:tc>
          <w:tcPr>
            <w:tcW w:type="dxa" w:w="82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Majoreni</w:t>
            </w:r>
          </w:p>
        </w:tc>
        <w:tc>
          <w:tcPr>
            <w:tcW w:type="dxa" w:w="76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Vanga</w:t>
            </w:r>
          </w:p>
        </w:tc>
        <w:tc>
          <w:tcPr>
            <w:tcW w:type="dxa" w:w="9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Msambweni</w:t>
            </w:r>
          </w:p>
        </w:tc>
        <w:tc>
          <w:tcPr>
            <w:tcW w:type="dxa" w:w="88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Other sites</w:t>
            </w:r>
          </w:p>
        </w:tc>
        <w:tc>
          <w:tcPr>
            <w:tcW w:type="dxa" w:w="846"/>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BMU p-value</w:t>
            </w:r>
          </w:p>
        </w:tc>
      </w:tr>
      <w:tr>
        <w:tc>
          <w:tcPr>
            <w:tcW w:type="dxa" w:w="9026"/>
            <w:gridSpan w:val="9"/>
            <w:tcBorders>
              <w:top w:val="none" w:color="FFFFFF" w:sz="0"/>
              <w:left w:val="none" w:color="FFFFFF" w:sz="0"/>
              <w:bottom w:val="none" w:color="FFFFFF" w:sz="0"/>
              <w:right w:val="none" w:color="FFFFFF" w:sz="0"/>
            </w:tcBorders>
            <w:tcMar>
              <w:top w:type="dxa" w:w="90"/>
              <w:left w:type="dxa" w:w="90"/>
              <w:bottom w:type="dxa" w:w="30"/>
              <w:right w:type="dxa" w:w="90"/>
            </w:tcMar>
          </w:tcPr>
          <w:p>
            <w:pPr>
              <w:spacing w:after="20" w:before="20" w:line="240"/>
              <w:jc w:val="left"/>
            </w:pPr>
            <w:r>
              <w:rPr>
                <w:rFonts w:ascii="Times New Roman" w:cs="Times New Roman" w:eastAsia="Times New Roman" w:hAnsi="Times New Roman"/>
                <w:b w:val="false"/>
                <w:bCs w:val="false"/>
                <w:i/>
                <w:iCs/>
                <w:color w:val="000000"/>
                <w:sz w:val="17"/>
                <w:szCs w:val="17"/>
              </w:rPr>
              <w:t xml:space="preserve">Adopted an innovative response</w:t>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No</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65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25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14 (100.0%)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21 (100.0%)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 (100.0%)</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 (100.0%)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No</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22</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22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11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7 (100.0%)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No</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5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No</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4</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9026"/>
            <w:gridSpan w:val="9"/>
            <w:tcBorders>
              <w:top w:val="none" w:color="FFFFFF" w:sz="0"/>
              <w:left w:val="none" w:color="FFFFFF" w:sz="0"/>
              <w:bottom w:val="none" w:color="FFFFFF" w:sz="0"/>
              <w:right w:val="none" w:color="FFFFFF" w:sz="0"/>
            </w:tcBorders>
            <w:tcMar>
              <w:top w:type="dxa" w:w="90"/>
              <w:left w:type="dxa" w:w="90"/>
              <w:bottom w:type="dxa" w:w="30"/>
              <w:right w:type="dxa" w:w="90"/>
            </w:tcMar>
          </w:tcPr>
          <w:p>
            <w:pPr>
              <w:spacing w:after="20" w:before="20" w:line="240"/>
              <w:jc w:val="left"/>
            </w:pPr>
            <w:r>
              <w:rPr>
                <w:rFonts w:ascii="Times New Roman" w:cs="Times New Roman" w:eastAsia="Times New Roman" w:hAnsi="Times New Roman"/>
                <w:b w:val="false"/>
                <w:bCs w:val="false"/>
                <w:i/>
                <w:iCs/>
                <w:color w:val="000000"/>
                <w:sz w:val="17"/>
                <w:szCs w:val="17"/>
              </w:rPr>
              <w:t xml:space="preserve">Changed marketing strategies</w:t>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Yes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No</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65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25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14 (100.0%)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21 (100.0%)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 (100.0%)</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 (100.0%)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Yes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22</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No</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22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11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7 (100.0%)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Yes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5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No</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Yes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4</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No</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9026"/>
            <w:gridSpan w:val="9"/>
            <w:tcBorders>
              <w:top w:val="none" w:color="FFFFFF" w:sz="0"/>
              <w:left w:val="none" w:color="FFFFFF" w:sz="0"/>
              <w:bottom w:val="none" w:color="FFFFFF" w:sz="0"/>
              <w:right w:val="none" w:color="FFFFFF" w:sz="0"/>
            </w:tcBorders>
            <w:tcMar>
              <w:top w:type="dxa" w:w="90"/>
              <w:left w:type="dxa" w:w="90"/>
              <w:bottom w:type="dxa" w:w="30"/>
              <w:right w:type="dxa" w:w="90"/>
            </w:tcMar>
          </w:tcPr>
          <w:p>
            <w:pPr>
              <w:spacing w:after="20" w:before="20" w:line="240"/>
              <w:jc w:val="left"/>
            </w:pPr>
            <w:r>
              <w:rPr>
                <w:rFonts w:ascii="Times New Roman" w:cs="Times New Roman" w:eastAsia="Times New Roman" w:hAnsi="Times New Roman"/>
                <w:b w:val="false"/>
                <w:bCs w:val="false"/>
                <w:i/>
                <w:iCs/>
                <w:color w:val="000000"/>
                <w:sz w:val="17"/>
                <w:szCs w:val="17"/>
              </w:rPr>
              <w:t xml:space="preserve">How functions are adapted within the chain</w:t>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Flexibility</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65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25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14 (100.0%)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21 (100.0%)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 (100.0%)</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 (100.0%)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Flexibility and collaboration</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Flexibility</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22</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22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11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7 (100.0%)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Flexibility and collaboration</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Flexibility</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5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Flexibility and collaboration</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Flexibility</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4</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Flexibility and collaboration</w:t>
            </w:r>
          </w:p>
        </w:tc>
        <w:tc>
          <w:tcPr>
            <w:tcW w:type="dxa" w:w="125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c>
          <w:tcPr>
            <w:tcW w:type="dxa" w:w="90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2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46"/>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bl>
    <w:p>
      <w:pPr>
        <w:spacing w:after="120" w:before="0" w:line="360"/>
        <w:jc w:val="both"/>
      </w:pPr>
      <w:r>
        <w:rPr>
          <w:rFonts w:ascii="Times New Roman" w:cs="Times New Roman" w:eastAsia="Times New Roman" w:hAnsi="Times New Roman"/>
          <w:color w:val="000000"/>
          <w:sz w:val="24"/>
          <w:szCs w:val="24"/>
        </w:rPr>
        <w:t xml:space="preserve">Table 49 completes that picture. Not one respondent in any actor category had adopted an innovative response. Only the nine downstream actors had changed their marketing strategies; no fisher and no middleman had. Flexibility was the universal adaptation, with exporters alone adding collaboration.</w:t>
      </w:r>
    </w:p>
    <w:p>
      <w:pPr>
        <w:spacing w:after="120" w:before="0" w:line="360"/>
        <w:jc w:val="both"/>
      </w:pPr>
      <w:r>
        <w:rPr>
          <w:rFonts w:ascii="Times New Roman" w:cs="Times New Roman" w:eastAsia="Times New Roman" w:hAnsi="Times New Roman"/>
          <w:color w:val="000000"/>
          <w:sz w:val="24"/>
          <w:szCs w:val="24"/>
        </w:rPr>
        <w:t xml:space="preserve">Read against Objective Three, Tables 47 to 49 say that upstream actors are absorbing risk rather than managing it. Diversification named as a risk strategy by a fisher who, in Table 11, reports no other income activity is an intention rather than a practice. The absence of any reported innovation across all 96 respondents also means that the constraints described above have not yet produced an adaptive response the actors themselves recognise as one.</w:t>
      </w:r>
    </w:p>
    <w:p>
      <w:pPr>
        <w:pStyle w:val="Heading3"/>
        <w:spacing w:after="120" w:before="240" w:line="360"/>
      </w:pPr>
      <w:r>
        <w:rPr>
          <w:rFonts w:ascii="Times New Roman" w:cs="Times New Roman" w:eastAsia="Times New Roman" w:hAnsi="Times New Roman"/>
          <w:b/>
          <w:bCs/>
          <w:color w:val="000000"/>
          <w:sz w:val="24"/>
          <w:szCs w:val="24"/>
        </w:rPr>
        <w:t xml:space="preserve">4.5.3 Regulation and Access to Information</w:t>
      </w:r>
    </w:p>
    <w:p>
      <w:pPr>
        <w:spacing w:after="0" w:before="240" w:line="240"/>
      </w:pPr>
      <w:r>
        <w:rPr>
          <w:rFonts w:ascii="Times New Roman" w:cs="Times New Roman" w:eastAsia="Times New Roman" w:hAnsi="Times New Roman"/>
          <w:b/>
          <w:bCs/>
          <w:color w:val="000000"/>
          <w:sz w:val="24"/>
          <w:szCs w:val="24"/>
        </w:rPr>
        <w:t xml:space="preserve">Table 50</w:t>
      </w:r>
    </w:p>
    <w:p>
      <w:pPr>
        <w:spacing w:after="120" w:before="0" w:line="240"/>
      </w:pPr>
      <w:r>
        <w:rPr>
          <w:rFonts w:ascii="Times New Roman" w:cs="Times New Roman" w:eastAsia="Times New Roman" w:hAnsi="Times New Roman"/>
          <w:b w:val="false"/>
          <w:bCs w:val="false"/>
          <w:i/>
          <w:iCs/>
          <w:color w:val="000000"/>
          <w:sz w:val="24"/>
          <w:szCs w:val="24"/>
        </w:rPr>
        <w:t xml:space="preserve">Regulation, Management-Plan Awareness and Sources of Industry Information by Actor and BMU</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1850"/>
        <w:gridCol w:w="1250"/>
        <w:gridCol w:w="900"/>
        <w:gridCol w:w="820"/>
        <w:gridCol w:w="820"/>
        <w:gridCol w:w="760"/>
        <w:gridCol w:w="900"/>
        <w:gridCol w:w="880"/>
        <w:gridCol w:w="846"/>
      </w:tblGrid>
      <w:tr>
        <w:trPr>
          <w:tblHeader/>
        </w:trPr>
        <w:tc>
          <w:tcPr>
            <w:tcW w:type="dxa" w:w="18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17"/>
                <w:szCs w:val="17"/>
              </w:rPr>
              <w:t xml:space="preserve">Characteristic / response</w:t>
            </w:r>
          </w:p>
        </w:tc>
        <w:tc>
          <w:tcPr>
            <w:tcW w:type="dxa" w:w="12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Actor</w:t>
            </w:r>
          </w:p>
        </w:tc>
        <w:tc>
          <w:tcPr>
            <w:tcW w:type="dxa" w:w="9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Overall</w:t>
            </w:r>
          </w:p>
        </w:tc>
        <w:tc>
          <w:tcPr>
            <w:tcW w:type="dxa" w:w="82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Shimoni</w:t>
            </w:r>
          </w:p>
        </w:tc>
        <w:tc>
          <w:tcPr>
            <w:tcW w:type="dxa" w:w="82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Majoreni</w:t>
            </w:r>
          </w:p>
        </w:tc>
        <w:tc>
          <w:tcPr>
            <w:tcW w:type="dxa" w:w="76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Vanga</w:t>
            </w:r>
          </w:p>
        </w:tc>
        <w:tc>
          <w:tcPr>
            <w:tcW w:type="dxa" w:w="9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Msambweni</w:t>
            </w:r>
          </w:p>
        </w:tc>
        <w:tc>
          <w:tcPr>
            <w:tcW w:type="dxa" w:w="88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Other sites</w:t>
            </w:r>
          </w:p>
        </w:tc>
        <w:tc>
          <w:tcPr>
            <w:tcW w:type="dxa" w:w="846"/>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BMU p-value</w:t>
            </w:r>
          </w:p>
        </w:tc>
      </w:tr>
      <w:tr>
        <w:tc>
          <w:tcPr>
            <w:tcW w:type="dxa" w:w="9026"/>
            <w:gridSpan w:val="9"/>
            <w:tcBorders>
              <w:top w:val="none" w:color="FFFFFF" w:sz="0"/>
              <w:left w:val="none" w:color="FFFFFF" w:sz="0"/>
              <w:bottom w:val="none" w:color="FFFFFF" w:sz="0"/>
              <w:right w:val="none" w:color="FFFFFF" w:sz="0"/>
            </w:tcBorders>
            <w:tcMar>
              <w:top w:type="dxa" w:w="90"/>
              <w:left w:type="dxa" w:w="90"/>
              <w:bottom w:type="dxa" w:w="30"/>
              <w:right w:type="dxa" w:w="90"/>
            </w:tcMar>
          </w:tcPr>
          <w:p>
            <w:pPr>
              <w:spacing w:after="20" w:before="20" w:line="240"/>
              <w:jc w:val="left"/>
            </w:pPr>
            <w:r>
              <w:rPr>
                <w:rFonts w:ascii="Times New Roman" w:cs="Times New Roman" w:eastAsia="Times New Roman" w:hAnsi="Times New Roman"/>
                <w:b w:val="false"/>
                <w:bCs w:val="false"/>
                <w:i/>
                <w:iCs/>
                <w:color w:val="000000"/>
                <w:sz w:val="17"/>
                <w:szCs w:val="17"/>
              </w:rPr>
              <w:t xml:space="preserve">Regulations affect marketing activities</w:t>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Yes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65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25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14 (100.0%)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21 (100.0%)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 (100.0%)</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 (100.0%)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No</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Yes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22</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16 (72.7%)</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8 (72.7%)</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5 (71.4%)</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 (75.0%)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1.000</w:t>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No</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6 (27.3%)</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 (27.3%)</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 (28.6%)</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(25.0%)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Yes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5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No</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Yes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4</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No</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9026"/>
            <w:gridSpan w:val="9"/>
            <w:tcBorders>
              <w:top w:val="none" w:color="FFFFFF" w:sz="0"/>
              <w:left w:val="none" w:color="FFFFFF" w:sz="0"/>
              <w:bottom w:val="none" w:color="FFFFFF" w:sz="0"/>
              <w:right w:val="none" w:color="FFFFFF" w:sz="0"/>
            </w:tcBorders>
            <w:tcMar>
              <w:top w:type="dxa" w:w="90"/>
              <w:left w:type="dxa" w:w="90"/>
              <w:bottom w:type="dxa" w:w="30"/>
              <w:right w:type="dxa" w:w="90"/>
            </w:tcMar>
          </w:tcPr>
          <w:p>
            <w:pPr>
              <w:spacing w:after="20" w:before="20" w:line="240"/>
              <w:jc w:val="left"/>
            </w:pPr>
            <w:r>
              <w:rPr>
                <w:rFonts w:ascii="Times New Roman" w:cs="Times New Roman" w:eastAsia="Times New Roman" w:hAnsi="Times New Roman"/>
                <w:b w:val="false"/>
                <w:bCs w:val="false"/>
                <w:i/>
                <w:iCs/>
                <w:color w:val="000000"/>
                <w:sz w:val="17"/>
                <w:szCs w:val="17"/>
              </w:rPr>
              <w:t xml:space="preserve">Knows persons or organizations interested in the fishery</w:t>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Yes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65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25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14 (100.0%)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21 (100.0%)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 (100.0%)</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 (100.0%)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Yes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22</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22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11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7 (100.0%)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Yes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5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Yes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4</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9026"/>
            <w:gridSpan w:val="9"/>
            <w:tcBorders>
              <w:top w:val="none" w:color="FFFFFF" w:sz="0"/>
              <w:left w:val="none" w:color="FFFFFF" w:sz="0"/>
              <w:bottom w:val="none" w:color="FFFFFF" w:sz="0"/>
              <w:right w:val="none" w:color="FFFFFF" w:sz="0"/>
            </w:tcBorders>
            <w:tcMar>
              <w:top w:type="dxa" w:w="90"/>
              <w:left w:type="dxa" w:w="90"/>
              <w:bottom w:type="dxa" w:w="30"/>
              <w:right w:type="dxa" w:w="90"/>
            </w:tcMar>
          </w:tcPr>
          <w:p>
            <w:pPr>
              <w:spacing w:after="20" w:before="20" w:line="240"/>
              <w:jc w:val="left"/>
            </w:pPr>
            <w:r>
              <w:rPr>
                <w:rFonts w:ascii="Times New Roman" w:cs="Times New Roman" w:eastAsia="Times New Roman" w:hAnsi="Times New Roman"/>
                <w:b w:val="false"/>
                <w:bCs w:val="false"/>
                <w:i/>
                <w:iCs/>
                <w:color w:val="000000"/>
                <w:sz w:val="17"/>
                <w:szCs w:val="17"/>
              </w:rPr>
              <w:t xml:space="preserve">How the actor remains updated on industry trends</w:t>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Networking</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65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25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14 (100.0%)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21 (100.0%)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 (100.0%)</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 (100.0%)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Networking</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22</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22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11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7 (100.0%)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Networking</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5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Networking</w:t>
            </w:r>
          </w:p>
        </w:tc>
        <w:tc>
          <w:tcPr>
            <w:tcW w:type="dxa" w:w="125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4</w:t>
            </w:r>
          </w:p>
        </w:tc>
        <w:tc>
          <w:tcPr>
            <w:tcW w:type="dxa" w:w="90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2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46"/>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bl>
    <w:p>
      <w:pPr>
        <w:spacing w:after="120" w:before="0" w:line="360"/>
        <w:jc w:val="both"/>
      </w:pPr>
      <w:r>
        <w:rPr>
          <w:rFonts w:ascii="Times New Roman" w:cs="Times New Roman" w:eastAsia="Times New Roman" w:hAnsi="Times New Roman"/>
          <w:color w:val="000000"/>
          <w:sz w:val="24"/>
          <w:szCs w:val="24"/>
        </w:rPr>
        <w:t xml:space="preserve">As shown in Table 50, regulation was felt across the chain: all 65 fishers, 16 of 22 middlemen (72.7%), all five hoteliers and all four exporters said regulations affected their marketing activities. Awareness of the instrument governing the fishery, shown in Figure 20, was far less evenly spread. Twenty-one middlemen (95.5%) and all four exporters knew of a crab fishery management plan, against only 10 fishers (15.4%) and not one hotelier. Among fishers the aware share ranged from none at Majoreni to 6 of 21 (28.6%) at Vanga, although the site difference was not significant (p = .118). Every respondent in every category said they knew of persons or organisations interested in the fishery, and every one said they stayed current by networking.</w:t>
      </w:r>
    </w:p>
    <w:p>
      <w:pPr>
        <w:spacing w:after="0" w:before="240" w:line="240"/>
      </w:pPr>
      <w:r>
        <w:rPr>
          <w:rFonts w:ascii="Times New Roman" w:cs="Times New Roman" w:eastAsia="Times New Roman" w:hAnsi="Times New Roman"/>
          <w:b/>
          <w:bCs/>
          <w:color w:val="000000"/>
          <w:sz w:val="24"/>
          <w:szCs w:val="24"/>
        </w:rPr>
        <w:t xml:space="preserve">Figure 20</w:t>
      </w:r>
    </w:p>
    <w:p>
      <w:pPr>
        <w:spacing w:after="120" w:before="0" w:line="240"/>
      </w:pPr>
      <w:r>
        <w:rPr>
          <w:rFonts w:ascii="Times New Roman" w:cs="Times New Roman" w:eastAsia="Times New Roman" w:hAnsi="Times New Roman"/>
          <w:i/>
          <w:iCs/>
          <w:color w:val="000000"/>
          <w:sz w:val="24"/>
          <w:szCs w:val="24"/>
        </w:rPr>
        <w:t xml:space="preserve">Awareness of the Crab Fishery Management Plan Among Fishers, by BMU</w:t>
      </w:r>
    </w:p>
    <w:p>
      <w:pPr>
        <w:spacing w:after="240"/>
        <w:jc w:val="center"/>
      </w:pPr>
      <w:r>
        <w:drawing>
          <wp:inline distT="0" distB="0" distL="0" distR="0">
            <wp:extent cx="5715000" cy="26003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715000" cy="2600325"/>
                    </a:xfrm>
                    <a:prstGeom prst="rect">
                      <a:avLst/>
                    </a:prstGeom>
                  </pic:spPr>
                </pic:pic>
              </a:graphicData>
            </a:graphic>
          </wp:inline>
        </w:drawing>
      </w:r>
    </w:p>
    <w:p>
      <w:pPr>
        <w:spacing w:after="120" w:before="0" w:line="360"/>
        <w:jc w:val="both"/>
      </w:pPr>
      <w:r>
        <w:rPr>
          <w:rFonts w:ascii="Times New Roman" w:cs="Times New Roman" w:eastAsia="Times New Roman" w:hAnsi="Times New Roman"/>
          <w:color w:val="000000"/>
          <w:sz w:val="24"/>
          <w:szCs w:val="24"/>
        </w:rPr>
        <w:t xml:space="preserve">That contrast is the substantive finding of this subsection. Information about how the fishery is managed reaches the commercially connected nodes and misses the harvesting node, even though the co-management structures built to carry it are anchored at the landing site. Since every actor reported relying on networking, the route by which information travels is the same commercial relationship that sets the price.</w:t>
      </w:r>
    </w:p>
    <w:p>
      <w:pPr>
        <w:pStyle w:val="Heading3"/>
        <w:spacing w:after="120" w:before="240" w:line="360"/>
      </w:pPr>
      <w:r>
        <w:rPr>
          <w:rFonts w:ascii="Times New Roman" w:cs="Times New Roman" w:eastAsia="Times New Roman" w:hAnsi="Times New Roman"/>
          <w:b/>
          <w:bCs/>
          <w:color w:val="000000"/>
          <w:sz w:val="24"/>
          <w:szCs w:val="24"/>
        </w:rPr>
        <w:t xml:space="preserve">4.5.4 Perceptions of Market Organisation and Policy</w:t>
      </w:r>
    </w:p>
    <w:p>
      <w:pPr>
        <w:spacing w:after="120" w:before="0" w:line="360"/>
        <w:jc w:val="both"/>
      </w:pPr>
      <w:r>
        <w:rPr>
          <w:rFonts w:ascii="Times New Roman" w:cs="Times New Roman" w:eastAsia="Times New Roman" w:hAnsi="Times New Roman"/>
          <w:color w:val="000000"/>
          <w:sz w:val="24"/>
          <w:szCs w:val="24"/>
        </w:rPr>
        <w:t xml:space="preserve">Figure 21 shows steady negativity about how the market is organised. Forty-five fishers (69.2%) disagreed that the market is well structured and 14 (21.5%) agreed; 13 middlemen (59.1%) disagreed and a further 6 (27.3%) strongly disagreed; all five hoteliers and all four exporters disagreed. No hotelier or exporter agreed. Neither fisher (p = .570) nor middleman (p = .826) responses varied by site.</w:t>
      </w:r>
    </w:p>
    <w:p>
      <w:pPr>
        <w:spacing w:after="0" w:before="240" w:line="240"/>
      </w:pPr>
      <w:r>
        <w:rPr>
          <w:rFonts w:ascii="Times New Roman" w:cs="Times New Roman" w:eastAsia="Times New Roman" w:hAnsi="Times New Roman"/>
          <w:b/>
          <w:bCs/>
          <w:color w:val="000000"/>
          <w:sz w:val="24"/>
          <w:szCs w:val="24"/>
        </w:rPr>
        <w:t xml:space="preserve">Figure 21</w:t>
      </w:r>
    </w:p>
    <w:p>
      <w:pPr>
        <w:spacing w:after="120" w:before="0" w:line="240"/>
      </w:pPr>
      <w:r>
        <w:rPr>
          <w:rFonts w:ascii="Times New Roman" w:cs="Times New Roman" w:eastAsia="Times New Roman" w:hAnsi="Times New Roman"/>
          <w:i/>
          <w:iCs/>
          <w:color w:val="000000"/>
          <w:sz w:val="24"/>
          <w:szCs w:val="24"/>
        </w:rPr>
        <w:t xml:space="preserve">Perception That the Mud Crab Market Is Well Structured, by Actor Category</w:t>
      </w:r>
    </w:p>
    <w:p>
      <w:pPr>
        <w:spacing w:after="240"/>
        <w:jc w:val="center"/>
      </w:pPr>
      <w:r>
        <w:drawing>
          <wp:inline distT="0" distB="0" distL="0" distR="0">
            <wp:extent cx="5715000" cy="2276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715000" cy="2276475"/>
                    </a:xfrm>
                    <a:prstGeom prst="rect">
                      <a:avLst/>
                    </a:prstGeom>
                  </pic:spPr>
                </pic:pic>
              </a:graphicData>
            </a:graphic>
          </wp:inline>
        </w:drawing>
      </w:r>
    </w:p>
    <w:p>
      <w:pPr>
        <w:spacing w:after="0" w:before="240" w:line="240"/>
      </w:pPr>
      <w:r>
        <w:rPr>
          <w:rFonts w:ascii="Times New Roman" w:cs="Times New Roman" w:eastAsia="Times New Roman" w:hAnsi="Times New Roman"/>
          <w:b/>
          <w:bCs/>
          <w:color w:val="000000"/>
          <w:sz w:val="24"/>
          <w:szCs w:val="24"/>
        </w:rPr>
        <w:t xml:space="preserve">Table 51</w:t>
      </w:r>
    </w:p>
    <w:p>
      <w:pPr>
        <w:spacing w:after="120" w:before="0" w:line="240"/>
      </w:pPr>
      <w:r>
        <w:rPr>
          <w:rFonts w:ascii="Times New Roman" w:cs="Times New Roman" w:eastAsia="Times New Roman" w:hAnsi="Times New Roman"/>
          <w:b w:val="false"/>
          <w:bCs w:val="false"/>
          <w:i/>
          <w:iCs/>
          <w:color w:val="000000"/>
          <w:sz w:val="24"/>
          <w:szCs w:val="24"/>
        </w:rPr>
        <w:t xml:space="preserve">Perception That Mud Crab Marketing Is Integrated With Other Fisheries by Actor and BMU</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1850"/>
        <w:gridCol w:w="1250"/>
        <w:gridCol w:w="900"/>
        <w:gridCol w:w="820"/>
        <w:gridCol w:w="820"/>
        <w:gridCol w:w="760"/>
        <w:gridCol w:w="900"/>
        <w:gridCol w:w="880"/>
        <w:gridCol w:w="846"/>
      </w:tblGrid>
      <w:tr>
        <w:trPr>
          <w:tblHeader/>
        </w:trPr>
        <w:tc>
          <w:tcPr>
            <w:tcW w:type="dxa" w:w="18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17"/>
                <w:szCs w:val="17"/>
              </w:rPr>
              <w:t xml:space="preserve">Characteristic / response</w:t>
            </w:r>
          </w:p>
        </w:tc>
        <w:tc>
          <w:tcPr>
            <w:tcW w:type="dxa" w:w="12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Actor</w:t>
            </w:r>
          </w:p>
        </w:tc>
        <w:tc>
          <w:tcPr>
            <w:tcW w:type="dxa" w:w="9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Overall</w:t>
            </w:r>
          </w:p>
        </w:tc>
        <w:tc>
          <w:tcPr>
            <w:tcW w:type="dxa" w:w="82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Shimoni</w:t>
            </w:r>
          </w:p>
        </w:tc>
        <w:tc>
          <w:tcPr>
            <w:tcW w:type="dxa" w:w="82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Majoreni</w:t>
            </w:r>
          </w:p>
        </w:tc>
        <w:tc>
          <w:tcPr>
            <w:tcW w:type="dxa" w:w="76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Vanga</w:t>
            </w:r>
          </w:p>
        </w:tc>
        <w:tc>
          <w:tcPr>
            <w:tcW w:type="dxa" w:w="9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Msambweni</w:t>
            </w:r>
          </w:p>
        </w:tc>
        <w:tc>
          <w:tcPr>
            <w:tcW w:type="dxa" w:w="88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Other sites</w:t>
            </w:r>
          </w:p>
        </w:tc>
        <w:tc>
          <w:tcPr>
            <w:tcW w:type="dxa" w:w="846"/>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BMU p-value</w:t>
            </w:r>
          </w:p>
        </w:tc>
      </w:tr>
      <w:tr>
        <w:tc>
          <w:tcPr>
            <w:tcW w:type="dxa" w:w="9026"/>
            <w:gridSpan w:val="9"/>
            <w:tcBorders>
              <w:top w:val="none" w:color="FFFFFF" w:sz="0"/>
              <w:left w:val="none" w:color="FFFFFF" w:sz="0"/>
              <w:bottom w:val="none" w:color="FFFFFF" w:sz="0"/>
              <w:right w:val="none" w:color="FFFFFF" w:sz="0"/>
            </w:tcBorders>
            <w:tcMar>
              <w:top w:type="dxa" w:w="90"/>
              <w:left w:type="dxa" w:w="90"/>
              <w:bottom w:type="dxa" w:w="30"/>
              <w:right w:type="dxa" w:w="90"/>
            </w:tcMar>
          </w:tcPr>
          <w:p>
            <w:pPr>
              <w:spacing w:after="20" w:before="20" w:line="240"/>
              <w:jc w:val="left"/>
            </w:pPr>
            <w:r>
              <w:rPr>
                <w:rFonts w:ascii="Times New Roman" w:cs="Times New Roman" w:eastAsia="Times New Roman" w:hAnsi="Times New Roman"/>
                <w:b w:val="false"/>
                <w:bCs w:val="false"/>
                <w:i/>
                <w:iCs/>
                <w:color w:val="000000"/>
                <w:sz w:val="17"/>
                <w:szCs w:val="17"/>
              </w:rPr>
              <w:t xml:space="preserve">Perception that mud crab marketing is integrated with other species</w:t>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Strongly disagree</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.541</w:t>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Disagree</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52 (80.0%)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22 (88.0%)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10 (71.4%)</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16 (76.2%)</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 (100.0%)</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(50.0%)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Neutral</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11 (16.9%)</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 (12.0%)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(28.6%)</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(19.0%)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Agree</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 (3.1%)</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(4.8%)</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(50.0%)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Strongly disagree</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22</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14 (63.6%)</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6 (54.5%)</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(57.1%)</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.366</w:t>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Disagree</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8 (36.4%)</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5 (45.5%)</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 (42.9%)</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Neutral</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Agree</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Strongly disagree</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Disagree</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5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Neutral</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Agree</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Strongly disagree</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4</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Disagree</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Neutral</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Agree</w:t>
            </w:r>
          </w:p>
        </w:tc>
        <w:tc>
          <w:tcPr>
            <w:tcW w:type="dxa" w:w="125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c>
          <w:tcPr>
            <w:tcW w:type="dxa" w:w="90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bl>
    <w:p>
      <w:pPr>
        <w:spacing w:after="120" w:before="0" w:line="360"/>
        <w:jc w:val="both"/>
      </w:pPr>
      <w:r>
        <w:rPr>
          <w:rFonts w:ascii="Times New Roman" w:cs="Times New Roman" w:eastAsia="Times New Roman" w:hAnsi="Times New Roman"/>
          <w:color w:val="000000"/>
          <w:sz w:val="24"/>
          <w:szCs w:val="24"/>
        </w:rPr>
        <w:t xml:space="preserve">Judgements on integration were harsher still, as Table 51 shows. Fifty-two fishers (80.0%) disagreed and only 2 (3.1%) agreed; among middlemen, 14 (63.6%) strongly disagreed and the remaining 8 (36.4%) disagreed, so not one middleman was neutral or positive. All hoteliers and exporters disagreed. Neither group varied significantly by site.</w:t>
      </w:r>
    </w:p>
    <w:p>
      <w:pPr>
        <w:spacing w:after="0" w:before="240" w:line="240"/>
      </w:pPr>
      <w:r>
        <w:rPr>
          <w:rFonts w:ascii="Times New Roman" w:cs="Times New Roman" w:eastAsia="Times New Roman" w:hAnsi="Times New Roman"/>
          <w:b/>
          <w:bCs/>
          <w:color w:val="000000"/>
          <w:sz w:val="24"/>
          <w:szCs w:val="24"/>
        </w:rPr>
        <w:t xml:space="preserve">Table 52</w:t>
      </w:r>
    </w:p>
    <w:p>
      <w:pPr>
        <w:spacing w:after="120" w:before="0" w:line="240"/>
      </w:pPr>
      <w:r>
        <w:rPr>
          <w:rFonts w:ascii="Times New Roman" w:cs="Times New Roman" w:eastAsia="Times New Roman" w:hAnsi="Times New Roman"/>
          <w:b w:val="false"/>
          <w:bCs w:val="false"/>
          <w:i/>
          <w:iCs/>
          <w:color w:val="000000"/>
          <w:sz w:val="24"/>
          <w:szCs w:val="24"/>
        </w:rPr>
        <w:t xml:space="preserve">Awareness of a Policy Framework for Crab Markets by Actor and BMU</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1850"/>
        <w:gridCol w:w="1250"/>
        <w:gridCol w:w="900"/>
        <w:gridCol w:w="820"/>
        <w:gridCol w:w="820"/>
        <w:gridCol w:w="760"/>
        <w:gridCol w:w="900"/>
        <w:gridCol w:w="880"/>
        <w:gridCol w:w="846"/>
      </w:tblGrid>
      <w:tr>
        <w:trPr>
          <w:tblHeader/>
        </w:trPr>
        <w:tc>
          <w:tcPr>
            <w:tcW w:type="dxa" w:w="18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17"/>
                <w:szCs w:val="17"/>
              </w:rPr>
              <w:t xml:space="preserve">Characteristic / response</w:t>
            </w:r>
          </w:p>
        </w:tc>
        <w:tc>
          <w:tcPr>
            <w:tcW w:type="dxa" w:w="12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Actor</w:t>
            </w:r>
          </w:p>
        </w:tc>
        <w:tc>
          <w:tcPr>
            <w:tcW w:type="dxa" w:w="9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Overall</w:t>
            </w:r>
          </w:p>
        </w:tc>
        <w:tc>
          <w:tcPr>
            <w:tcW w:type="dxa" w:w="82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Shimoni</w:t>
            </w:r>
          </w:p>
        </w:tc>
        <w:tc>
          <w:tcPr>
            <w:tcW w:type="dxa" w:w="82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Majoreni</w:t>
            </w:r>
          </w:p>
        </w:tc>
        <w:tc>
          <w:tcPr>
            <w:tcW w:type="dxa" w:w="76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Vanga</w:t>
            </w:r>
          </w:p>
        </w:tc>
        <w:tc>
          <w:tcPr>
            <w:tcW w:type="dxa" w:w="9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Msambweni</w:t>
            </w:r>
          </w:p>
        </w:tc>
        <w:tc>
          <w:tcPr>
            <w:tcW w:type="dxa" w:w="88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Other sites</w:t>
            </w:r>
          </w:p>
        </w:tc>
        <w:tc>
          <w:tcPr>
            <w:tcW w:type="dxa" w:w="846"/>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BMU p-value</w:t>
            </w:r>
          </w:p>
        </w:tc>
      </w:tr>
      <w:tr>
        <w:tc>
          <w:tcPr>
            <w:tcW w:type="dxa" w:w="9026"/>
            <w:gridSpan w:val="9"/>
            <w:tcBorders>
              <w:top w:val="none" w:color="FFFFFF" w:sz="0"/>
              <w:left w:val="none" w:color="FFFFFF" w:sz="0"/>
              <w:bottom w:val="none" w:color="FFFFFF" w:sz="0"/>
              <w:right w:val="none" w:color="FFFFFF" w:sz="0"/>
            </w:tcBorders>
            <w:tcMar>
              <w:top w:type="dxa" w:w="90"/>
              <w:left w:type="dxa" w:w="90"/>
              <w:bottom w:type="dxa" w:w="30"/>
              <w:right w:type="dxa" w:w="90"/>
            </w:tcMar>
          </w:tcPr>
          <w:p>
            <w:pPr>
              <w:spacing w:after="20" w:before="20" w:line="240"/>
              <w:jc w:val="left"/>
            </w:pPr>
            <w:r>
              <w:rPr>
                <w:rFonts w:ascii="Times New Roman" w:cs="Times New Roman" w:eastAsia="Times New Roman" w:hAnsi="Times New Roman"/>
                <w:b w:val="false"/>
                <w:bCs w:val="false"/>
                <w:i/>
                <w:iCs/>
                <w:color w:val="000000"/>
                <w:sz w:val="17"/>
                <w:szCs w:val="17"/>
              </w:rPr>
              <w:t xml:space="preserve">Awareness of a policy framework for crab markets</w:t>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Strongly disagree</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6 (9.2%)</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 (12.0%)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(7.1%)</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 (9.5%)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.933</w:t>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Disagree</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11 (16.9%)</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(16.0%)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 (14.3%)</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5 (23.8%)</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Neutral</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48 (73.8%)</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18 (72.0%)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11 (78.6%)</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14 (66.7%)</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 (100.0%)</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 (100.0%)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Strongly disagree</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22</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14 (63.6%)</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5 (45.5%)</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5 (71.4%)</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.427</w:t>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Disagree</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7 (31.8%)</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5 (45.5%)</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 (28.6%)</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Neutral</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(4.5%)</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(9.1%)</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Strongly disagree</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Disagree</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Neutral</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5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Strongly disagree</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4</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Disagree</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Neutral</w:t>
            </w:r>
          </w:p>
        </w:tc>
        <w:tc>
          <w:tcPr>
            <w:tcW w:type="dxa" w:w="125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c>
          <w:tcPr>
            <w:tcW w:type="dxa" w:w="90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2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46"/>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bl>
    <w:p>
      <w:pPr>
        <w:spacing w:after="120" w:before="0" w:line="360"/>
        <w:jc w:val="both"/>
      </w:pPr>
      <w:r>
        <w:rPr>
          <w:rFonts w:ascii="Times New Roman" w:cs="Times New Roman" w:eastAsia="Times New Roman" w:hAnsi="Times New Roman"/>
          <w:color w:val="000000"/>
          <w:sz w:val="24"/>
          <w:szCs w:val="24"/>
        </w:rPr>
        <w:t xml:space="preserve">Table 52 shows a sharp difference in how the policy environment was read. Forty-eight fishers (73.8%) were neutral on whether a policy framework exists, with 11 (16.9%) disagreeing and 6 (9.2%) strongly disagreeing. Middlemen were far more emphatic: 14 (63.6%) strongly disagreed and 7 (31.8%) disagreed. All hoteliers and exporters were neutral. Neither fisher (p = .933) nor middleman (p = .427) responses varied by site.</w:t>
      </w:r>
    </w:p>
    <w:p>
      <w:pPr>
        <w:spacing w:after="120" w:before="0" w:line="360"/>
        <w:jc w:val="both"/>
      </w:pPr>
      <w:r>
        <w:rPr>
          <w:rFonts w:ascii="Times New Roman" w:cs="Times New Roman" w:eastAsia="Times New Roman" w:hAnsi="Times New Roman"/>
          <w:color w:val="000000"/>
          <w:sz w:val="24"/>
          <w:szCs w:val="24"/>
        </w:rPr>
        <w:t xml:space="preserve">The large neutral response among fishers is not approval. Set beside the 15.4% management-plan awareness recorded in Table 50, it more plausibly reflects unfamiliarity with the policy environment than a settled judgement about it. The middlemen, who were aware of the management plan almost to a person, were also the group most willing to say the framework does not work, which suggests the negative judgements in this chain come from knowledge rather than from ignorance.</w:t>
      </w:r>
    </w:p>
    <w:p>
      <w:pPr>
        <w:pStyle w:val="Heading3"/>
        <w:spacing w:after="120" w:before="240" w:line="360"/>
      </w:pPr>
      <w:r>
        <w:rPr>
          <w:rFonts w:ascii="Times New Roman" w:cs="Times New Roman" w:eastAsia="Times New Roman" w:hAnsi="Times New Roman"/>
          <w:b/>
          <w:bCs/>
          <w:color w:val="000000"/>
          <w:sz w:val="24"/>
          <w:szCs w:val="24"/>
        </w:rPr>
        <w:t xml:space="preserve">4.5.5 Opportunities, Youth Participation and Diversification</w:t>
      </w:r>
    </w:p>
    <w:p>
      <w:pPr>
        <w:spacing w:after="120" w:before="0" w:line="360"/>
        <w:jc w:val="both"/>
      </w:pPr>
      <w:r>
        <w:rPr>
          <w:rFonts w:ascii="Times New Roman" w:cs="Times New Roman" w:eastAsia="Times New Roman" w:hAnsi="Times New Roman"/>
          <w:color w:val="000000"/>
          <w:sz w:val="24"/>
          <w:szCs w:val="24"/>
        </w:rPr>
        <w:t xml:space="preserve">Nothing in this chapter expresses the structure of the chain more clearly than Figure 22. Market-access improvement was the priority for 56 fishers (86.2%) and for every hotelier and exporter, while price stability was the priority for 21 of 22 middlemen (95.5%). On what would improve the system, shown in Figure 23, every fisher named government support alone, while middlemen split between government support (12, 54.5%) and government support with industry collaboration (8, 36.4%); hoteliers and exporters named the combined option. Neither item varied significantly by site.</w:t>
      </w:r>
    </w:p>
    <w:p>
      <w:pPr>
        <w:spacing w:after="0" w:before="240" w:line="240"/>
      </w:pPr>
      <w:r>
        <w:rPr>
          <w:rFonts w:ascii="Times New Roman" w:cs="Times New Roman" w:eastAsia="Times New Roman" w:hAnsi="Times New Roman"/>
          <w:b/>
          <w:bCs/>
          <w:color w:val="000000"/>
          <w:sz w:val="24"/>
          <w:szCs w:val="24"/>
        </w:rPr>
        <w:t xml:space="preserve">Figure 22</w:t>
      </w:r>
    </w:p>
    <w:p>
      <w:pPr>
        <w:spacing w:after="120" w:before="0" w:line="240"/>
      </w:pPr>
      <w:r>
        <w:rPr>
          <w:rFonts w:ascii="Times New Roman" w:cs="Times New Roman" w:eastAsia="Times New Roman" w:hAnsi="Times New Roman"/>
          <w:i/>
          <w:iCs/>
          <w:color w:val="000000"/>
          <w:sz w:val="24"/>
          <w:szCs w:val="24"/>
        </w:rPr>
        <w:t xml:space="preserve">Priority Opportunity for Improving Mud Crab Marketing by Actor Category</w:t>
      </w:r>
    </w:p>
    <w:p>
      <w:pPr>
        <w:spacing w:after="240"/>
        <w:jc w:val="center"/>
      </w:pPr>
      <w:r>
        <w:drawing>
          <wp:inline distT="0" distB="0" distL="0" distR="0">
            <wp:extent cx="5715000" cy="17240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715000" cy="1724025"/>
                    </a:xfrm>
                    <a:prstGeom prst="rect">
                      <a:avLst/>
                    </a:prstGeom>
                  </pic:spPr>
                </pic:pic>
              </a:graphicData>
            </a:graphic>
          </wp:inline>
        </w:drawing>
      </w:r>
    </w:p>
    <w:p>
      <w:pPr>
        <w:spacing w:after="0" w:before="240" w:line="240"/>
      </w:pPr>
      <w:r>
        <w:rPr>
          <w:rFonts w:ascii="Times New Roman" w:cs="Times New Roman" w:eastAsia="Times New Roman" w:hAnsi="Times New Roman"/>
          <w:b/>
          <w:bCs/>
          <w:color w:val="000000"/>
          <w:sz w:val="24"/>
          <w:szCs w:val="24"/>
        </w:rPr>
        <w:t xml:space="preserve">Figure 23</w:t>
      </w:r>
    </w:p>
    <w:p>
      <w:pPr>
        <w:spacing w:after="120" w:before="0" w:line="240"/>
      </w:pPr>
      <w:r>
        <w:rPr>
          <w:rFonts w:ascii="Times New Roman" w:cs="Times New Roman" w:eastAsia="Times New Roman" w:hAnsi="Times New Roman"/>
          <w:i/>
          <w:iCs/>
          <w:color w:val="000000"/>
          <w:sz w:val="24"/>
          <w:szCs w:val="24"/>
        </w:rPr>
        <w:t xml:space="preserve">Recommended Market-System Enhancement by Actor Category</w:t>
      </w:r>
    </w:p>
    <w:p>
      <w:pPr>
        <w:spacing w:after="240"/>
        <w:jc w:val="center"/>
      </w:pPr>
      <w:r>
        <w:drawing>
          <wp:inline distT="0" distB="0" distL="0" distR="0">
            <wp:extent cx="5715000" cy="1981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715000" cy="1981200"/>
                    </a:xfrm>
                    <a:prstGeom prst="rect">
                      <a:avLst/>
                    </a:prstGeom>
                  </pic:spPr>
                </pic:pic>
              </a:graphicData>
            </a:graphic>
          </wp:inline>
        </w:drawing>
      </w:r>
    </w:p>
    <w:p>
      <w:pPr>
        <w:spacing w:after="120" w:before="0" w:line="360"/>
        <w:jc w:val="both"/>
      </w:pPr>
      <w:r>
        <w:rPr>
          <w:rFonts w:ascii="Times New Roman" w:cs="Times New Roman" w:eastAsia="Times New Roman" w:hAnsi="Times New Roman"/>
          <w:color w:val="000000"/>
          <w:sz w:val="24"/>
          <w:szCs w:val="24"/>
        </w:rPr>
        <w:t xml:space="preserve">These are two views of one transaction. The fisher wants an alternative to the buyer standing in front of him; the middleman wants the price he pays and receives to hold still while he carries stock and credit risk. Splitting the difference will not reconcile them, because better market access for fishers means more competition for middlemen. Better price information and clearer grades reduce uncertainty for both without fixing an administered price.</w:t>
      </w:r>
    </w:p>
    <w:p>
      <w:pPr>
        <w:spacing w:after="120" w:before="0" w:line="360"/>
        <w:jc w:val="both"/>
      </w:pPr>
      <w:r>
        <w:rPr>
          <w:rFonts w:ascii="Times New Roman" w:cs="Times New Roman" w:eastAsia="Times New Roman" w:hAnsi="Times New Roman"/>
          <w:color w:val="000000"/>
          <w:sz w:val="24"/>
          <w:szCs w:val="24"/>
        </w:rPr>
        <w:t xml:space="preserve">Figure 24 shows that youth involvement was rated low or very low by every respondent who expressed a view: 58 fishers (89.2%) and 16 middlemen (72.7%) said low, while 6 middlemen (27.3%), 3 hoteliers (60.0%) and 3 exporters (75.0%) said very low. Not one respondent in any category rated it high. Diversification potential, in Figure 25, divided the chain: 26 fishers (40.0%) said it had not been explored and 8 (12.3%) were negative, while 14 middlemen (63.6%) were positive. All hoteliers and exporters said it had not been explored. Neither item varied significantly by site.</w:t>
      </w:r>
    </w:p>
    <w:p>
      <w:pPr>
        <w:spacing w:after="0" w:before="240" w:line="240"/>
      </w:pPr>
      <w:r>
        <w:rPr>
          <w:rFonts w:ascii="Times New Roman" w:cs="Times New Roman" w:eastAsia="Times New Roman" w:hAnsi="Times New Roman"/>
          <w:b/>
          <w:bCs/>
          <w:color w:val="000000"/>
          <w:sz w:val="24"/>
          <w:szCs w:val="24"/>
        </w:rPr>
        <w:t xml:space="preserve">Figure 24</w:t>
      </w:r>
    </w:p>
    <w:p>
      <w:pPr>
        <w:spacing w:after="120" w:before="0" w:line="240"/>
      </w:pPr>
      <w:r>
        <w:rPr>
          <w:rFonts w:ascii="Times New Roman" w:cs="Times New Roman" w:eastAsia="Times New Roman" w:hAnsi="Times New Roman"/>
          <w:i/>
          <w:iCs/>
          <w:color w:val="000000"/>
          <w:sz w:val="24"/>
          <w:szCs w:val="24"/>
        </w:rPr>
        <w:t xml:space="preserve">Reported Involvement of Youth by Actor Category</w:t>
      </w:r>
    </w:p>
    <w:p>
      <w:pPr>
        <w:spacing w:after="240"/>
        <w:jc w:val="center"/>
      </w:pPr>
      <w:r>
        <w:drawing>
          <wp:inline distT="0" distB="0" distL="0" distR="0">
            <wp:extent cx="5715000" cy="24479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5715000" cy="2447925"/>
                    </a:xfrm>
                    <a:prstGeom prst="rect">
                      <a:avLst/>
                    </a:prstGeom>
                  </pic:spPr>
                </pic:pic>
              </a:graphicData>
            </a:graphic>
          </wp:inline>
        </w:drawing>
      </w:r>
    </w:p>
    <w:p>
      <w:pPr>
        <w:spacing w:after="0" w:before="240" w:line="240"/>
      </w:pPr>
      <w:r>
        <w:rPr>
          <w:rFonts w:ascii="Times New Roman" w:cs="Times New Roman" w:eastAsia="Times New Roman" w:hAnsi="Times New Roman"/>
          <w:b/>
          <w:bCs/>
          <w:color w:val="000000"/>
          <w:sz w:val="24"/>
          <w:szCs w:val="24"/>
        </w:rPr>
        <w:t xml:space="preserve">Figure 25</w:t>
      </w:r>
    </w:p>
    <w:p>
      <w:pPr>
        <w:spacing w:after="120" w:before="0" w:line="240"/>
      </w:pPr>
      <w:r>
        <w:rPr>
          <w:rFonts w:ascii="Times New Roman" w:cs="Times New Roman" w:eastAsia="Times New Roman" w:hAnsi="Times New Roman"/>
          <w:i/>
          <w:iCs/>
          <w:color w:val="000000"/>
          <w:sz w:val="24"/>
          <w:szCs w:val="24"/>
        </w:rPr>
        <w:t xml:space="preserve">Perceived Potential for Product or Market Diversification by Actor Category</w:t>
      </w:r>
    </w:p>
    <w:p>
      <w:pPr>
        <w:spacing w:after="240"/>
        <w:jc w:val="center"/>
      </w:pPr>
      <w:r>
        <w:drawing>
          <wp:inline distT="0" distB="0" distL="0" distR="0">
            <wp:extent cx="5715000" cy="2409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5715000" cy="2409825"/>
                    </a:xfrm>
                    <a:prstGeom prst="rect">
                      <a:avLst/>
                    </a:prstGeom>
                  </pic:spPr>
                </pic:pic>
              </a:graphicData>
            </a:graphic>
          </wp:inline>
        </w:drawing>
      </w:r>
    </w:p>
    <w:p>
      <w:pPr>
        <w:spacing w:after="120" w:before="0" w:line="360"/>
        <w:jc w:val="both"/>
      </w:pPr>
      <w:r>
        <w:rPr>
          <w:rFonts w:ascii="Times New Roman" w:cs="Times New Roman" w:eastAsia="Times New Roman" w:hAnsi="Times New Roman"/>
          <w:color w:val="000000"/>
          <w:sz w:val="24"/>
          <w:szCs w:val="24"/>
        </w:rPr>
        <w:t xml:space="preserve">The youth result sits oddly against Table 3, where more than half the fishers were aged 18 to 35 and four were under 18. Respondents may have understood youth involvement as formal participation, commitment or ownership rather than mere presence in the fishery. The question should be defined directly in future work, and the presence of minors in harvesting raises safeguarding and schooling questions this study was not designed to answer but should not pass over.</w:t>
      </w:r>
    </w:p>
    <w:p>
      <w:pPr>
        <w:pStyle w:val="Heading3"/>
        <w:spacing w:after="120" w:before="240" w:line="360"/>
      </w:pPr>
      <w:r>
        <w:rPr>
          <w:rFonts w:ascii="Times New Roman" w:cs="Times New Roman" w:eastAsia="Times New Roman" w:hAnsi="Times New Roman"/>
          <w:b/>
          <w:bCs/>
          <w:color w:val="000000"/>
          <w:sz w:val="24"/>
          <w:szCs w:val="24"/>
        </w:rPr>
        <w:t xml:space="preserve">4.5.6 Summary of Objective Three</w:t>
      </w:r>
    </w:p>
    <w:p>
      <w:pPr>
        <w:spacing w:after="120" w:before="0" w:line="360"/>
        <w:jc w:val="both"/>
      </w:pPr>
      <w:r>
        <w:rPr>
          <w:rFonts w:ascii="Times New Roman" w:cs="Times New Roman" w:eastAsia="Times New Roman" w:hAnsi="Times New Roman"/>
          <w:color w:val="000000"/>
          <w:sz w:val="24"/>
          <w:szCs w:val="24"/>
        </w:rPr>
        <w:t xml:space="preserve">Objective Three shows constraints following the work each actor does: unstable prices and poor roads for fishers, mortality and inadequate aggregation facilities for middlemen, seasonality for hoteliers, freight cost and flight risk for exporters. Barriers to market access were close to universal, no actor had adopted new equipment or conducted market research, and management-plan awareness reached the trading node but missed the harvesting node.</w:t>
      </w:r>
    </w:p>
    <w:p>
      <w:pPr>
        <w:pStyle w:val="Heading3"/>
        <w:spacing w:after="120" w:before="240" w:line="360"/>
      </w:pPr>
      <w:r>
        <w:rPr>
          <w:rFonts w:ascii="Times New Roman" w:cs="Times New Roman" w:eastAsia="Times New Roman" w:hAnsi="Times New Roman"/>
          <w:b/>
          <w:bCs/>
          <w:color w:val="000000"/>
          <w:sz w:val="24"/>
          <w:szCs w:val="24"/>
        </w:rPr>
        <w:t xml:space="preserve">4.5.7 Discussion of Findings in Relation to Previous Studies</w:t>
      </w:r>
    </w:p>
    <w:p>
      <w:pPr>
        <w:spacing w:after="120" w:before="0" w:line="360"/>
        <w:jc w:val="both"/>
      </w:pPr>
      <w:r>
        <w:rPr>
          <w:rFonts w:ascii="Times New Roman" w:cs="Times New Roman" w:eastAsia="Times New Roman" w:hAnsi="Times New Roman"/>
          <w:color w:val="000000"/>
          <w:sz w:val="24"/>
          <w:szCs w:val="24"/>
        </w:rPr>
        <w:t xml:space="preserve">Constraints differ by actor category rather than by location, which fits treatments of the value chain as a sequence of distinct risk positions rather than one system with a single binding constraint (Jacinto, 2004; Crona et al., 2016). Only the middleman constraint varied significantly by site, mortality dominating at Vanga and Majoreni and price at Shimoni. That split follows the sites where middlemen hold stock longest, which FAO (2025) identifies as a determinant of loss.</w:t>
      </w:r>
    </w:p>
    <w:p>
      <w:pPr>
        <w:spacing w:after="120" w:before="0" w:line="360"/>
        <w:jc w:val="both"/>
      </w:pPr>
      <w:r>
        <w:rPr>
          <w:rFonts w:ascii="Times New Roman" w:cs="Times New Roman" w:eastAsia="Times New Roman" w:hAnsi="Times New Roman"/>
          <w:color w:val="000000"/>
          <w:sz w:val="24"/>
          <w:szCs w:val="24"/>
        </w:rPr>
        <w:t xml:space="preserve">Barriers to market access were near universal and no actor reported innovation or market research, consistent with national assessments of constraints in finance, organisation and formal market participation (Fondo &amp; Ogutu, 2021). Locating those constraints by actor category rather than treating them as a general condition is the more useful form for designing an intervention.</w:t>
      </w:r>
    </w:p>
    <w:p>
      <w:pPr>
        <w:spacing w:after="120" w:before="0" w:line="360"/>
        <w:jc w:val="both"/>
      </w:pPr>
      <w:r>
        <w:rPr>
          <w:rFonts w:ascii="Times New Roman" w:cs="Times New Roman" w:eastAsia="Times New Roman" w:hAnsi="Times New Roman"/>
          <w:color w:val="000000"/>
          <w:sz w:val="24"/>
          <w:szCs w:val="24"/>
        </w:rPr>
        <w:t xml:space="preserve">Management-plan awareness reached 95.5% of middlemen and 15.4% of fishers, the clearest institutional finding here. Njiru et al. (2021) found socioeconomic factors shaping trader participation in Beach Management Units in Kwale County, which argues for communication aimed at particular actor groups. The gap runs along the chain rather than across the map: it was not significantly associated with site.</w:t>
      </w:r>
    </w:p>
    <w:p>
      <w:pPr>
        <w:spacing w:after="120" w:before="0" w:line="360"/>
        <w:jc w:val="both"/>
      </w:pPr>
      <w:r>
        <w:rPr>
          <w:rFonts w:ascii="Times New Roman" w:cs="Times New Roman" w:eastAsia="Times New Roman" w:hAnsi="Times New Roman"/>
          <w:color w:val="000000"/>
          <w:sz w:val="24"/>
          <w:szCs w:val="24"/>
        </w:rPr>
        <w:t xml:space="preserve">What fishers and middlemen want pulls in opposite directions, market access against price stability, and that opposition has not been reported in the Kenyan mud crab literature. It follows from the structure documented under Objective Two and means the two upstream groups cannot both be satisfied by one measure. The uniformly low rating of youth involvement also sits oddly beside the demographic evidence in this chapter, where over half the fishers were aged 18 to 35; respondents most likely read the question as formal participation rather than presence. Ndanga et al. (2013) make the same point about women in Kenyan aquaculture chains, whose participation is understated when the measure captures only formally recognised roles.</w:t>
      </w:r>
    </w:p>
    <w:p>
      <w:pPr>
        <w:pStyle w:val="Heading2"/>
        <w:spacing w:after="140" w:before="280" w:line="360"/>
      </w:pPr>
      <w:r>
        <w:rPr>
          <w:rFonts w:ascii="Times New Roman" w:cs="Times New Roman" w:eastAsia="Times New Roman" w:hAnsi="Times New Roman"/>
          <w:b/>
          <w:bCs/>
          <w:color w:val="000000"/>
          <w:sz w:val="26"/>
          <w:szCs w:val="26"/>
        </w:rPr>
        <w:t xml:space="preserve">4.6 Actor-Specific Associations With BMU</w:t>
      </w:r>
    </w:p>
    <w:p>
      <w:pPr>
        <w:spacing w:after="120" w:before="0" w:line="360"/>
        <w:jc w:val="both"/>
      </w:pPr>
      <w:r>
        <w:rPr>
          <w:rFonts w:ascii="Times New Roman" w:cs="Times New Roman" w:eastAsia="Times New Roman" w:hAnsi="Times New Roman"/>
          <w:color w:val="000000"/>
          <w:sz w:val="24"/>
          <w:szCs w:val="24"/>
        </w:rPr>
        <w:t xml:space="preserve">Sixty-eight categorical variables were tested against Beach Management Unit, separately for fishers and for middlemen. Nine associations reached the .05 level.</w:t>
      </w:r>
    </w:p>
    <w:p>
      <w:pPr>
        <w:spacing w:after="0" w:before="240" w:line="240"/>
      </w:pPr>
      <w:r>
        <w:rPr>
          <w:rFonts w:ascii="Times New Roman" w:cs="Times New Roman" w:eastAsia="Times New Roman" w:hAnsi="Times New Roman"/>
          <w:b/>
          <w:bCs/>
          <w:color w:val="000000"/>
          <w:sz w:val="24"/>
          <w:szCs w:val="24"/>
        </w:rPr>
        <w:t xml:space="preserve">Table 53</w:t>
      </w:r>
    </w:p>
    <w:p>
      <w:pPr>
        <w:spacing w:after="120" w:before="0" w:line="240"/>
      </w:pPr>
      <w:r>
        <w:rPr>
          <w:rFonts w:ascii="Times New Roman" w:cs="Times New Roman" w:eastAsia="Times New Roman" w:hAnsi="Times New Roman"/>
          <w:b w:val="false"/>
          <w:bCs w:val="false"/>
          <w:i/>
          <w:iCs/>
          <w:color w:val="000000"/>
          <w:sz w:val="24"/>
          <w:szCs w:val="24"/>
        </w:rPr>
        <w:t xml:space="preserve">Statistically Significant Actor-Specific Associations With BMU</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1100"/>
        <w:gridCol w:w="1150"/>
        <w:gridCol w:w="2350"/>
        <w:gridCol w:w="850"/>
        <w:gridCol w:w="600"/>
        <w:gridCol w:w="600"/>
        <w:gridCol w:w="800"/>
        <w:gridCol w:w="1576"/>
      </w:tblGrid>
      <w:tr>
        <w:trPr>
          <w:tblHeader/>
        </w:trPr>
        <w:tc>
          <w:tcPr>
            <w:tcW w:type="dxa" w:w="11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17"/>
                <w:szCs w:val="17"/>
              </w:rPr>
              <w:t xml:space="preserve">Objective</w:t>
            </w:r>
          </w:p>
        </w:tc>
        <w:tc>
          <w:tcPr>
            <w:tcW w:type="dxa" w:w="11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Actor</w:t>
            </w:r>
          </w:p>
        </w:tc>
        <w:tc>
          <w:tcPr>
            <w:tcW w:type="dxa" w:w="23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Variable</w:t>
            </w:r>
          </w:p>
        </w:tc>
        <w:tc>
          <w:tcPr>
            <w:tcW w:type="dxa" w:w="8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χ²</w:t>
            </w:r>
          </w:p>
        </w:tc>
        <w:tc>
          <w:tcPr>
            <w:tcW w:type="dxa" w:w="6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df</w:t>
            </w:r>
          </w:p>
        </w:tc>
        <w:tc>
          <w:tcPr>
            <w:tcW w:type="dxa" w:w="6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N</w:t>
            </w:r>
          </w:p>
        </w:tc>
        <w:tc>
          <w:tcPr>
            <w:tcW w:type="dxa" w:w="8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p</w:t>
            </w:r>
          </w:p>
        </w:tc>
        <w:tc>
          <w:tcPr>
            <w:tcW w:type="dxa" w:w="1576"/>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99% CI</w:t>
            </w:r>
          </w:p>
        </w:tc>
      </w:tr>
      <w:tr>
        <w:tc>
          <w:tcPr>
            <w:tcW w:type="dxa" w:w="11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Objective 1</w:t>
            </w:r>
          </w:p>
        </w:tc>
        <w:tc>
          <w:tcPr>
            <w:tcW w:type="dxa" w:w="11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w:t>
            </w:r>
          </w:p>
        </w:tc>
        <w:tc>
          <w:tcPr>
            <w:tcW w:type="dxa" w:w="2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Age group</w:t>
            </w:r>
          </w:p>
        </w:tc>
        <w:tc>
          <w:tcPr>
            <w:tcW w:type="dxa" w:w="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30.91</w:t>
            </w:r>
          </w:p>
        </w:tc>
        <w:tc>
          <w:tcPr>
            <w:tcW w:type="dxa" w:w="6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12</w:t>
            </w:r>
          </w:p>
        </w:tc>
        <w:tc>
          <w:tcPr>
            <w:tcW w:type="dxa" w:w="6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63</w:t>
            </w:r>
          </w:p>
        </w:tc>
        <w:tc>
          <w:tcPr>
            <w:tcW w:type="dxa" w:w="8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.004</w:t>
            </w:r>
          </w:p>
        </w:tc>
        <w:tc>
          <w:tcPr>
            <w:tcW w:type="dxa" w:w="157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[.002, .005]</w:t>
            </w:r>
          </w:p>
        </w:tc>
      </w:tr>
      <w:tr>
        <w:tc>
          <w:tcPr>
            <w:tcW w:type="dxa" w:w="11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Objective 1</w:t>
            </w:r>
          </w:p>
        </w:tc>
        <w:tc>
          <w:tcPr>
            <w:tcW w:type="dxa" w:w="11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w:t>
            </w:r>
          </w:p>
        </w:tc>
        <w:tc>
          <w:tcPr>
            <w:tcW w:type="dxa" w:w="2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Received formal mud crab training</w:t>
            </w:r>
          </w:p>
        </w:tc>
        <w:tc>
          <w:tcPr>
            <w:tcW w:type="dxa" w:w="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8.48</w:t>
            </w:r>
          </w:p>
        </w:tc>
        <w:tc>
          <w:tcPr>
            <w:tcW w:type="dxa" w:w="6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w:t>
            </w:r>
          </w:p>
        </w:tc>
        <w:tc>
          <w:tcPr>
            <w:tcW w:type="dxa" w:w="6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63</w:t>
            </w:r>
          </w:p>
        </w:tc>
        <w:tc>
          <w:tcPr>
            <w:tcW w:type="dxa" w:w="8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.035</w:t>
            </w:r>
          </w:p>
        </w:tc>
        <w:tc>
          <w:tcPr>
            <w:tcW w:type="dxa" w:w="157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[.030, .040]</w:t>
            </w:r>
          </w:p>
        </w:tc>
      </w:tr>
      <w:tr>
        <w:tc>
          <w:tcPr>
            <w:tcW w:type="dxa" w:w="11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Objective 1</w:t>
            </w:r>
          </w:p>
        </w:tc>
        <w:tc>
          <w:tcPr>
            <w:tcW w:type="dxa" w:w="11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w:t>
            </w:r>
          </w:p>
        </w:tc>
        <w:tc>
          <w:tcPr>
            <w:tcW w:type="dxa" w:w="2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Marital status</w:t>
            </w:r>
          </w:p>
        </w:tc>
        <w:tc>
          <w:tcPr>
            <w:tcW w:type="dxa" w:w="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20.06</w:t>
            </w:r>
          </w:p>
        </w:tc>
        <w:tc>
          <w:tcPr>
            <w:tcW w:type="dxa" w:w="6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9</w:t>
            </w:r>
          </w:p>
        </w:tc>
        <w:tc>
          <w:tcPr>
            <w:tcW w:type="dxa" w:w="6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63</w:t>
            </w:r>
          </w:p>
        </w:tc>
        <w:tc>
          <w:tcPr>
            <w:tcW w:type="dxa" w:w="8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.049</w:t>
            </w:r>
          </w:p>
        </w:tc>
        <w:tc>
          <w:tcPr>
            <w:tcW w:type="dxa" w:w="157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[.044, .055]</w:t>
            </w:r>
          </w:p>
        </w:tc>
      </w:tr>
      <w:tr>
        <w:tc>
          <w:tcPr>
            <w:tcW w:type="dxa" w:w="11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Objective 1</w:t>
            </w:r>
          </w:p>
        </w:tc>
        <w:tc>
          <w:tcPr>
            <w:tcW w:type="dxa" w:w="11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w:t>
            </w:r>
          </w:p>
        </w:tc>
        <w:tc>
          <w:tcPr>
            <w:tcW w:type="dxa" w:w="2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Scale of operation</w:t>
            </w:r>
          </w:p>
        </w:tc>
        <w:tc>
          <w:tcPr>
            <w:tcW w:type="dxa" w:w="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9.41</w:t>
            </w:r>
          </w:p>
        </w:tc>
        <w:tc>
          <w:tcPr>
            <w:tcW w:type="dxa" w:w="6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w:t>
            </w:r>
          </w:p>
        </w:tc>
        <w:tc>
          <w:tcPr>
            <w:tcW w:type="dxa" w:w="6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22</w:t>
            </w:r>
          </w:p>
        </w:tc>
        <w:tc>
          <w:tcPr>
            <w:tcW w:type="dxa" w:w="8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.050</w:t>
            </w:r>
          </w:p>
        </w:tc>
        <w:tc>
          <w:tcPr>
            <w:tcW w:type="dxa" w:w="157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[.044, .055]</w:t>
            </w:r>
          </w:p>
        </w:tc>
      </w:tr>
      <w:tr>
        <w:tc>
          <w:tcPr>
            <w:tcW w:type="dxa" w:w="11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Objective 2</w:t>
            </w:r>
          </w:p>
        </w:tc>
        <w:tc>
          <w:tcPr>
            <w:tcW w:type="dxa" w:w="11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w:t>
            </w:r>
          </w:p>
        </w:tc>
        <w:tc>
          <w:tcPr>
            <w:tcW w:type="dxa" w:w="2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First buyer location</w:t>
            </w:r>
          </w:p>
        </w:tc>
        <w:tc>
          <w:tcPr>
            <w:tcW w:type="dxa" w:w="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125.19</w:t>
            </w:r>
          </w:p>
        </w:tc>
        <w:tc>
          <w:tcPr>
            <w:tcW w:type="dxa" w:w="6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21</w:t>
            </w:r>
          </w:p>
        </w:tc>
        <w:tc>
          <w:tcPr>
            <w:tcW w:type="dxa" w:w="6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61</w:t>
            </w:r>
          </w:p>
        </w:tc>
        <w:tc>
          <w:tcPr>
            <w:tcW w:type="dxa" w:w="8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&lt; .001</w:t>
            </w:r>
          </w:p>
        </w:tc>
        <w:tc>
          <w:tcPr>
            <w:tcW w:type="dxa" w:w="157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[.000, .000]</w:t>
            </w:r>
          </w:p>
        </w:tc>
      </w:tr>
      <w:tr>
        <w:tc>
          <w:tcPr>
            <w:tcW w:type="dxa" w:w="11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Objective 2</w:t>
            </w:r>
          </w:p>
        </w:tc>
        <w:tc>
          <w:tcPr>
            <w:tcW w:type="dxa" w:w="11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w:t>
            </w:r>
          </w:p>
        </w:tc>
        <w:tc>
          <w:tcPr>
            <w:tcW w:type="dxa" w:w="2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Reported large-crab size category</w:t>
            </w:r>
          </w:p>
        </w:tc>
        <w:tc>
          <w:tcPr>
            <w:tcW w:type="dxa" w:w="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16.87</w:t>
            </w:r>
          </w:p>
        </w:tc>
        <w:tc>
          <w:tcPr>
            <w:tcW w:type="dxa" w:w="6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w:t>
            </w:r>
          </w:p>
        </w:tc>
        <w:tc>
          <w:tcPr>
            <w:tcW w:type="dxa" w:w="6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63</w:t>
            </w:r>
          </w:p>
        </w:tc>
        <w:tc>
          <w:tcPr>
            <w:tcW w:type="dxa" w:w="8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.001</w:t>
            </w:r>
          </w:p>
        </w:tc>
        <w:tc>
          <w:tcPr>
            <w:tcW w:type="dxa" w:w="157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[.000, .002]</w:t>
            </w:r>
          </w:p>
        </w:tc>
      </w:tr>
      <w:tr>
        <w:tc>
          <w:tcPr>
            <w:tcW w:type="dxa" w:w="11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Objective 2</w:t>
            </w:r>
          </w:p>
        </w:tc>
        <w:tc>
          <w:tcPr>
            <w:tcW w:type="dxa" w:w="11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w:t>
            </w:r>
          </w:p>
        </w:tc>
        <w:tc>
          <w:tcPr>
            <w:tcW w:type="dxa" w:w="2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Reported small-crab size category</w:t>
            </w:r>
          </w:p>
        </w:tc>
        <w:tc>
          <w:tcPr>
            <w:tcW w:type="dxa" w:w="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15.96</w:t>
            </w:r>
          </w:p>
        </w:tc>
        <w:tc>
          <w:tcPr>
            <w:tcW w:type="dxa" w:w="6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w:t>
            </w:r>
          </w:p>
        </w:tc>
        <w:tc>
          <w:tcPr>
            <w:tcW w:type="dxa" w:w="6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63</w:t>
            </w:r>
          </w:p>
        </w:tc>
        <w:tc>
          <w:tcPr>
            <w:tcW w:type="dxa" w:w="8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.002</w:t>
            </w:r>
          </w:p>
        </w:tc>
        <w:tc>
          <w:tcPr>
            <w:tcW w:type="dxa" w:w="157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[.001, .004]</w:t>
            </w:r>
          </w:p>
        </w:tc>
      </w:tr>
      <w:tr>
        <w:tc>
          <w:tcPr>
            <w:tcW w:type="dxa" w:w="11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Objective 2</w:t>
            </w:r>
          </w:p>
        </w:tc>
        <w:tc>
          <w:tcPr>
            <w:tcW w:type="dxa" w:w="11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w:t>
            </w:r>
          </w:p>
        </w:tc>
        <w:tc>
          <w:tcPr>
            <w:tcW w:type="dxa" w:w="2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Travel time from fishing grounds to market</w:t>
            </w:r>
          </w:p>
        </w:tc>
        <w:tc>
          <w:tcPr>
            <w:tcW w:type="dxa" w:w="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11.13</w:t>
            </w:r>
          </w:p>
        </w:tc>
        <w:tc>
          <w:tcPr>
            <w:tcW w:type="dxa" w:w="6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w:t>
            </w:r>
          </w:p>
        </w:tc>
        <w:tc>
          <w:tcPr>
            <w:tcW w:type="dxa" w:w="6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63</w:t>
            </w:r>
          </w:p>
        </w:tc>
        <w:tc>
          <w:tcPr>
            <w:tcW w:type="dxa" w:w="8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.010</w:t>
            </w:r>
          </w:p>
        </w:tc>
        <w:tc>
          <w:tcPr>
            <w:tcW w:type="dxa" w:w="157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[.007, .012]</w:t>
            </w:r>
          </w:p>
        </w:tc>
      </w:tr>
      <w:tr>
        <w:tc>
          <w:tcPr>
            <w:tcW w:type="dxa" w:w="11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Objective 3</w:t>
            </w:r>
          </w:p>
        </w:tc>
        <w:tc>
          <w:tcPr>
            <w:tcW w:type="dxa" w:w="11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w:t>
            </w:r>
          </w:p>
        </w:tc>
        <w:tc>
          <w:tcPr>
            <w:tcW w:type="dxa" w:w="2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Main operational or marketing constraint</w:t>
            </w:r>
          </w:p>
        </w:tc>
        <w:tc>
          <w:tcPr>
            <w:tcW w:type="dxa" w:w="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6.42</w:t>
            </w:r>
          </w:p>
        </w:tc>
        <w:tc>
          <w:tcPr>
            <w:tcW w:type="dxa" w:w="6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w:t>
            </w:r>
          </w:p>
        </w:tc>
        <w:tc>
          <w:tcPr>
            <w:tcW w:type="dxa" w:w="6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22</w:t>
            </w:r>
          </w:p>
        </w:tc>
        <w:tc>
          <w:tcPr>
            <w:tcW w:type="dxa" w:w="8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.036</w:t>
            </w:r>
          </w:p>
        </w:tc>
        <w:tc>
          <w:tcPr>
            <w:tcW w:type="dxa" w:w="157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[.032, .041]</w:t>
            </w:r>
          </w:p>
        </w:tc>
      </w:tr>
      <w:tr>
        <w:tc>
          <w:tcPr>
            <w:tcW w:type="dxa" w:w="9026"/>
            <w:gridSpan w:val="8"/>
            <w:tcBorders>
              <w:top w:val="none" w:color="FFFFFF" w:sz="0"/>
              <w:left w:val="none" w:color="FFFFFF" w:sz="0"/>
              <w:bottom w:val="none" w:color="FFFFFF" w:sz="0"/>
              <w:right w:val="none" w:color="FFFFFF" w:sz="0"/>
            </w:tcBorders>
            <w:tcMar>
              <w:top w:type="dxa" w:w="90"/>
              <w:left w:type="dxa" w:w="90"/>
              <w:bottom w:type="dxa" w:w="30"/>
              <w:right w:type="dxa" w:w="90"/>
            </w:tcMar>
          </w:tcPr>
          <w:p>
            <w:pPr>
              <w:spacing w:after="20" w:before="20" w:line="240"/>
              <w:jc w:val="left"/>
            </w:pPr>
            <w:r>
              <w:rPr>
                <w:rFonts w:ascii="Times New Roman" w:cs="Times New Roman" w:eastAsia="Times New Roman" w:hAnsi="Times New Roman"/>
                <w:b w:val="false"/>
                <w:bCs w:val="false"/>
                <w:i/>
                <w:iCs/>
                <w:color w:val="000000"/>
                <w:sz w:val="17"/>
                <w:szCs w:val="17"/>
              </w:rPr>
              <w:t xml:space="preserve">No association with BMU reached the .05 level for hoteliers or exporters; neither group was sampled across enough BMUs for the test to be run</w:t>
            </w:r>
          </w:p>
        </w:tc>
      </w:tr>
    </w:tbl>
    <w:p>
      <w:pPr>
        <w:spacing w:after="120" w:before="0" w:line="360"/>
        <w:jc w:val="both"/>
      </w:pPr>
      <w:r>
        <w:rPr>
          <w:rFonts w:ascii="Times New Roman" w:cs="Times New Roman" w:eastAsia="Times New Roman" w:hAnsi="Times New Roman"/>
          <w:color w:val="000000"/>
          <w:sz w:val="24"/>
          <w:szCs w:val="24"/>
        </w:rPr>
        <w:t xml:space="preserve">Three points belong with Table 53. The tests carry no correction for multiple comparisons, so associations with probabilities close to .05 are exploratory rather than established, and the Monte Carlo confidence interval is given alongside each p-value so borderline cases can be judged. The nine significant results cluster in three areas: who fishes where (age, marital status, training), how far and how they describe their catch (travel time, large- and small-crab size labels, first buyer location), and what middlemen worry about (main constraint). The absence of hoteliers and exporters is a limit of the sampling frame, not a finding; neither group was sampled across enough sites for a test.</w:t>
      </w:r>
    </w:p>
    <w:p>
      <w:pPr>
        <w:pStyle w:val="Heading2"/>
        <w:spacing w:after="140" w:before="280" w:line="360"/>
      </w:pPr>
      <w:r>
        <w:rPr>
          <w:rFonts w:ascii="Times New Roman" w:cs="Times New Roman" w:eastAsia="Times New Roman" w:hAnsi="Times New Roman"/>
          <w:b/>
          <w:bCs/>
          <w:color w:val="000000"/>
          <w:sz w:val="26"/>
          <w:szCs w:val="26"/>
        </w:rPr>
        <w:t xml:space="preserve">4.7 Chapter Summary</w:t>
      </w:r>
    </w:p>
    <w:p>
      <w:pPr>
        <w:spacing w:after="120" w:before="0" w:line="360"/>
        <w:jc w:val="both"/>
      </w:pPr>
      <w:r>
        <w:rPr>
          <w:rFonts w:ascii="Times New Roman" w:cs="Times New Roman" w:eastAsia="Times New Roman" w:hAnsi="Times New Roman"/>
          <w:color w:val="000000"/>
          <w:sz w:val="24"/>
          <w:szCs w:val="24"/>
        </w:rPr>
        <w:t xml:space="preserve">Across the three objectives the same pattern recurs. Differences between actor categories were large and present on nearly every measure, from education and licensing through grading criteria and quality control to price and the constraint each group names. Differences between Beach Management Units were far fewer: nine significant associations from sixty-eight tests, concentrated among fishers and confined to age, marital status, training, travel time, size labelling and first buyer location, plus the single middleman constraint result.</w:t>
      </w:r>
    </w:p>
    <w:p>
      <w:pPr>
        <w:spacing w:after="120" w:before="0" w:line="360"/>
        <w:jc w:val="both"/>
      </w:pPr>
      <w:r>
        <w:rPr>
          <w:rFonts w:ascii="Times New Roman" w:cs="Times New Roman" w:eastAsia="Times New Roman" w:hAnsi="Times New Roman"/>
          <w:color w:val="000000"/>
          <w:sz w:val="24"/>
          <w:szCs w:val="24"/>
        </w:rPr>
        <w:t xml:space="preserve">The one site difference with a direct economic consequence was in price. Fisher prices differed significantly across sites while middleman prices did not, so the gap a fisher faces at first sale is set locally: Majoreni fishers held 91.7% of the local middleman price for large crabs against close to 54% at Shimoni and Vanga. Read alongside the chain-share result, where the fisher retained between 27.5% and 39.6% of the end price, the chapter describes a market whose value is realised where the grading rule, the logistics and the connection to the final buyer sit together, and whose harvesters reach none of those things.</w:t>
      </w:r>
    </w:p>
    <w:p>
      <w:pPr>
        <w:pStyle w:val="Heading1"/>
        <w:pageBreakBefore/>
        <w:spacing w:after="240" w:before="240" w:line="360"/>
        <w:jc w:val="center"/>
      </w:pPr>
      <w:r>
        <w:rPr>
          <w:rFonts w:ascii="Times New Roman" w:cs="Times New Roman" w:eastAsia="Times New Roman" w:hAnsi="Times New Roman"/>
          <w:b/>
          <w:bCs/>
          <w:color w:val="000000"/>
          <w:sz w:val="28"/>
          <w:szCs w:val="28"/>
        </w:rPr>
        <w:t xml:space="preserve">CHAPTER FIVE: DISCUSSION</w:t>
      </w:r>
    </w:p>
    <w:p>
      <w:pPr>
        <w:pStyle w:val="Heading2"/>
        <w:spacing w:after="140" w:before="280" w:line="360"/>
      </w:pPr>
      <w:r>
        <w:rPr>
          <w:rFonts w:ascii="Times New Roman" w:cs="Times New Roman" w:eastAsia="Times New Roman" w:hAnsi="Times New Roman"/>
          <w:b/>
          <w:bCs/>
          <w:color w:val="000000"/>
          <w:sz w:val="26"/>
          <w:szCs w:val="26"/>
        </w:rPr>
        <w:t xml:space="preserve">5.1 Introduction</w:t>
      </w:r>
    </w:p>
    <w:p>
      <w:pPr>
        <w:spacing w:after="120" w:before="0" w:line="360"/>
        <w:jc w:val="both"/>
      </w:pPr>
      <w:r>
        <w:rPr>
          <w:rFonts w:ascii="Times New Roman" w:cs="Times New Roman" w:eastAsia="Times New Roman" w:hAnsi="Times New Roman"/>
          <w:color w:val="000000"/>
          <w:sz w:val="24"/>
          <w:szCs w:val="24"/>
        </w:rPr>
        <w:t xml:space="preserve">This chapter interprets the findings of Chapter Four against the literature reviewed in Chapter Two. It takes the three objectives in turn, setting out the key findings, comparing them with previous research and drawing out the theoretical and practical implications. Section 5.5 brings the three objectives together under the structure-conduct-performance framework, and Section 5.6 states what the measures do and do not capture, along with the limitations that bound every claim made here.</w:t>
      </w:r>
    </w:p>
    <w:p>
      <w:pPr>
        <w:pStyle w:val="Heading2"/>
        <w:spacing w:after="140" w:before="280" w:line="360"/>
      </w:pPr>
      <w:r>
        <w:rPr>
          <w:rFonts w:ascii="Times New Roman" w:cs="Times New Roman" w:eastAsia="Times New Roman" w:hAnsi="Times New Roman"/>
          <w:b/>
          <w:bCs/>
          <w:color w:val="000000"/>
          <w:sz w:val="26"/>
          <w:szCs w:val="26"/>
        </w:rPr>
        <w:t xml:space="preserve">5.2 Objective One: Profile of Mud Crab Actors</w:t>
      </w:r>
    </w:p>
    <w:p>
      <w:pPr>
        <w:pStyle w:val="Heading3"/>
        <w:spacing w:after="120" w:before="240" w:line="360"/>
      </w:pPr>
      <w:r>
        <w:rPr>
          <w:rFonts w:ascii="Times New Roman" w:cs="Times New Roman" w:eastAsia="Times New Roman" w:hAnsi="Times New Roman"/>
          <w:b/>
          <w:bCs/>
          <w:color w:val="000000"/>
          <w:sz w:val="24"/>
          <w:szCs w:val="24"/>
        </w:rPr>
        <w:t xml:space="preserve">5.2.1 Key Findings</w:t>
      </w:r>
    </w:p>
    <w:p>
      <w:pPr>
        <w:spacing w:after="120" w:before="0" w:line="360"/>
        <w:jc w:val="both"/>
      </w:pPr>
      <w:r>
        <w:rPr>
          <w:rFonts w:ascii="Times New Roman" w:cs="Times New Roman" w:eastAsia="Times New Roman" w:hAnsi="Times New Roman"/>
          <w:color w:val="000000"/>
          <w:sz w:val="24"/>
          <w:szCs w:val="24"/>
        </w:rPr>
        <w:t xml:space="preserve">Four actor categories differed systematically and in the same direction on almost every measure. Fishers were younger, schooled to primary level or below, largely unlicensed, untrained, small-scale and un-diversified. Middlemen were older and far more experienced, with 72.7% carrying more than twenty years in the trade. Hoteliers and exporters held certificates, diplomas or degrees, were fully licensed, and operated at medium or large scale. Reported monthly income rose from KSh 8,969 among fishers to KSh 90,000 among exporters. No respondent in any category belonged to a cooperative, an association or a self-help group.</w:t>
      </w:r>
    </w:p>
    <w:p>
      <w:pPr>
        <w:pStyle w:val="Heading3"/>
        <w:spacing w:after="120" w:before="240" w:line="360"/>
      </w:pPr>
      <w:r>
        <w:rPr>
          <w:rFonts w:ascii="Times New Roman" w:cs="Times New Roman" w:eastAsia="Times New Roman" w:hAnsi="Times New Roman"/>
          <w:b/>
          <w:bCs/>
          <w:color w:val="000000"/>
          <w:sz w:val="24"/>
          <w:szCs w:val="24"/>
        </w:rPr>
        <w:t xml:space="preserve">5.2.2 Gender and the Limits of the Sampling Frame</w:t>
      </w:r>
    </w:p>
    <w:p>
      <w:pPr>
        <w:spacing w:after="120" w:before="0" w:line="360"/>
        <w:jc w:val="both"/>
      </w:pPr>
      <w:r>
        <w:rPr>
          <w:rFonts w:ascii="Times New Roman" w:cs="Times New Roman" w:eastAsia="Times New Roman" w:hAnsi="Times New Roman"/>
          <w:color w:val="000000"/>
          <w:sz w:val="24"/>
          <w:szCs w:val="24"/>
        </w:rPr>
        <w:t xml:space="preserve">Ninety-five of the 96 respondents were men, and the single woman was a hotelier rather than a harvester. The pattern is consistent with what has been reported along the Kenyan coast, where harvesting and much of the first-tier trade are male-dominated while women appear more often in processing, retail and culture activities (Mirera, 2014a; Ochiewo et al., 2010).</w:t>
      </w:r>
    </w:p>
    <w:p>
      <w:pPr>
        <w:spacing w:after="120" w:before="0" w:line="360"/>
        <w:jc w:val="both"/>
      </w:pPr>
      <w:r>
        <w:rPr>
          <w:rFonts w:ascii="Times New Roman" w:cs="Times New Roman" w:eastAsia="Times New Roman" w:hAnsi="Times New Roman"/>
          <w:color w:val="000000"/>
          <w:sz w:val="24"/>
          <w:szCs w:val="24"/>
        </w:rPr>
        <w:t xml:space="preserve">Why men dominate harvesting in this fishery is not something these data can settle, but the literature suggests three mechanisms that fit the setting. Mud crab harvesting in Kenya is done on foot in mangrove creeks at low spring tides, often at night and at a distance from the village, which carries mobility and safety costs that fall unequally on women (Mirera et al., 2013; Moser et al., 2005). Landing-site registers and BMU membership, the routes through which a harvester becomes visible to officials and buyers, have historically enrolled men. And the credit relationship documented in Chapter Four, in which a buyer advances cash against future supply, tends to run through established trading ties that new entrants do not have.</w:t>
      </w:r>
    </w:p>
    <w:p>
      <w:pPr>
        <w:spacing w:after="120" w:before="0" w:line="360"/>
        <w:jc w:val="both"/>
      </w:pPr>
      <w:r>
        <w:rPr>
          <w:rFonts w:ascii="Times New Roman" w:cs="Times New Roman" w:eastAsia="Times New Roman" w:hAnsi="Times New Roman"/>
          <w:color w:val="000000"/>
          <w:sz w:val="24"/>
          <w:szCs w:val="24"/>
        </w:rPr>
        <w:t xml:space="preserve">The consequence for this study is methodological before it is substantive. Because the fisher sampling frame drew on landing-site registers, women working in processing, hospitality procurement, retail or crab fattening were unlikely to be reached. Ndanga et al. (2013) show that women in Kenyan aquaculture value chains concentrate precisely in the nodes that landing-site sampling does not cover, which is a plausible explanation for the pattern recorded here and a clear brief for future work. The finding should therefore be read as a description of the respondents reached, not as evidence that women are absent from the chain. Two practical openings follow: hospitality procurement and crab fattening are the nodes where women already appear in the regional literature, and both were named as opportunities by respondents in this study.</w:t>
      </w:r>
    </w:p>
    <w:p>
      <w:pPr>
        <w:pStyle w:val="Heading3"/>
        <w:spacing w:after="120" w:before="240" w:line="360"/>
      </w:pPr>
      <w:r>
        <w:rPr>
          <w:rFonts w:ascii="Times New Roman" w:cs="Times New Roman" w:eastAsia="Times New Roman" w:hAnsi="Times New Roman"/>
          <w:b/>
          <w:bCs/>
          <w:color w:val="000000"/>
          <w:sz w:val="24"/>
          <w:szCs w:val="24"/>
        </w:rPr>
        <w:t xml:space="preserve">5.2.3 Experience, Licensing and the Absence of Collective Organisation</w:t>
      </w:r>
    </w:p>
    <w:p>
      <w:pPr>
        <w:spacing w:after="120" w:before="0" w:line="360"/>
        <w:jc w:val="both"/>
      </w:pPr>
      <w:r>
        <w:rPr>
          <w:rFonts w:ascii="Times New Roman" w:cs="Times New Roman" w:eastAsia="Times New Roman" w:hAnsi="Times New Roman"/>
          <w:color w:val="000000"/>
          <w:sz w:val="24"/>
          <w:szCs w:val="24"/>
        </w:rPr>
        <w:t xml:space="preserve">Experience accumulated at the trading node rather than the harvesting node. This fits the account in Mirera et al. (2013), where local knowledge and repeated relationships shape how crabs are found, handled and moved, and it helps explain why middlemen reported regular buyers, competitive price setting and standing trading agreements while fishers did not. Crona et al. (2016) describe middlemen in Kenya and Zanzibar as a critical social-ecological link precisely because that accumulated relational knowledge is not easily replaced, and the present findings are consistent with that reading. Cinner et al. (2012) found that age and accumulated experience shaped how artisanal fishers responded to livelihood pressure, which is consistent with the age gap recorded between the harvesting and trading nodes here. Licensing showed the same upstream weakness: only a small share of fishers and middlemen held a licence, against every hotelier and exporter. Pomeroy and Andrew (2011) argue that co-management works best where local rules are tied to a service users can see, which points to registration and licensing support delivered through the BMUs rather than to enforcement alone.</w:t>
      </w:r>
    </w:p>
    <w:p>
      <w:pPr>
        <w:spacing w:after="120" w:before="0" w:line="360"/>
        <w:jc w:val="both"/>
      </w:pPr>
      <w:r>
        <w:rPr>
          <w:rFonts w:ascii="Times New Roman" w:cs="Times New Roman" w:eastAsia="Times New Roman" w:hAnsi="Times New Roman"/>
          <w:color w:val="000000"/>
          <w:sz w:val="24"/>
          <w:szCs w:val="24"/>
        </w:rPr>
        <w:t xml:space="preserve">The complete absence of collective membership is a more serious finding than a single percentage suggests. Groups are the normal vehicle for price information, savings, training, traceability and dealings with government, and the literature ties organised groups and local leadership to better fishery outcomes (Gutiérrez et al., 2011; Mirera, 2014a). Without them, a fisher negotiates alone against a buyer with twenty years in the trade and knowledge of what crabs fetch further up the chain.</w:t>
      </w:r>
    </w:p>
    <w:p>
      <w:pPr>
        <w:spacing w:after="120" w:before="0" w:line="360"/>
        <w:jc w:val="both"/>
      </w:pPr>
      <w:r>
        <w:rPr>
          <w:rFonts w:ascii="Times New Roman" w:cs="Times New Roman" w:eastAsia="Times New Roman" w:hAnsi="Times New Roman"/>
          <w:color w:val="000000"/>
          <w:sz w:val="24"/>
          <w:szCs w:val="24"/>
        </w:rPr>
        <w:t xml:space="preserve">Forming groups is not itself the remedy. Gutiérrez et al. (2011) found that leadership and clear incentives, rather than the existence of a group, separate the successful cases from the rest. That nothing at all exists here, at any node, suggests earlier attempts offered members nothing they could see. Any group formed in response to this study would need a commercial purpose, transparent leadership and a service members can point to.</w:t>
      </w:r>
    </w:p>
    <w:p>
      <w:pPr>
        <w:pStyle w:val="Heading3"/>
        <w:spacing w:after="120" w:before="240" w:line="360"/>
      </w:pPr>
      <w:r>
        <w:rPr>
          <w:rFonts w:ascii="Times New Roman" w:cs="Times New Roman" w:eastAsia="Times New Roman" w:hAnsi="Times New Roman"/>
          <w:b/>
          <w:bCs/>
          <w:color w:val="000000"/>
          <w:sz w:val="24"/>
          <w:szCs w:val="24"/>
        </w:rPr>
        <w:t xml:space="preserve">5.2.4 Credit and Dependence Within the Chain</w:t>
      </w:r>
    </w:p>
    <w:p>
      <w:pPr>
        <w:spacing w:after="120" w:before="0" w:line="360"/>
        <w:jc w:val="both"/>
      </w:pPr>
      <w:r>
        <w:rPr>
          <w:rFonts w:ascii="Times New Roman" w:cs="Times New Roman" w:eastAsia="Times New Roman" w:hAnsi="Times New Roman"/>
          <w:color w:val="000000"/>
          <w:sz w:val="24"/>
          <w:szCs w:val="24"/>
        </w:rPr>
        <w:t xml:space="preserve">No fisher used a formal loan, yet 93.8% named a middleman as their main source of credit, and close to two fishers in five were paid at least partly on credit by the buyer purchasing from them. Crona et al. (2016) describe such arrangements as enabling and constraining at once: the advance solves this week’s cash problem while narrowing where the fisher can sell. Béné et al. (2007) make a similar point about small-scale fisheries generally, treating informal credit as both safety net and mechanism of persistent low returns.</w:t>
      </w:r>
    </w:p>
    <w:p>
      <w:pPr>
        <w:spacing w:after="120" w:before="0" w:line="360"/>
        <w:jc w:val="both"/>
      </w:pPr>
      <w:r>
        <w:rPr>
          <w:rFonts w:ascii="Times New Roman" w:cs="Times New Roman" w:eastAsia="Times New Roman" w:hAnsi="Times New Roman"/>
          <w:color w:val="000000"/>
          <w:sz w:val="24"/>
          <w:szCs w:val="24"/>
        </w:rPr>
        <w:t xml:space="preserve">Which of the two dominates here cannot be judged from this study, because amounts, terms and duration went unrecorded. What can be said is that the person extending the credit is the same person setting the price the fisher calls fixed, and that no alternative source of working capital was reported at the harvesting node. That combination is what gives the relationship its force.</w:t>
      </w:r>
    </w:p>
    <w:p>
      <w:pPr>
        <w:pStyle w:val="Heading3"/>
        <w:spacing w:after="120" w:before="240" w:line="360"/>
      </w:pPr>
      <w:r>
        <w:rPr>
          <w:rFonts w:ascii="Times New Roman" w:cs="Times New Roman" w:eastAsia="Times New Roman" w:hAnsi="Times New Roman"/>
          <w:b/>
          <w:bCs/>
          <w:color w:val="000000"/>
          <w:sz w:val="24"/>
          <w:szCs w:val="24"/>
        </w:rPr>
        <w:t xml:space="preserve">5.2.5 Implications</w:t>
      </w:r>
    </w:p>
    <w:p>
      <w:pPr>
        <w:spacing w:after="120" w:before="0" w:line="360"/>
        <w:jc w:val="both"/>
      </w:pPr>
      <w:r>
        <w:rPr>
          <w:rFonts w:ascii="Times New Roman" w:cs="Times New Roman" w:eastAsia="Times New Roman" w:hAnsi="Times New Roman"/>
          <w:color w:val="000000"/>
          <w:sz w:val="24"/>
          <w:szCs w:val="24"/>
        </w:rPr>
        <w:t xml:space="preserve">Theoretically, the profile results support treating actor category rather than location as the primary structural variable in this market. Differences between fishers, middlemen, hoteliers and exporters were large and consistent, while differences between landing sites were fewer and confined mostly to fishers. A market-structure account of this fishery is therefore an account of nodes, not of places.</w:t>
      </w:r>
    </w:p>
    <w:p>
      <w:pPr>
        <w:spacing w:after="120" w:before="0" w:line="360"/>
        <w:jc w:val="both"/>
      </w:pPr>
      <w:r>
        <w:rPr>
          <w:rFonts w:ascii="Times New Roman" w:cs="Times New Roman" w:eastAsia="Times New Roman" w:hAnsi="Times New Roman"/>
          <w:color w:val="000000"/>
          <w:sz w:val="24"/>
          <w:szCs w:val="24"/>
        </w:rPr>
        <w:t xml:space="preserve">Practically, the results identify three entry points that do not require new infrastructure: a licensing route that upstream actors can actually complete, a source of working capital that is not the buyer, and a collective body with a service attached. Each addresses a condition documented in Chapter Four rather than a general aspiration.</w:t>
      </w:r>
    </w:p>
    <w:p>
      <w:pPr>
        <w:pStyle w:val="Heading2"/>
        <w:spacing w:after="140" w:before="280" w:line="360"/>
      </w:pPr>
      <w:r>
        <w:rPr>
          <w:rFonts w:ascii="Times New Roman" w:cs="Times New Roman" w:eastAsia="Times New Roman" w:hAnsi="Times New Roman"/>
          <w:b/>
          <w:bCs/>
          <w:color w:val="000000"/>
          <w:sz w:val="26"/>
          <w:szCs w:val="26"/>
        </w:rPr>
        <w:t xml:space="preserve">5.3 Objective Two: Functions at Each Market Node and the Distribution of Value</w:t>
      </w:r>
    </w:p>
    <w:p>
      <w:pPr>
        <w:pStyle w:val="Heading3"/>
        <w:spacing w:after="120" w:before="240" w:line="360"/>
      </w:pPr>
      <w:r>
        <w:rPr>
          <w:rFonts w:ascii="Times New Roman" w:cs="Times New Roman" w:eastAsia="Times New Roman" w:hAnsi="Times New Roman"/>
          <w:b/>
          <w:bCs/>
          <w:color w:val="000000"/>
          <w:sz w:val="24"/>
          <w:szCs w:val="24"/>
        </w:rPr>
        <w:t xml:space="preserve">5.3.1 Key Findings</w:t>
      </w:r>
    </w:p>
    <w:p>
      <w:pPr>
        <w:spacing w:after="120" w:before="0" w:line="360"/>
        <w:jc w:val="both"/>
      </w:pPr>
      <w:r>
        <w:rPr>
          <w:rFonts w:ascii="Times New Roman" w:cs="Times New Roman" w:eastAsia="Times New Roman" w:hAnsi="Times New Roman"/>
          <w:color w:val="000000"/>
          <w:sz w:val="24"/>
          <w:szCs w:val="24"/>
        </w:rPr>
        <w:t xml:space="preserve">Functions divided cleanly by node and so did the information attached to them. Fishers harvested, tied claws, packed in sacks and walked to the landing site. Middlemen aggregated, cleaned, sorted and graded on a four-criterion rule and moved crabs by vehicle or boat. Hoteliers processed and froze. Exporters packed Styrofoam under inspection and certification. Prices rose at every node, differed significantly between actor categories, and among fishers differed by site as well. Multi-stage chains of this kind, in which harvesters are separated from export buyers by one or more aggregation and trading nodes, have been described for Bangladesh, the Philippines and coastal Tanzania (ACDI/VOCA, 2005; Mahmud &amp; Mamun, 2013; Sultana et al., 2018).</w:t>
      </w:r>
    </w:p>
    <w:p>
      <w:pPr>
        <w:pStyle w:val="Heading3"/>
        <w:spacing w:after="120" w:before="240" w:line="360"/>
      </w:pPr>
      <w:r>
        <w:rPr>
          <w:rFonts w:ascii="Times New Roman" w:cs="Times New Roman" w:eastAsia="Times New Roman" w:hAnsi="Times New Roman"/>
          <w:b/>
          <w:bCs/>
          <w:color w:val="000000"/>
          <w:sz w:val="24"/>
          <w:szCs w:val="24"/>
        </w:rPr>
        <w:t xml:space="preserve">5.3.2 Grading as a Mechanism of Value Capture</w:t>
      </w:r>
    </w:p>
    <w:p>
      <w:pPr>
        <w:spacing w:after="120" w:before="0" w:line="360"/>
        <w:jc w:val="both"/>
      </w:pPr>
      <w:r>
        <w:rPr>
          <w:rFonts w:ascii="Times New Roman" w:cs="Times New Roman" w:eastAsia="Times New Roman" w:hAnsi="Times New Roman"/>
          <w:color w:val="000000"/>
          <w:sz w:val="24"/>
          <w:szCs w:val="24"/>
        </w:rPr>
        <w:t xml:space="preserve">Every actor said they graded. They did not grade by the same rule. All 65 fishers used weight alone, while 95.5% of middlemen and every hotelier and exporter combined size, weight, shell condition and claw size. Jacinto (2004) identifies exactly this kind of informational asymmetry as a determinant of how value is distributed in small-scale fisheries value chains, and the present data supply a clean instance of it.</w:t>
      </w:r>
    </w:p>
    <w:p>
      <w:pPr>
        <w:spacing w:after="120" w:before="0" w:line="360"/>
        <w:jc w:val="both"/>
      </w:pPr>
      <w:r>
        <w:rPr>
          <w:rFonts w:ascii="Times New Roman" w:cs="Times New Roman" w:eastAsia="Times New Roman" w:hAnsi="Times New Roman"/>
          <w:color w:val="000000"/>
          <w:sz w:val="24"/>
          <w:szCs w:val="24"/>
        </w:rPr>
        <w:t xml:space="preserve">The site variation in grading language reinforces the point. At Shimoni, 44.0% of fishers described their large category as mixed and 36.0% did the same for the small category, while fishers at the other three sites used the plain labels, χ²(3, N = 63) = 16.87, p = .001 and χ²(3, N = 63) = 15.96, p = .002. The survey recorded the label, not a measured carapace width, so this is vocabulary rather than biology. It carries a practical cost all the same: a Shimoni fisher and his buyer may not mean the same thing by the word large, and that is the condition under which a grading dispute goes the better-informed party’s way.</w:t>
      </w:r>
    </w:p>
    <w:p>
      <w:pPr>
        <w:pStyle w:val="Heading3"/>
        <w:spacing w:after="120" w:before="240" w:line="360"/>
      </w:pPr>
      <w:r>
        <w:rPr>
          <w:rFonts w:ascii="Times New Roman" w:cs="Times New Roman" w:eastAsia="Times New Roman" w:hAnsi="Times New Roman"/>
          <w:b/>
          <w:bCs/>
          <w:color w:val="000000"/>
          <w:sz w:val="24"/>
          <w:szCs w:val="24"/>
        </w:rPr>
        <w:t xml:space="preserve">5.3.3 Handling, Packaging and Loss</w:t>
      </w:r>
    </w:p>
    <w:p>
      <w:pPr>
        <w:spacing w:after="120" w:before="0" w:line="360"/>
        <w:jc w:val="both"/>
      </w:pPr>
      <w:r>
        <w:rPr>
          <w:rFonts w:ascii="Times New Roman" w:cs="Times New Roman" w:eastAsia="Times New Roman" w:hAnsi="Times New Roman"/>
          <w:color w:val="000000"/>
          <w:sz w:val="24"/>
          <w:szCs w:val="24"/>
        </w:rPr>
        <w:t xml:space="preserve">Packaging became more protective downstream, from sacks to crates to Styrofoam, and reported mortality rose with the volume each actor held. Survival and product quality in the live mud crab trade turn on handling, containment and transport conditions (FAO, 2025). The absence of formal quality control among fishers and middlemen does not mean no care was taken; fishers tied claws and middlemen cleaned and sorted. The weakness is that neither procedures nor losses were documented against a shared standard, so the cost of mortality cannot be priced into a grade or recovered through it.</w:t>
      </w:r>
    </w:p>
    <w:p>
      <w:pPr>
        <w:pStyle w:val="Heading3"/>
        <w:spacing w:after="120" w:before="240" w:line="360"/>
      </w:pPr>
      <w:r>
        <w:rPr>
          <w:rFonts w:ascii="Times New Roman" w:cs="Times New Roman" w:eastAsia="Times New Roman" w:hAnsi="Times New Roman"/>
          <w:b/>
          <w:bCs/>
          <w:color w:val="000000"/>
          <w:sz w:val="24"/>
          <w:szCs w:val="24"/>
        </w:rPr>
        <w:t xml:space="preserve">5.3.4 Price Formation and the Distribution of Value</w:t>
      </w:r>
    </w:p>
    <w:p>
      <w:pPr>
        <w:spacing w:after="120" w:before="0" w:line="360"/>
        <w:jc w:val="both"/>
      </w:pPr>
      <w:r>
        <w:rPr>
          <w:rFonts w:ascii="Times New Roman" w:cs="Times New Roman" w:eastAsia="Times New Roman" w:hAnsi="Times New Roman"/>
          <w:color w:val="000000"/>
          <w:sz w:val="24"/>
          <w:szCs w:val="24"/>
        </w:rPr>
        <w:t xml:space="preserve">Reported prices rose at every node and the actor comparisons were unambiguous, H(3) = 55.84, p &lt; .001 for large crabs and H(3) = 38.00, p &lt; .001 for medium crabs. Rising prices are expected where later actors carry aggregation, mortality, transport, packaging and buyer-access costs. The caveat matters and is stated plainly: these are gross prices. Munga and Muthumbi (2018) draw the same distinction for the Tana Delta mud crab fishery, where gross price differentials narrowed considerably once handling and transport were netted out, so nothing in this section should be read as a statement about profit. Expressed as marketing margins, the chain took between 60.4% and 72.5% of the final price before it reached the harvester, and the concentration figures in Table 40 describe the structure within which that split is settled: an HHI of 2,371 across the four BMUs, and 76.9% of harvesters dealing with a single buyer.</w:t>
      </w:r>
    </w:p>
    <w:p>
      <w:pPr>
        <w:spacing w:after="120" w:before="0" w:line="360"/>
        <w:jc w:val="both"/>
      </w:pPr>
      <w:r>
        <w:rPr>
          <w:rFonts w:ascii="Times New Roman" w:cs="Times New Roman" w:eastAsia="Times New Roman" w:hAnsi="Times New Roman"/>
          <w:color w:val="000000"/>
          <w:sz w:val="24"/>
          <w:szCs w:val="24"/>
        </w:rPr>
        <w:t xml:space="preserve">Within that limit, expressing each node’s price as a share of the end-of-chain price answers the question of how value is distributed. A large crab reaching an exporter left 35.6% of its final price with the fisher, 20.0% at the middleman step and 44.4% at the exporter step. The same crab reaching a hotel kitchen left the fisher 27.5% and the hotel 57.0%. Medium crabs bound for export were the fisher’s best case at 39.6%. The producer’s share of the final price is a standard measure of marketing performance, and values in this range sit at the low end of what has been reported for perishable, high-value seafood. Jacinto (2004) argues that in small-scale fisheries the share captured at each node tracks control of information and market access more closely than it tracks physical effort, and the ordering here matches that: the actor doing the fishing takes the smallest share, and the largest single share accrues at the step furthest from the water.</w:t>
      </w:r>
    </w:p>
    <w:p>
      <w:pPr>
        <w:spacing w:after="120" w:before="0" w:line="360"/>
        <w:jc w:val="both"/>
      </w:pPr>
      <w:r>
        <w:rPr>
          <w:rFonts w:ascii="Times New Roman" w:cs="Times New Roman" w:eastAsia="Times New Roman" w:hAnsi="Times New Roman"/>
          <w:color w:val="000000"/>
          <w:sz w:val="24"/>
          <w:szCs w:val="24"/>
        </w:rPr>
        <w:t xml:space="preserve">The middleman result deserves emphasis because it cuts against the usual account. Middlemen took the smallest of the three shares in every chain, between 15.5% and 20.0%, yet they are the actor fishers most often identify with the low beach price. Crona et al. (2016) reach a similar conclusion for Kenya and Zanzibar, finding that middlemen are widely blamed for outcomes largely determined further along the chain while themselves operating on modest turnovers and carrying the mortality risk. The present data support that reading rather than the popular one, and Chapter Four documents the risk directly: 95.5% of middlemen reported daily mortality of 4 to 5 kg against 0.5 to 1 kg among fishers.</w:t>
      </w:r>
    </w:p>
    <w:p>
      <w:pPr>
        <w:pStyle w:val="Heading3"/>
        <w:spacing w:after="120" w:before="240" w:line="360"/>
      </w:pPr>
      <w:r>
        <w:rPr>
          <w:rFonts w:ascii="Times New Roman" w:cs="Times New Roman" w:eastAsia="Times New Roman" w:hAnsi="Times New Roman"/>
          <w:b/>
          <w:bCs/>
          <w:color w:val="000000"/>
          <w:sz w:val="24"/>
          <w:szCs w:val="24"/>
        </w:rPr>
        <w:t xml:space="preserve">5.3.5 Site Differences and What Drives Them</w:t>
      </w:r>
    </w:p>
    <w:p>
      <w:pPr>
        <w:spacing w:after="120" w:before="0" w:line="360"/>
        <w:jc w:val="both"/>
      </w:pPr>
      <w:r>
        <w:rPr>
          <w:rFonts w:ascii="Times New Roman" w:cs="Times New Roman" w:eastAsia="Times New Roman" w:hAnsi="Times New Roman"/>
          <w:color w:val="000000"/>
          <w:sz w:val="24"/>
          <w:szCs w:val="24"/>
        </w:rPr>
        <w:t xml:space="preserve">The actor comparison and the site comparison answer different questions, and keeping them apart was necessary. Compare sites without holding the actor constant and a site with more middlemen looks like a high-price site purely because of its respondent mix. With the role held constant, fisher prices differed significantly across sites for large crabs, H(3) = 20.32, p &lt; .001, and medium crabs, H(3) = 20.07, p &lt; .001, while middleman prices did not, H(2) = 5.33, p = .070 and H(2) = 3.78, p = .151.</w:t>
      </w:r>
    </w:p>
    <w:p>
      <w:pPr>
        <w:spacing w:after="120" w:before="0" w:line="360"/>
        <w:jc w:val="both"/>
      </w:pPr>
      <w:r>
        <w:rPr>
          <w:rFonts w:ascii="Times New Roman" w:cs="Times New Roman" w:eastAsia="Times New Roman" w:hAnsi="Times New Roman"/>
          <w:color w:val="000000"/>
          <w:sz w:val="24"/>
          <w:szCs w:val="24"/>
        </w:rPr>
        <w:t xml:space="preserve">That asymmetry produced the study’s sharpest single contrast. At Majoreni the fisher price stood at 91.7% of the local middleman price for large crabs and 91.3% for medium crabs, spreads of KSh 71.4 and KSh 57.1 per kilogram. At Shimoni and Vanga the same figures were 55.0% and 53.6% for large crabs, spreads of KSh 441.8 and KSh 464.3. Because fisher prices varied across sites and middleman prices did not, the narrow Majoreni gap is built on the fisher side: Majoreni traders sold at KSh 857.1, within KSh 143 of the other two sites, while Majoreni fishers were paid KSh 785.7 against roughly KSh 537 elsewhere.</w:t>
      </w:r>
    </w:p>
    <w:p>
      <w:pPr>
        <w:spacing w:after="120" w:before="0" w:line="360"/>
        <w:jc w:val="both"/>
      </w:pPr>
      <w:r>
        <w:rPr>
          <w:rFonts w:ascii="Times New Roman" w:cs="Times New Roman" w:eastAsia="Times New Roman" w:hAnsi="Times New Roman"/>
          <w:color w:val="000000"/>
          <w:sz w:val="24"/>
          <w:szCs w:val="24"/>
        </w:rPr>
        <w:t xml:space="preserve">Two readings fit. Majoreni fishers may face a less concentrated set of first buyers, so competition at the beach lifts the first-hand price; or the seven middlemen sampled there may be first-tier buyers reselling locally rather than consolidators shipping to Mombasa, in which case their price is a shorter step from the water and the comparison is not quite like for like. This study cannot separate the two, since buyer concentration and onward destination were not measured at transaction level. Green and Clark (2021) treat dispersion at the first point of sale as one of the more reliable indicators of weak market integration, and on that criterion Shimoni and Vanga look the weaker markets of the three. The practical implication is unchanged by which reading is correct: the terms a fisher gets are settled at their own landing site.</w:t>
      </w:r>
    </w:p>
    <w:p>
      <w:pPr>
        <w:pStyle w:val="Heading3"/>
        <w:spacing w:after="120" w:before="240" w:line="360"/>
      </w:pPr>
      <w:r>
        <w:rPr>
          <w:rFonts w:ascii="Times New Roman" w:cs="Times New Roman" w:eastAsia="Times New Roman" w:hAnsi="Times New Roman"/>
          <w:b/>
          <w:bCs/>
          <w:color w:val="000000"/>
          <w:sz w:val="24"/>
          <w:szCs w:val="24"/>
        </w:rPr>
        <w:t xml:space="preserve">5.3.6 The Hotelier Medium-Grade Anomaly</w:t>
      </w:r>
    </w:p>
    <w:p>
      <w:pPr>
        <w:spacing w:after="120" w:before="0" w:line="360"/>
        <w:jc w:val="both"/>
      </w:pPr>
      <w:r>
        <w:rPr>
          <w:rFonts w:ascii="Times New Roman" w:cs="Times New Roman" w:eastAsia="Times New Roman" w:hAnsi="Times New Roman"/>
          <w:color w:val="000000"/>
          <w:sz w:val="24"/>
          <w:szCs w:val="24"/>
        </w:rPr>
        <w:t xml:space="preserve">The hotelier medium-grade mean of KSh 380.0 per kilogram does not fit the pattern. It is below the fisher price for the same grade and far below the same respondents’ large-crab mean of KSh 2,200.0. Two explanations are plausible. The entries may refer to a different product form, unit or transaction, such as a processed portion rather than live weight, in which case the value is correct but not comparable with the others. Alternatively it may be a field-entry error. The values were retained to preserve fidelity to the source data and excluded from the chain calculation, but they should be confirmed against the questionnaires before being used to support any argument about value addition at the hospitality node.</w:t>
      </w:r>
    </w:p>
    <w:p>
      <w:pPr>
        <w:pStyle w:val="Heading3"/>
        <w:spacing w:after="120" w:before="240" w:line="360"/>
      </w:pPr>
      <w:r>
        <w:rPr>
          <w:rFonts w:ascii="Times New Roman" w:cs="Times New Roman" w:eastAsia="Times New Roman" w:hAnsi="Times New Roman"/>
          <w:b/>
          <w:bCs/>
          <w:color w:val="000000"/>
          <w:sz w:val="24"/>
          <w:szCs w:val="24"/>
        </w:rPr>
        <w:t xml:space="preserve">5.3.7 Implications</w:t>
      </w:r>
    </w:p>
    <w:p>
      <w:pPr>
        <w:spacing w:after="120" w:before="0" w:line="360"/>
        <w:jc w:val="both"/>
      </w:pPr>
      <w:r>
        <w:rPr>
          <w:rFonts w:ascii="Times New Roman" w:cs="Times New Roman" w:eastAsia="Times New Roman" w:hAnsi="Times New Roman"/>
          <w:color w:val="000000"/>
          <w:sz w:val="24"/>
          <w:szCs w:val="24"/>
        </w:rPr>
        <w:t xml:space="preserve">Theoretically, these results locate the mechanism of value capture in control of the grading rule and of the connection to the final buyer, rather than in harvesting effort or in the middleman’s margin. That is the specific contribution this study makes to the value-chain literature on Kenyan mud crabs, which has so far documented actors and functions more thoroughly than the distribution of returns among them.</w:t>
      </w:r>
    </w:p>
    <w:p>
      <w:pPr>
        <w:spacing w:after="120" w:before="0" w:line="360"/>
        <w:jc w:val="both"/>
      </w:pPr>
      <w:r>
        <w:rPr>
          <w:rFonts w:ascii="Times New Roman" w:cs="Times New Roman" w:eastAsia="Times New Roman" w:hAnsi="Times New Roman"/>
          <w:color w:val="000000"/>
          <w:sz w:val="24"/>
          <w:szCs w:val="24"/>
        </w:rPr>
        <w:t xml:space="preserve">Practically, two interventions follow directly from the numbers and neither requires capital investment: a written grading standard that both parties to a first sale can read, and an independent record of what grades are fetching. Both attack the informational asymmetry the data identify rather than the price level, which no intervention in this study’s reach can set.</w:t>
      </w:r>
    </w:p>
    <w:p>
      <w:pPr>
        <w:pStyle w:val="Heading2"/>
        <w:spacing w:after="140" w:before="280" w:line="360"/>
      </w:pPr>
      <w:r>
        <w:rPr>
          <w:rFonts w:ascii="Times New Roman" w:cs="Times New Roman" w:eastAsia="Times New Roman" w:hAnsi="Times New Roman"/>
          <w:b/>
          <w:bCs/>
          <w:color w:val="000000"/>
          <w:sz w:val="26"/>
          <w:szCs w:val="26"/>
        </w:rPr>
        <w:t xml:space="preserve">5.4 Objective Three: Constraints and Opportunities</w:t>
      </w:r>
    </w:p>
    <w:p>
      <w:pPr>
        <w:pStyle w:val="Heading3"/>
        <w:spacing w:after="120" w:before="240" w:line="360"/>
      </w:pPr>
      <w:r>
        <w:rPr>
          <w:rFonts w:ascii="Times New Roman" w:cs="Times New Roman" w:eastAsia="Times New Roman" w:hAnsi="Times New Roman"/>
          <w:b/>
          <w:bCs/>
          <w:color w:val="000000"/>
          <w:sz w:val="24"/>
          <w:szCs w:val="24"/>
        </w:rPr>
        <w:t xml:space="preserve">5.4.1 Key Findings</w:t>
      </w:r>
    </w:p>
    <w:p>
      <w:pPr>
        <w:spacing w:after="120" w:before="0" w:line="360"/>
        <w:jc w:val="both"/>
      </w:pPr>
      <w:r>
        <w:rPr>
          <w:rFonts w:ascii="Times New Roman" w:cs="Times New Roman" w:eastAsia="Times New Roman" w:hAnsi="Times New Roman"/>
          <w:color w:val="000000"/>
          <w:sz w:val="24"/>
          <w:szCs w:val="24"/>
        </w:rPr>
        <w:t xml:space="preserve">No constraint was shared across the chain. Fishers named price fluctuation and poor roads, middlemen mortality and the lack of aggregation facilities, hoteliers seasonality, exporters freight cost and flight delays. Barriers to market access were reported by 95.8% of respondents. No actor had adopted new equipment or conducted market research. Most respondents judged the market poorly structured, and management-plan awareness reached 95.5% of middlemen and every exporter but only 15.4% of fishers and no hotelier.</w:t>
      </w:r>
    </w:p>
    <w:p>
      <w:pPr>
        <w:pStyle w:val="Heading3"/>
        <w:spacing w:after="120" w:before="240" w:line="360"/>
      </w:pPr>
      <w:r>
        <w:rPr>
          <w:rFonts w:ascii="Times New Roman" w:cs="Times New Roman" w:eastAsia="Times New Roman" w:hAnsi="Times New Roman"/>
          <w:b/>
          <w:bCs/>
          <w:color w:val="000000"/>
          <w:sz w:val="24"/>
          <w:szCs w:val="24"/>
        </w:rPr>
        <w:t xml:space="preserve">5.4.2 Constraints Follow Function</w:t>
      </w:r>
    </w:p>
    <w:p>
      <w:pPr>
        <w:spacing w:after="120" w:before="0" w:line="360"/>
        <w:jc w:val="both"/>
      </w:pPr>
      <w:r>
        <w:rPr>
          <w:rFonts w:ascii="Times New Roman" w:cs="Times New Roman" w:eastAsia="Times New Roman" w:hAnsi="Times New Roman"/>
          <w:color w:val="000000"/>
          <w:sz w:val="24"/>
          <w:szCs w:val="24"/>
        </w:rPr>
        <w:t xml:space="preserve">Each constraint follows from the work the actor does. The fisher sells the same day at a price he does not set, so volatility reaches him first. The middleman holds stock, so he loses crabs; mortality was named by half of them and all four Vanga middlemen. The hotelier lives on tourist arrivals and feels the season. The exporter lives on cargo space and feels the freight. One chain-wide intervention will not reach all four, which is why the recommendations in Chapter Six are written by actor category.</w:t>
      </w:r>
    </w:p>
    <w:p>
      <w:pPr>
        <w:spacing w:after="120" w:before="0" w:line="360"/>
        <w:jc w:val="both"/>
      </w:pPr>
      <w:r>
        <w:rPr>
          <w:rFonts w:ascii="Times New Roman" w:cs="Times New Roman" w:eastAsia="Times New Roman" w:hAnsi="Times New Roman"/>
          <w:color w:val="000000"/>
          <w:sz w:val="24"/>
          <w:szCs w:val="24"/>
        </w:rPr>
        <w:t xml:space="preserve">The infrastructure answers point the same way. Poor roads dominated the fisher responses at 98.5% while 90.9% of middlemen named the lack of aggregation facilities. Better access routes would improve movement from landing areas but would not reduce holding losses; aggregation facilities would improve shade, loading and live-crab management but would not widen fisher buyer choice unless linked to transport and price information. Infrastructure planning therefore has to connect landing-site access with holding and distribution needs, not choose between them.</w:t>
      </w:r>
    </w:p>
    <w:p>
      <w:pPr>
        <w:pStyle w:val="Heading3"/>
        <w:spacing w:after="120" w:before="240" w:line="360"/>
      </w:pPr>
      <w:r>
        <w:rPr>
          <w:rFonts w:ascii="Times New Roman" w:cs="Times New Roman" w:eastAsia="Times New Roman" w:hAnsi="Times New Roman"/>
          <w:b/>
          <w:bCs/>
          <w:color w:val="000000"/>
          <w:sz w:val="24"/>
          <w:szCs w:val="24"/>
        </w:rPr>
        <w:t xml:space="preserve">5.4.3 Governance and the Direction Information Travels</w:t>
      </w:r>
    </w:p>
    <w:p>
      <w:pPr>
        <w:spacing w:after="120" w:before="0" w:line="360"/>
        <w:jc w:val="both"/>
      </w:pPr>
      <w:r>
        <w:rPr>
          <w:rFonts w:ascii="Times New Roman" w:cs="Times New Roman" w:eastAsia="Times New Roman" w:hAnsi="Times New Roman"/>
          <w:color w:val="000000"/>
          <w:sz w:val="24"/>
          <w:szCs w:val="24"/>
        </w:rPr>
        <w:t xml:space="preserve">Negative views of market organisation sit comfortably with everything else recorded here: no collective membership, low upstream licensing, informal grading, no market research and fixed prices reported by every fisher. Awareness of the crab fishery management plan followed commercial position rather than geography. Information moves along commercial relationships instead of through the co-management structures built to carry it.</w:t>
      </w:r>
    </w:p>
    <w:p>
      <w:pPr>
        <w:spacing w:after="120" w:before="0" w:line="360"/>
        <w:jc w:val="both"/>
      </w:pPr>
      <w:r>
        <w:rPr>
          <w:rFonts w:ascii="Times New Roman" w:cs="Times New Roman" w:eastAsia="Times New Roman" w:hAnsi="Times New Roman"/>
          <w:color w:val="000000"/>
          <w:sz w:val="24"/>
          <w:szCs w:val="24"/>
        </w:rPr>
        <w:t xml:space="preserve">Beach Management Units remain the most practical institutions for narrowing that gap. Njiru et al. (2021) found that socioeconomic factors influence trader participation in BMUs in Kwale County, which supports communication designed for specific actor groups rather than a single general announcement. The large neutral response among fishers on the existence of a policy framework is not approval; set beside 15.4% management-plan awareness, it more likely reflects unfamiliarity.</w:t>
      </w:r>
    </w:p>
    <w:p>
      <w:pPr>
        <w:pStyle w:val="Heading3"/>
        <w:spacing w:after="120" w:before="240" w:line="360"/>
      </w:pPr>
      <w:r>
        <w:rPr>
          <w:rFonts w:ascii="Times New Roman" w:cs="Times New Roman" w:eastAsia="Times New Roman" w:hAnsi="Times New Roman"/>
          <w:b/>
          <w:bCs/>
          <w:color w:val="000000"/>
          <w:sz w:val="24"/>
          <w:szCs w:val="24"/>
        </w:rPr>
        <w:t xml:space="preserve">5.4.4 Opposing Priorities Within One Transaction</w:t>
      </w:r>
    </w:p>
    <w:p>
      <w:pPr>
        <w:spacing w:after="120" w:before="0" w:line="360"/>
        <w:jc w:val="both"/>
      </w:pPr>
      <w:r>
        <w:rPr>
          <w:rFonts w:ascii="Times New Roman" w:cs="Times New Roman" w:eastAsia="Times New Roman" w:hAnsi="Times New Roman"/>
          <w:color w:val="000000"/>
          <w:sz w:val="24"/>
          <w:szCs w:val="24"/>
        </w:rPr>
        <w:t xml:space="preserve">Fishers chose market-access improvement, 86.2% of them, while middlemen chose price stability, 95.5%. These are two views of one exchange. The fisher wants an alternative to the buyer standing in front of him; the middleman wants the price he pays and receives to hold still while he carries stock and credit risk. Splitting the difference will not reconcile them, because better market access for fishers means more competition for middlemen. Better price information and clearer grades reduce uncertainty for both without fixing an administered price.</w:t>
      </w:r>
    </w:p>
    <w:p>
      <w:pPr>
        <w:spacing w:after="120" w:before="0" w:line="360"/>
        <w:jc w:val="both"/>
      </w:pPr>
      <w:r>
        <w:rPr>
          <w:rFonts w:ascii="Times New Roman" w:cs="Times New Roman" w:eastAsia="Times New Roman" w:hAnsi="Times New Roman"/>
          <w:color w:val="000000"/>
          <w:sz w:val="24"/>
          <w:szCs w:val="24"/>
        </w:rPr>
        <w:t xml:space="preserve">Reported youth involvement was low or very low throughout, even though more than half the fishers were aged 18 to 35 and four were under 18. Respondents may have understood youth involvement as formal participation, commitment or ownership rather than presence in the fishery. Future questionnaires should define the concept directly, and the presence of minors in harvesting raises safeguarding and schooling questions this study was not designed to answer but should not pass over.</w:t>
      </w:r>
    </w:p>
    <w:p>
      <w:pPr>
        <w:pStyle w:val="Heading3"/>
        <w:spacing w:after="120" w:before="240" w:line="360"/>
      </w:pPr>
      <w:r>
        <w:rPr>
          <w:rFonts w:ascii="Times New Roman" w:cs="Times New Roman" w:eastAsia="Times New Roman" w:hAnsi="Times New Roman"/>
          <w:b/>
          <w:bCs/>
          <w:color w:val="000000"/>
          <w:sz w:val="24"/>
          <w:szCs w:val="24"/>
        </w:rPr>
        <w:t xml:space="preserve">5.4.5 Implications</w:t>
      </w:r>
    </w:p>
    <w:p>
      <w:pPr>
        <w:spacing w:after="120" w:before="0" w:line="360"/>
        <w:jc w:val="both"/>
      </w:pPr>
      <w:r>
        <w:rPr>
          <w:rFonts w:ascii="Times New Roman" w:cs="Times New Roman" w:eastAsia="Times New Roman" w:hAnsi="Times New Roman"/>
          <w:color w:val="000000"/>
          <w:sz w:val="24"/>
          <w:szCs w:val="24"/>
        </w:rPr>
        <w:t xml:space="preserve">Theoretically, the constraint results show that performance in this chain is bounded at different points for different actors, which is an argument against treating the value chain as a single system with one binding constraint. Practically, they mean that an intervention budget spent uniformly across nodes will be largely wasted, and that the sequence in which interventions are attempted matters as much as their content.</w:t>
      </w:r>
    </w:p>
    <w:p>
      <w:pPr>
        <w:pStyle w:val="Heading2"/>
        <w:spacing w:after="140" w:before="280" w:line="360"/>
      </w:pPr>
      <w:r>
        <w:rPr>
          <w:rFonts w:ascii="Times New Roman" w:cs="Times New Roman" w:eastAsia="Times New Roman" w:hAnsi="Times New Roman"/>
          <w:b/>
          <w:bCs/>
          <w:color w:val="000000"/>
          <w:sz w:val="26"/>
          <w:szCs w:val="26"/>
        </w:rPr>
        <w:t xml:space="preserve">5.5 Synthesis Using the Structure-Conduct-Performance Framework</w:t>
      </w:r>
    </w:p>
    <w:p>
      <w:pPr>
        <w:spacing w:after="120" w:before="0" w:line="360"/>
        <w:jc w:val="both"/>
      </w:pPr>
      <w:r>
        <w:rPr>
          <w:rFonts w:ascii="Times New Roman" w:cs="Times New Roman" w:eastAsia="Times New Roman" w:hAnsi="Times New Roman"/>
          <w:color w:val="000000"/>
          <w:sz w:val="24"/>
          <w:szCs w:val="24"/>
        </w:rPr>
        <w:t xml:space="preserve">Set against the structure-conduct-performance framework that guided this study, the three objectives describe a single system. The structure is concentrated at the point of first sale: Table 40 gives an HHI of 2,371 across the four BMUs and 8,580 at the tightest of them, with 76.9% of harvesters selling to a single buyer and 2.95 harvesters for every trader sampled. Many small, unorganised sellers face fewer and better-capitalised buyers, entry downstream needs licences, capital and buyer contacts that upstream actors lack, and no collective body exists at any node to pool bargaining power.</w:t>
      </w:r>
    </w:p>
    <w:p>
      <w:pPr>
        <w:spacing w:after="120" w:before="0" w:line="360"/>
        <w:jc w:val="both"/>
      </w:pPr>
      <w:r>
        <w:rPr>
          <w:rFonts w:ascii="Times New Roman" w:cs="Times New Roman" w:eastAsia="Times New Roman" w:hAnsi="Times New Roman"/>
          <w:color w:val="000000"/>
          <w:sz w:val="24"/>
          <w:szCs w:val="24"/>
        </w:rPr>
        <w:t xml:space="preserve">Conduct follows from that structure. Buyers set prices and every fisher in the sample accepted them as fixed. Grading runs on a rule only the buyer fully controls. Credit advances tie sellers to particular buyers. Nobody conducts market research, so information travels through the same commercial relationships that set the prices in the first place.</w:t>
      </w:r>
    </w:p>
    <w:p>
      <w:pPr>
        <w:spacing w:after="120" w:before="0" w:line="360"/>
        <w:jc w:val="both"/>
      </w:pPr>
      <w:r>
        <w:rPr>
          <w:rFonts w:ascii="Times New Roman" w:cs="Times New Roman" w:eastAsia="Times New Roman" w:hAnsi="Times New Roman"/>
          <w:color w:val="000000"/>
          <w:sz w:val="24"/>
          <w:szCs w:val="24"/>
        </w:rPr>
        <w:t xml:space="preserve">Performance is what that structure and conduct would predict. Reported monthly income ran from KSh 8,969 among fishers to KSh 90,000 among exporters. The fisher’s share of the end-of-chain price ran between 27.5% and 39.6%, the largest single share in every chain accrued at the node furthest from the water, and the total marketing margin ran from 60.4% to 72.5% of the final price. Price dispersion was wide at the harvesting node and narrow after aggregation, a coefficient of variation of 31.8% against 6.8% for the large grade, which Green and Clark (2021) treat as a signature of weak integration at first sale. Losses were reported everywhere and measured nowhere against a common standard.</w:t>
      </w:r>
    </w:p>
    <w:p>
      <w:pPr>
        <w:spacing w:after="120" w:before="0" w:line="360"/>
        <w:jc w:val="both"/>
      </w:pPr>
      <w:r>
        <w:rPr>
          <w:rFonts w:ascii="Times New Roman" w:cs="Times New Roman" w:eastAsia="Times New Roman" w:hAnsi="Times New Roman"/>
          <w:color w:val="000000"/>
          <w:sz w:val="24"/>
          <w:szCs w:val="24"/>
        </w:rPr>
        <w:t xml:space="preserve">This has a practical edge. Interventions aimed only at production, better gear or bigger catches, are unlikely to shift how value is distributed here, because the binding constraint is not how many crabs come ashore but the terms on which they change hands. Three things decide those terms: the grading rule, whether a fisher has any independent price information, and the credit relationship. All three operate in the moment a fisher hands his catch to a first-level middleman.</w:t>
      </w:r>
    </w:p>
    <w:p>
      <w:pPr>
        <w:pStyle w:val="Heading2"/>
        <w:spacing w:after="140" w:before="280" w:line="360"/>
      </w:pPr>
      <w:r>
        <w:rPr>
          <w:rFonts w:ascii="Times New Roman" w:cs="Times New Roman" w:eastAsia="Times New Roman" w:hAnsi="Times New Roman"/>
          <w:b/>
          <w:bCs/>
          <w:color w:val="000000"/>
          <w:sz w:val="26"/>
          <w:szCs w:val="26"/>
        </w:rPr>
        <w:t xml:space="preserve">5.6 What the Measures Capture and the Limitations of the Study</w:t>
      </w:r>
    </w:p>
    <w:p>
      <w:pPr>
        <w:spacing w:after="120" w:before="0" w:line="360"/>
        <w:jc w:val="both"/>
      </w:pPr>
      <w:r>
        <w:rPr>
          <w:rFonts w:ascii="Times New Roman" w:cs="Times New Roman" w:eastAsia="Times New Roman" w:hAnsi="Times New Roman"/>
          <w:color w:val="000000"/>
          <w:sz w:val="24"/>
          <w:szCs w:val="24"/>
        </w:rPr>
        <w:t xml:space="preserve">Three dimensions of market structure that the literature treats as standard cannot be computed here as a transaction survey would compute them. Each has a counterpart these data do support, reported in Chapter Four, and what each one is and is not measuring matters more than either claiming the full measure or leaving the gap unexplained.</w:t>
      </w:r>
    </w:p>
    <w:p>
      <w:pPr>
        <w:spacing w:after="120" w:before="0" w:line="360"/>
        <w:jc w:val="both"/>
      </w:pPr>
      <w:r>
        <w:rPr>
          <w:rFonts w:ascii="Times New Roman" w:cs="Times New Roman" w:eastAsia="Times New Roman" w:hAnsi="Times New Roman"/>
          <w:color w:val="000000"/>
          <w:sz w:val="24"/>
          <w:szCs w:val="24"/>
        </w:rPr>
        <w:t xml:space="preserve">Concentration is measured over harvesters rather than volume. A textbook concentration ratio needs a census of buyers and the quantity each handles, and the survey recorded neither; it did record where every fisher took his catch, so Table 40 reports concentration over buying points weighted by the share of harvesters attached to each. The result is unambiguous: an HHI of 2,371 across the four BMUs and 8,580 at Majoreni, where a numbers-equivalent of 1.17 outlets means the harvesters face what is in practice a single buying point, and every BMU exceeds the 2,500 mark conventionally treated as high concentration. What the figures cannot say is how much crab passes through each point, so a buyer many fishers name but who takes little from each is overweighted, and a volume-weighted index remains out of reach.</w:t>
      </w:r>
    </w:p>
    <w:p>
      <w:pPr>
        <w:spacing w:after="120" w:before="0" w:line="360"/>
        <w:jc w:val="both"/>
      </w:pPr>
      <w:r>
        <w:rPr>
          <w:rFonts w:ascii="Times New Roman" w:cs="Times New Roman" w:eastAsia="Times New Roman" w:hAnsi="Times New Roman"/>
          <w:color w:val="000000"/>
          <w:sz w:val="24"/>
          <w:szCs w:val="24"/>
        </w:rPr>
        <w:t xml:space="preserve">Margins are measured gross, and net of one cost. Table 43 gives the gross marketing margin at each node, a total marketing margin of 60.4% to 72.5% of the final price depending on the chain, and a producer’s share of 27.5% to 39.6%. The survey priced no transport, holding, ice, packaging or cost of capital, so none of these is a profit. It did measure physical mortality, and carrying that through cuts the producer’s share by roughly a tenth, to between 24.6% and 35.5%. A net margin in the accounting sense would still need the cost side of every transaction.</w:t>
      </w:r>
    </w:p>
    <w:p>
      <w:pPr>
        <w:spacing w:after="120" w:before="0" w:line="360"/>
        <w:jc w:val="both"/>
      </w:pPr>
      <w:r>
        <w:rPr>
          <w:rFonts w:ascii="Times New Roman" w:cs="Times New Roman" w:eastAsia="Times New Roman" w:hAnsi="Times New Roman"/>
          <w:color w:val="000000"/>
          <w:sz w:val="24"/>
          <w:szCs w:val="24"/>
        </w:rPr>
        <w:t xml:space="preserve">Efficiency is approached through dispersion rather than cost. A full efficiency measure weighs the value added at a node against the cost of the services performed there, and again the cost side is missing. Two indicators that do not need it appear in Table 44. Price dispersion falls steadily down the chain, from a coefficient of variation of 31.8% among fishers to 14.9% among middlemen and 6.8% among exporters for the large grade, which says price uncertainty is carried almost entirely at the harvesting node. Price transmission, the share of the local middleman price reaching the fisher, ran from 53.6% at Vanga to 91.7% at Majoreni. Neither pretends to be a cost-based efficiency ratio.</w:t>
      </w:r>
    </w:p>
    <w:p>
      <w:pPr>
        <w:spacing w:after="120" w:before="0" w:line="360"/>
        <w:jc w:val="both"/>
      </w:pPr>
      <w:r>
        <w:rPr>
          <w:rFonts w:ascii="Times New Roman" w:cs="Times New Roman" w:eastAsia="Times New Roman" w:hAnsi="Times New Roman"/>
          <w:color w:val="000000"/>
          <w:sz w:val="24"/>
          <w:szCs w:val="24"/>
        </w:rPr>
        <w:t xml:space="preserve">The sample was not fully probabilistic. Reliable lists were unavailable for middlemen, hoteliers and exporters, so referral and convenience procedures were used downstream, and the findings describe the respondents reached rather than population estimates for all Kwale County mud crab actors. The achieved fisher sample of 65 fell short of the calculated target of 83, a coverage rate of 78.3%, and the 18 fishers not reached may differ from those interviewed. Snowball sampling may over-represent actors with stronger trading connections, so the middleman and exporter findings in particular should be read with that in mind. Only five hoteliers and four exporters were sampled, no middleman was sampled at Msambweni, and only three fishers were interviewed there, which limits site-level precision.</w:t>
      </w:r>
    </w:p>
    <w:p>
      <w:pPr>
        <w:spacing w:after="120" w:before="0" w:line="360"/>
        <w:jc w:val="both"/>
      </w:pPr>
      <w:r>
        <w:rPr>
          <w:rFonts w:ascii="Times New Roman" w:cs="Times New Roman" w:eastAsia="Times New Roman" w:hAnsi="Times New Roman"/>
          <w:color w:val="000000"/>
          <w:sz w:val="24"/>
          <w:szCs w:val="24"/>
        </w:rPr>
        <w:t xml:space="preserve">The design was cross-sectional and covered a single survey period, so seasonal variation in price, catch and mortality is not captured and no causal direction can be established. Prices, income and losses were self-reported and were not verified against transaction records. Sixty-eight categorical tests were run without a correction for multiple comparisons, so associations with probabilities close to .05 should be treated as exploratory. What remains genuinely unmeasured is narrower than it first appears: the volume behind each transaction, and the costs each actor carries. Both follow from an instrument designed as an actor inventory rather than a transaction survey, which is the right design for Objectives One and Three and a limiting one for the value-distribution part of Objective Two. Section 6.5 sets out the data collection that would close them.</w:t>
      </w:r>
    </w:p>
    <w:p>
      <w:pPr>
        <w:pStyle w:val="Heading1"/>
        <w:pageBreakBefore/>
        <w:spacing w:after="240" w:before="240" w:line="360"/>
        <w:jc w:val="center"/>
      </w:pPr>
      <w:r>
        <w:rPr>
          <w:rFonts w:ascii="Times New Roman" w:cs="Times New Roman" w:eastAsia="Times New Roman" w:hAnsi="Times New Roman"/>
          <w:b/>
          <w:bCs/>
          <w:color w:val="000000"/>
          <w:sz w:val="28"/>
          <w:szCs w:val="28"/>
        </w:rPr>
        <w:t xml:space="preserve">CHAPTER SIX: CONCLUSIONS AND RECOMMENDATIONS</w:t>
      </w:r>
    </w:p>
    <w:p>
      <w:pPr>
        <w:pStyle w:val="Heading2"/>
        <w:spacing w:after="140" w:before="280" w:line="360"/>
      </w:pPr>
      <w:r>
        <w:rPr>
          <w:rFonts w:ascii="Times New Roman" w:cs="Times New Roman" w:eastAsia="Times New Roman" w:hAnsi="Times New Roman"/>
          <w:b/>
          <w:bCs/>
          <w:color w:val="000000"/>
          <w:sz w:val="26"/>
          <w:szCs w:val="26"/>
        </w:rPr>
        <w:t xml:space="preserve">6.1 Introduction</w:t>
      </w:r>
    </w:p>
    <w:p>
      <w:pPr>
        <w:spacing w:after="120" w:before="0" w:line="360"/>
        <w:jc w:val="both"/>
      </w:pPr>
      <w:r>
        <w:rPr>
          <w:rFonts w:ascii="Times New Roman" w:cs="Times New Roman" w:eastAsia="Times New Roman" w:hAnsi="Times New Roman"/>
          <w:color w:val="000000"/>
          <w:sz w:val="24"/>
          <w:szCs w:val="24"/>
        </w:rPr>
        <w:t xml:space="preserve">This chapter draws conclusions from the three objectives and sets out recommendations. Each recommendation rests on evidence reported in Chapter Four and names the body best placed to act. Recommendations the data cannot support are not made.</w:t>
      </w:r>
    </w:p>
    <w:p>
      <w:pPr>
        <w:pStyle w:val="Heading2"/>
        <w:spacing w:after="140" w:before="280" w:line="360"/>
      </w:pPr>
      <w:r>
        <w:rPr>
          <w:rFonts w:ascii="Times New Roman" w:cs="Times New Roman" w:eastAsia="Times New Roman" w:hAnsi="Times New Roman"/>
          <w:b/>
          <w:bCs/>
          <w:color w:val="000000"/>
          <w:sz w:val="26"/>
          <w:szCs w:val="26"/>
        </w:rPr>
        <w:t xml:space="preserve">6.2 Conclusions</w:t>
      </w:r>
    </w:p>
    <w:p>
      <w:pPr>
        <w:pStyle w:val="Heading3"/>
        <w:spacing w:after="120" w:before="240" w:line="360"/>
      </w:pPr>
      <w:r>
        <w:rPr>
          <w:rFonts w:ascii="Times New Roman" w:cs="Times New Roman" w:eastAsia="Times New Roman" w:hAnsi="Times New Roman"/>
          <w:b/>
          <w:bCs/>
          <w:color w:val="000000"/>
          <w:sz w:val="24"/>
          <w:szCs w:val="24"/>
        </w:rPr>
        <w:t xml:space="preserve">6.2.1 Conclusion for Objective One</w:t>
      </w:r>
    </w:p>
    <w:p>
      <w:pPr>
        <w:spacing w:after="120" w:before="0" w:line="360"/>
        <w:jc w:val="both"/>
      </w:pPr>
      <w:r>
        <w:rPr>
          <w:rFonts w:ascii="Times New Roman" w:cs="Times New Roman" w:eastAsia="Times New Roman" w:hAnsi="Times New Roman"/>
          <w:color w:val="000000"/>
          <w:sz w:val="24"/>
          <w:szCs w:val="24"/>
        </w:rPr>
        <w:t xml:space="preserve">The four actor categories differ systematically and in the same direction on almost every characteristic measured. Fishers are younger, schooled to primary level or below, small-scale, minimally licensed, untrained and un-diversified, and they borrow from the same middlemen who buy from them. Middlemen are older, far more experienced and better capitalised. Hoteliers and exporters are formally qualified, fully licensed and operating at a scale upstream actors do not reach. No respondent in any category belonged to a cooperative, an association or a self-help group. Study site mattered for the age of the fishing population, for marital status and for training, but the larger and more consistent differences were between actor categories.</w:t>
      </w:r>
    </w:p>
    <w:p>
      <w:pPr>
        <w:pStyle w:val="Heading3"/>
        <w:spacing w:after="120" w:before="240" w:line="360"/>
      </w:pPr>
      <w:r>
        <w:rPr>
          <w:rFonts w:ascii="Times New Roman" w:cs="Times New Roman" w:eastAsia="Times New Roman" w:hAnsi="Times New Roman"/>
          <w:b/>
          <w:bCs/>
          <w:color w:val="000000"/>
          <w:sz w:val="24"/>
          <w:szCs w:val="24"/>
        </w:rPr>
        <w:t xml:space="preserve">6.2.2 Conclusion for Objective Two</w:t>
      </w:r>
    </w:p>
    <w:p>
      <w:pPr>
        <w:spacing w:after="120" w:before="0" w:line="360"/>
        <w:jc w:val="both"/>
      </w:pPr>
      <w:r>
        <w:rPr>
          <w:rFonts w:ascii="Times New Roman" w:cs="Times New Roman" w:eastAsia="Times New Roman" w:hAnsi="Times New Roman"/>
          <w:color w:val="000000"/>
          <w:sz w:val="24"/>
          <w:szCs w:val="24"/>
        </w:rPr>
        <w:t xml:space="preserve">The chain runs as a clear functional sequence from harvesting through aggregation to processing and export, and the information used to assign value is concentrated downstream. Fishers graded on weight alone while every other category used a four-criterion rule; formal quality control and contact with the final buyer sat entirely downstream. Reported prices rose significantly at each node. Expressed as shares of the price the crab eventually fetched, the fisher retained between 27.5% and 39.6%, the middleman added between 15.5% and 20.0%, and between 44.4% and 57.0% was added at the final buyer. The size of the first-sale gap was set locally: Majoreni fishers held 91.7% of the middleman price for large crabs where Shimoni and Vanga fishers held close to 54%, and that difference came from variation in what fishers were paid rather than from what traders charged. What determines the price of a crab in this fishery is position in the chain, control of the grading rule and access to alternative buyers, not harvesting effort.</w:t>
      </w:r>
    </w:p>
    <w:p>
      <w:pPr>
        <w:pStyle w:val="Heading3"/>
        <w:spacing w:after="120" w:before="240" w:line="360"/>
      </w:pPr>
      <w:r>
        <w:rPr>
          <w:rFonts w:ascii="Times New Roman" w:cs="Times New Roman" w:eastAsia="Times New Roman" w:hAnsi="Times New Roman"/>
          <w:b/>
          <w:bCs/>
          <w:color w:val="000000"/>
          <w:sz w:val="24"/>
          <w:szCs w:val="24"/>
        </w:rPr>
        <w:t xml:space="preserve">6.2.3 Conclusion for Objective Three</w:t>
      </w:r>
    </w:p>
    <w:p>
      <w:pPr>
        <w:spacing w:after="120" w:before="0" w:line="360"/>
        <w:jc w:val="both"/>
      </w:pPr>
      <w:r>
        <w:rPr>
          <w:rFonts w:ascii="Times New Roman" w:cs="Times New Roman" w:eastAsia="Times New Roman" w:hAnsi="Times New Roman"/>
          <w:color w:val="000000"/>
          <w:sz w:val="24"/>
          <w:szCs w:val="24"/>
        </w:rPr>
        <w:t xml:space="preserve">Constraints arise at different points in the chain and follow the work each actor does: unstable prices and poor roads for fishers, mortality and inadequate aggregation facilities for middlemen, seasonality for hoteliers, freight cost and flight risk for exporters. Barriers to market access were close to universal, no actor had adopted new equipment or conducted market research, and most respondents regarded the market as poorly structured. Management-plan awareness reached traders and exporters while missing fishers and hoteliers. Improvement therefore requires coordinated but actor-specific measures rather than one intervention applied uniformly across all nodes.</w:t>
      </w:r>
    </w:p>
    <w:p>
      <w:pPr>
        <w:pStyle w:val="Heading2"/>
        <w:spacing w:after="140" w:before="280" w:line="360"/>
      </w:pPr>
      <w:r>
        <w:rPr>
          <w:rFonts w:ascii="Times New Roman" w:cs="Times New Roman" w:eastAsia="Times New Roman" w:hAnsi="Times New Roman"/>
          <w:b/>
          <w:bCs/>
          <w:color w:val="000000"/>
          <w:sz w:val="26"/>
          <w:szCs w:val="26"/>
        </w:rPr>
        <w:t xml:space="preserve">6.3 Overall Conclusion</w:t>
      </w:r>
    </w:p>
    <w:p>
      <w:pPr>
        <w:spacing w:after="120" w:before="0" w:line="360"/>
        <w:jc w:val="both"/>
      </w:pPr>
      <w:r>
        <w:rPr>
          <w:rFonts w:ascii="Times New Roman" w:cs="Times New Roman" w:eastAsia="Times New Roman" w:hAnsi="Times New Roman"/>
          <w:color w:val="000000"/>
          <w:sz w:val="24"/>
          <w:szCs w:val="24"/>
        </w:rPr>
        <w:t xml:space="preserve">The South Coast mud crab market is commercially active and institutionally uneven. Fishers supply the product with almost no institutional support behind them, while middlemen and downstream actors hold the grading, the logistics and the connection to high-value buyers. Study site matters for the age of the fishing population, for the words used to describe grades, for the price fishers receive and for the constraint middlemen name, but the larger and steadier divide runs between market nodes rather than between places. Improvement should start where the terms of exchange are set: a shared grading standard, a price record that is reliable and public, better live-crab handling, infrastructure aimed at both ends of the chain, licensing people can actually obtain, and communication that reaches harvesters as dependably as it now reaches traders.</w:t>
      </w:r>
    </w:p>
    <w:p>
      <w:pPr>
        <w:pStyle w:val="Heading2"/>
        <w:spacing w:after="140" w:before="280" w:line="360"/>
      </w:pPr>
      <w:r>
        <w:rPr>
          <w:rFonts w:ascii="Times New Roman" w:cs="Times New Roman" w:eastAsia="Times New Roman" w:hAnsi="Times New Roman"/>
          <w:b/>
          <w:bCs/>
          <w:color w:val="000000"/>
          <w:sz w:val="26"/>
          <w:szCs w:val="26"/>
        </w:rPr>
        <w:t xml:space="preserve">6.4 Recommendations</w:t>
      </w:r>
    </w:p>
    <w:p>
      <w:pPr>
        <w:spacing w:after="120" w:before="0" w:line="360"/>
        <w:jc w:val="both"/>
      </w:pPr>
      <w:r>
        <w:rPr>
          <w:rFonts w:ascii="Times New Roman" w:cs="Times New Roman" w:eastAsia="Times New Roman" w:hAnsi="Times New Roman"/>
          <w:color w:val="000000"/>
          <w:sz w:val="24"/>
          <w:szCs w:val="24"/>
        </w:rPr>
        <w:t xml:space="preserve">Each recommendation below states the problem, the evidence from Chapter Four, the actor responsible and the outcome that would demonstrate success.</w:t>
      </w:r>
    </w:p>
    <w:p>
      <w:pPr>
        <w:pStyle w:val="Heading3"/>
        <w:spacing w:after="120" w:before="240" w:line="360"/>
      </w:pPr>
      <w:r>
        <w:rPr>
          <w:rFonts w:ascii="Times New Roman" w:cs="Times New Roman" w:eastAsia="Times New Roman" w:hAnsi="Times New Roman"/>
          <w:b/>
          <w:bCs/>
          <w:color w:val="000000"/>
          <w:sz w:val="24"/>
          <w:szCs w:val="24"/>
        </w:rPr>
        <w:t xml:space="preserve">6.4.1 Recommendations From Objective One</w:t>
      </w:r>
    </w:p>
    <w:p>
      <w:pPr>
        <w:pStyle w:val="ListParagraph"/>
        <w:numPr>
          <w:ilvl w:val="0"/>
          <w:numId w:val="2"/>
        </w:numPr>
        <w:spacing w:after="100" w:line="360"/>
        <w:jc w:val="both"/>
      </w:pPr>
      <w:r>
        <w:rPr>
          <w:rFonts w:ascii="Times New Roman" w:cs="Times New Roman" w:eastAsia="Times New Roman" w:hAnsi="Times New Roman"/>
          <w:color w:val="000000"/>
          <w:sz w:val="24"/>
          <w:szCs w:val="24"/>
        </w:rPr>
        <w:t xml:space="preserve">Because only 12.5% of fishers and 27.3% of middlemen held an operating licence against every hotelier and exporter, the county fisheries department and BMU committees should run registration and licensing clinics at Shimoni, Majoreni, Vanga and Msambweni, explaining what a licence costs, what it gives and how to renew it. Success would show as a rise in upstream licensing at the next survey round.</w:t>
      </w:r>
    </w:p>
    <w:p>
      <w:pPr>
        <w:pStyle w:val="ListParagraph"/>
        <w:numPr>
          <w:ilvl w:val="0"/>
          <w:numId w:val="2"/>
        </w:numPr>
        <w:spacing w:after="100" w:line="360"/>
        <w:jc w:val="both"/>
      </w:pPr>
      <w:r>
        <w:rPr>
          <w:rFonts w:ascii="Times New Roman" w:cs="Times New Roman" w:eastAsia="Times New Roman" w:hAnsi="Times New Roman"/>
          <w:color w:val="000000"/>
          <w:sz w:val="24"/>
          <w:szCs w:val="24"/>
        </w:rPr>
        <w:t xml:space="preserve">No fisher used a formal loan, yet 93.8% named a middleman as their main source of credit and 38.5% were paid at least partly on credit by the same buyer. Financial institutions, development partners and buyers should separate working capital from the sale itself, so that a fisher who borrows is not thereby committed to one buyer, and any advance should carry written terms stating the amount, the repayment and whether exclusivity applies.</w:t>
      </w:r>
    </w:p>
    <w:p>
      <w:pPr>
        <w:pStyle w:val="ListParagraph"/>
        <w:numPr>
          <w:ilvl w:val="0"/>
          <w:numId w:val="2"/>
        </w:numPr>
        <w:spacing w:after="100" w:line="360"/>
        <w:jc w:val="both"/>
      </w:pPr>
      <w:r>
        <w:rPr>
          <w:rFonts w:ascii="Times New Roman" w:cs="Times New Roman" w:eastAsia="Times New Roman" w:hAnsi="Times New Roman"/>
          <w:color w:val="000000"/>
          <w:sz w:val="24"/>
          <w:szCs w:val="24"/>
        </w:rPr>
        <w:t xml:space="preserve">Not one of the 96 respondents belonged to a cooperative, an association or a self-help group. BMUs and the county should support voluntary groups built around one concrete service, such as a shared price register, a savings facility or bulk purchase of containers, since Gutierrez et al. (2011) found that visible benefit, not registration, is what keeps such groups alive.</w:t>
      </w:r>
    </w:p>
    <w:p>
      <w:pPr>
        <w:pStyle w:val="ListParagraph"/>
        <w:numPr>
          <w:ilvl w:val="0"/>
          <w:numId w:val="2"/>
        </w:numPr>
        <w:spacing w:after="100" w:line="360"/>
        <w:jc w:val="both"/>
      </w:pPr>
      <w:r>
        <w:rPr>
          <w:rFonts w:ascii="Times New Roman" w:cs="Times New Roman" w:eastAsia="Times New Roman" w:hAnsi="Times New Roman"/>
          <w:color w:val="000000"/>
          <w:sz w:val="24"/>
          <w:szCs w:val="24"/>
        </w:rPr>
        <w:t xml:space="preserve">Only 7.7% of fishers had received formal training, and training differed significantly across sites, χ²(3, N = 63) = 8.48, p = .035. Extension officers should deliver practical BMU-level training in grading, live-crab handling, record keeping and simple cost calculation, at the landing site rather than at a district centre.</w:t>
      </w:r>
    </w:p>
    <w:p>
      <w:pPr>
        <w:pStyle w:val="ListParagraph"/>
        <w:numPr>
          <w:ilvl w:val="0"/>
          <w:numId w:val="2"/>
        </w:numPr>
        <w:spacing w:after="100" w:line="360"/>
        <w:jc w:val="both"/>
      </w:pPr>
      <w:r>
        <w:rPr>
          <w:rFonts w:ascii="Times New Roman" w:cs="Times New Roman" w:eastAsia="Times New Roman" w:hAnsi="Times New Roman"/>
          <w:color w:val="000000"/>
          <w:sz w:val="24"/>
          <w:szCs w:val="24"/>
        </w:rPr>
        <w:t xml:space="preserve">Ninety-five of 96 respondents were men, and the sampling frame drew on landing-site registers. Future actor mapping by the county and by researchers should deliberately cover processing, hospitality procurement, retail and crab fattening, where women are more likely to be found, and should include safeguards for the minors recorded in harvesting.</w:t>
      </w:r>
    </w:p>
    <w:p>
      <w:pPr>
        <w:pStyle w:val="Heading3"/>
        <w:spacing w:after="120" w:before="240" w:line="360"/>
      </w:pPr>
      <w:r>
        <w:rPr>
          <w:rFonts w:ascii="Times New Roman" w:cs="Times New Roman" w:eastAsia="Times New Roman" w:hAnsi="Times New Roman"/>
          <w:b/>
          <w:bCs/>
          <w:color w:val="000000"/>
          <w:sz w:val="24"/>
          <w:szCs w:val="24"/>
        </w:rPr>
        <w:t xml:space="preserve">6.4.2 Recommendations From Objective Two</w:t>
      </w:r>
    </w:p>
    <w:p>
      <w:pPr>
        <w:pStyle w:val="ListParagraph"/>
        <w:numPr>
          <w:ilvl w:val="0"/>
          <w:numId w:val="2"/>
        </w:numPr>
        <w:spacing w:after="100" w:line="360"/>
        <w:jc w:val="both"/>
      </w:pPr>
      <w:r>
        <w:rPr>
          <w:rFonts w:ascii="Times New Roman" w:cs="Times New Roman" w:eastAsia="Times New Roman" w:hAnsi="Times New Roman"/>
          <w:color w:val="000000"/>
          <w:sz w:val="24"/>
          <w:szCs w:val="24"/>
        </w:rPr>
        <w:t xml:space="preserve">All 65 fishers graded on weight alone while 95.5% of middlemen and every hotelier and exporter used size, weight, shell condition and claw size. BMUs, fisheries officers and buyers should agree a single grading sheet for Grades A, B and C, giving weight ranges and visible quality criteria, displayed at the point of sale beside the price offered for each grade and taught with sample crabs. The measure would be working when fewer than the present 23.1% of fishers record mixed grades for large crabs.</w:t>
      </w:r>
    </w:p>
    <w:p>
      <w:pPr>
        <w:pStyle w:val="ListParagraph"/>
        <w:numPr>
          <w:ilvl w:val="0"/>
          <w:numId w:val="2"/>
        </w:numPr>
        <w:spacing w:after="100" w:line="360"/>
        <w:jc w:val="both"/>
      </w:pPr>
      <w:r>
        <w:rPr>
          <w:rFonts w:ascii="Times New Roman" w:cs="Times New Roman" w:eastAsia="Times New Roman" w:hAnsi="Times New Roman"/>
          <w:color w:val="000000"/>
          <w:sz w:val="24"/>
          <w:szCs w:val="24"/>
        </w:rPr>
        <w:t xml:space="preserve">Large-crab and small-crab size labels differed significantly across sites, χ²(3, N = 63) = 16.87, p = .001 and χ²(3, N = 63) = 15.96, p = .002, and 44.0% of Shimoni fishers used mixed labels. The same grading terms should apply across all four BMUs rather than being left to local usage.</w:t>
      </w:r>
    </w:p>
    <w:p>
      <w:pPr>
        <w:pStyle w:val="ListParagraph"/>
        <w:numPr>
          <w:ilvl w:val="0"/>
          <w:numId w:val="2"/>
        </w:numPr>
        <w:spacing w:after="100" w:line="360"/>
        <w:jc w:val="both"/>
      </w:pPr>
      <w:r>
        <w:rPr>
          <w:rFonts w:ascii="Times New Roman" w:cs="Times New Roman" w:eastAsia="Times New Roman" w:hAnsi="Times New Roman"/>
          <w:color w:val="000000"/>
          <w:sz w:val="24"/>
          <w:szCs w:val="24"/>
        </w:rPr>
        <w:t xml:space="preserve">Every fisher described the price as fixed by the buyer, no actor conducted market research, and fisher large-crab prices ran from KSh 535.7 at Vanga to KSh 785.7 at Majoreni. Each BMU should keep a weekly price register by grade, buyer and site, publishing the median and the observed range rather than a guaranteed price, so that a fisher has a reference to quote when negotiating.</w:t>
      </w:r>
    </w:p>
    <w:p>
      <w:pPr>
        <w:pStyle w:val="ListParagraph"/>
        <w:numPr>
          <w:ilvl w:val="0"/>
          <w:numId w:val="2"/>
        </w:numPr>
        <w:spacing w:after="100" w:line="360"/>
        <w:jc w:val="both"/>
      </w:pPr>
      <w:r>
        <w:rPr>
          <w:rFonts w:ascii="Times New Roman" w:cs="Times New Roman" w:eastAsia="Times New Roman" w:hAnsi="Times New Roman"/>
          <w:color w:val="000000"/>
          <w:sz w:val="24"/>
          <w:szCs w:val="24"/>
        </w:rPr>
        <w:t xml:space="preserve">The fisher retained 27.5% to 39.6% of the end-of-chain price while 44.4% to 57.0% was added at the final buyer, and first sale was highly concentrated at every landing site. BMUs and the county should test one direct-supply arrangement between an organised fisher group and a hotel or exporter, with agreed grades, volumes and payment terms, and compare the share participants receive against the site baseline recorded here.</w:t>
      </w:r>
    </w:p>
    <w:p>
      <w:pPr>
        <w:pStyle w:val="ListParagraph"/>
        <w:numPr>
          <w:ilvl w:val="0"/>
          <w:numId w:val="2"/>
        </w:numPr>
        <w:spacing w:after="100" w:line="360"/>
        <w:jc w:val="both"/>
      </w:pPr>
      <w:r>
        <w:rPr>
          <w:rFonts w:ascii="Times New Roman" w:cs="Times New Roman" w:eastAsia="Times New Roman" w:hAnsi="Times New Roman"/>
          <w:color w:val="000000"/>
          <w:sz w:val="24"/>
          <w:szCs w:val="24"/>
        </w:rPr>
        <w:t xml:space="preserve">Fishers reported 0.5 to 1 kg of daily mortality and 95.5% of middlemen reported 4 to 5 kg, with no actor keeping records against a common standard. BMUs should pilot aggregation and live-holding facilities with shade, ventilation, secure reusable containers, safe loading space and a simple mortality log, and test reusable ventilated containers against sacks under normal trading conditions.</w:t>
      </w:r>
    </w:p>
    <w:p>
      <w:pPr>
        <w:pStyle w:val="ListParagraph"/>
        <w:numPr>
          <w:ilvl w:val="0"/>
          <w:numId w:val="2"/>
        </w:numPr>
        <w:spacing w:after="100" w:line="360"/>
        <w:jc w:val="both"/>
      </w:pPr>
      <w:r>
        <w:rPr>
          <w:rFonts w:ascii="Times New Roman" w:cs="Times New Roman" w:eastAsia="Times New Roman" w:hAnsi="Times New Roman"/>
          <w:color w:val="000000"/>
          <w:sz w:val="24"/>
          <w:szCs w:val="24"/>
        </w:rPr>
        <w:t xml:space="preserve">A hotelier mean of KSh 380.0 per kilogram for medium crabs sits below the fisher price for the same grade and far below the same respondents’ large-crab mean of KSh 2,200.0. Those five records should be checked against the original questionnaires and field notes to confirm unit, product form and transaction context before any value-addition estimate uses them.</w:t>
      </w:r>
    </w:p>
    <w:p>
      <w:pPr>
        <w:pStyle w:val="Heading3"/>
        <w:spacing w:after="120" w:before="240" w:line="360"/>
      </w:pPr>
      <w:r>
        <w:rPr>
          <w:rFonts w:ascii="Times New Roman" w:cs="Times New Roman" w:eastAsia="Times New Roman" w:hAnsi="Times New Roman"/>
          <w:b/>
          <w:bCs/>
          <w:color w:val="000000"/>
          <w:sz w:val="24"/>
          <w:szCs w:val="24"/>
        </w:rPr>
        <w:t xml:space="preserve">6.4.3 Recommendations From Objective Three</w:t>
      </w:r>
    </w:p>
    <w:p>
      <w:pPr>
        <w:pStyle w:val="ListParagraph"/>
        <w:numPr>
          <w:ilvl w:val="0"/>
          <w:numId w:val="2"/>
        </w:numPr>
        <w:spacing w:after="100" w:line="360"/>
        <w:jc w:val="both"/>
      </w:pPr>
      <w:r>
        <w:rPr>
          <w:rFonts w:ascii="Times New Roman" w:cs="Times New Roman" w:eastAsia="Times New Roman" w:hAnsi="Times New Roman"/>
          <w:color w:val="000000"/>
          <w:sz w:val="24"/>
          <w:szCs w:val="24"/>
        </w:rPr>
        <w:t xml:space="preserve">Poor roads were named by 98.5% of fishers and the lack of aggregation facilities by 90.9% of middlemen, so the county should prepare one infrastructure plan in which each investment names the actor it serves: access routes and landing facilities for fishers, aggregation and holding facilities for middlemen, demand coordination for hotels and freight-risk planning for exporters.</w:t>
      </w:r>
    </w:p>
    <w:p>
      <w:pPr>
        <w:pStyle w:val="ListParagraph"/>
        <w:numPr>
          <w:ilvl w:val="0"/>
          <w:numId w:val="2"/>
        </w:numPr>
        <w:spacing w:after="100" w:line="360"/>
        <w:jc w:val="both"/>
      </w:pPr>
      <w:r>
        <w:rPr>
          <w:rFonts w:ascii="Times New Roman" w:cs="Times New Roman" w:eastAsia="Times New Roman" w:hAnsi="Times New Roman"/>
          <w:color w:val="000000"/>
          <w:sz w:val="24"/>
          <w:szCs w:val="24"/>
        </w:rPr>
        <w:t xml:space="preserve">Management-plan awareness reached 95.5% of middlemen and every exporter but only 15.4% of fishers and no hotelier. BMUs and fisheries officers should aim that communication at fishers and hoteliers first, record who received it and check understanding rather than counting attendance.</w:t>
      </w:r>
    </w:p>
    <w:p>
      <w:pPr>
        <w:pStyle w:val="ListParagraph"/>
        <w:numPr>
          <w:ilvl w:val="0"/>
          <w:numId w:val="2"/>
        </w:numPr>
        <w:spacing w:after="100" w:line="360"/>
        <w:jc w:val="both"/>
      </w:pPr>
      <w:r>
        <w:rPr>
          <w:rFonts w:ascii="Times New Roman" w:cs="Times New Roman" w:eastAsia="Times New Roman" w:hAnsi="Times New Roman"/>
          <w:color w:val="000000"/>
          <w:sz w:val="24"/>
          <w:szCs w:val="24"/>
        </w:rPr>
        <w:t xml:space="preserve">Price fluctuation was the main constraint for 90.8% of fishers and half the middlemen, while 95.5% of middlemen named price stability as their priority. County and national agencies should work on stability through reliable information, consistent grading, predictable payment terms and buyer competition rather than a guaranteed price, which these data do not support and which no institution in the chain could enforce.</w:t>
      </w:r>
    </w:p>
    <w:p>
      <w:pPr>
        <w:pStyle w:val="ListParagraph"/>
        <w:numPr>
          <w:ilvl w:val="0"/>
          <w:numId w:val="2"/>
        </w:numPr>
        <w:spacing w:after="100" w:line="360"/>
        <w:jc w:val="both"/>
      </w:pPr>
      <w:r>
        <w:rPr>
          <w:rFonts w:ascii="Times New Roman" w:cs="Times New Roman" w:eastAsia="Times New Roman" w:hAnsi="Times New Roman"/>
          <w:color w:val="000000"/>
          <w:sz w:val="24"/>
          <w:szCs w:val="24"/>
        </w:rPr>
        <w:t xml:space="preserve">Diversification was the only risk-management method fishers, middlemen and hoteliers named, yet no respondent had adopted an innovative response. Development partners and the county should run small costed pilots such as crab fattening, each tied to a confirmed buyer, reporting survival, feed and labour costs and a realised price so the next round can be judged on evidence.</w:t>
      </w:r>
    </w:p>
    <w:p>
      <w:pPr>
        <w:pStyle w:val="ListParagraph"/>
        <w:numPr>
          <w:ilvl w:val="0"/>
          <w:numId w:val="2"/>
        </w:numPr>
        <w:spacing w:after="100" w:line="360"/>
        <w:jc w:val="both"/>
      </w:pPr>
      <w:r>
        <w:rPr>
          <w:rFonts w:ascii="Times New Roman" w:cs="Times New Roman" w:eastAsia="Times New Roman" w:hAnsi="Times New Roman"/>
          <w:color w:val="000000"/>
          <w:sz w:val="24"/>
          <w:szCs w:val="24"/>
        </w:rPr>
        <w:t xml:space="preserve">Every respondent expressing a view rated youth involvement low or very low, yet 53.8% of fishers were aged 18 to 35 and four were under 18. County youth and fisheries programmes should combine technical training with supervised market access, savings or credit and mentorship, define youth participation explicitly in any monitoring tool and include safeguards for minors.</w:t>
      </w:r>
    </w:p>
    <w:p>
      <w:pPr>
        <w:pStyle w:val="Heading2"/>
        <w:spacing w:after="140" w:before="280" w:line="360"/>
      </w:pPr>
      <w:r>
        <w:rPr>
          <w:rFonts w:ascii="Times New Roman" w:cs="Times New Roman" w:eastAsia="Times New Roman" w:hAnsi="Times New Roman"/>
          <w:b/>
          <w:bCs/>
          <w:color w:val="000000"/>
          <w:sz w:val="26"/>
          <w:szCs w:val="26"/>
        </w:rPr>
        <w:t xml:space="preserve">6.5 Recommendations for Further Research</w:t>
      </w:r>
    </w:p>
    <w:p>
      <w:pPr>
        <w:pStyle w:val="ListParagraph"/>
        <w:numPr>
          <w:ilvl w:val="0"/>
          <w:numId w:val="3"/>
        </w:numPr>
        <w:spacing w:after="100" w:line="360"/>
        <w:jc w:val="both"/>
      </w:pPr>
      <w:r>
        <w:rPr>
          <w:rFonts w:ascii="Times New Roman" w:cs="Times New Roman" w:eastAsia="Times New Roman" w:hAnsi="Times New Roman"/>
          <w:color w:val="000000"/>
          <w:sz w:val="24"/>
          <w:szCs w:val="24"/>
        </w:rPr>
        <w:t xml:space="preserve">Collect transaction-level price, quantity, grade, cost and mortality data across high and low seasons so that net marketing margins can be estimated rather than the gross price spreads reported here. This is the single most important gap in the present study.</w:t>
      </w:r>
    </w:p>
    <w:p>
      <w:pPr>
        <w:pStyle w:val="ListParagraph"/>
        <w:numPr>
          <w:ilvl w:val="0"/>
          <w:numId w:val="3"/>
        </w:numPr>
        <w:spacing w:after="100" w:line="360"/>
        <w:jc w:val="both"/>
      </w:pPr>
      <w:r>
        <w:rPr>
          <w:rFonts w:ascii="Times New Roman" w:cs="Times New Roman" w:eastAsia="Times New Roman" w:hAnsi="Times New Roman"/>
          <w:color w:val="000000"/>
          <w:sz w:val="24"/>
          <w:szCs w:val="24"/>
        </w:rPr>
        <w:t xml:space="preserve">Repeat the survey with probability sampling wherever reliable actor lists can be built, ensuring that each target BMU contributes both fisher and middleman observations so that site comparisons rest on comparable samples.</w:t>
      </w:r>
    </w:p>
    <w:p>
      <w:pPr>
        <w:pStyle w:val="ListParagraph"/>
        <w:numPr>
          <w:ilvl w:val="0"/>
          <w:numId w:val="3"/>
        </w:numPr>
        <w:spacing w:after="100" w:line="360"/>
        <w:jc w:val="both"/>
      </w:pPr>
      <w:r>
        <w:rPr>
          <w:rFonts w:ascii="Times New Roman" w:cs="Times New Roman" w:eastAsia="Times New Roman" w:hAnsi="Times New Roman"/>
          <w:color w:val="000000"/>
          <w:sz w:val="24"/>
          <w:szCs w:val="24"/>
        </w:rPr>
        <w:t xml:space="preserve">Oversample hoteliers, exporters, women and young people so that downstream functions and under-represented participants can be analysed with the precision the present sample does not allow.</w:t>
      </w:r>
    </w:p>
    <w:p>
      <w:pPr>
        <w:pStyle w:val="ListParagraph"/>
        <w:numPr>
          <w:ilvl w:val="0"/>
          <w:numId w:val="3"/>
        </w:numPr>
        <w:spacing w:after="100" w:line="360"/>
        <w:jc w:val="both"/>
      </w:pPr>
      <w:r>
        <w:rPr>
          <w:rFonts w:ascii="Times New Roman" w:cs="Times New Roman" w:eastAsia="Times New Roman" w:hAnsi="Times New Roman"/>
          <w:color w:val="000000"/>
          <w:sz w:val="24"/>
          <w:szCs w:val="24"/>
        </w:rPr>
        <w:t xml:space="preserve">Measure buyer concentration and onward destination at transaction level, which would separate the two explanations offered here for the narrow first-sale gap recorded at Majoreni.</w:t>
      </w:r>
    </w:p>
    <w:p>
      <w:pPr>
        <w:pStyle w:val="ListParagraph"/>
        <w:numPr>
          <w:ilvl w:val="0"/>
          <w:numId w:val="3"/>
        </w:numPr>
        <w:spacing w:after="100" w:line="360"/>
        <w:jc w:val="both"/>
      </w:pPr>
      <w:r>
        <w:rPr>
          <w:rFonts w:ascii="Times New Roman" w:cs="Times New Roman" w:eastAsia="Times New Roman" w:hAnsi="Times New Roman"/>
          <w:color w:val="000000"/>
          <w:sz w:val="24"/>
          <w:szCs w:val="24"/>
        </w:rPr>
        <w:t xml:space="preserve">Use qualitative interviews to clarify buyer advances, loan terms, tied-supply relationships, grading disputes and the reasons actors regard the market as poorly structured.</w:t>
      </w:r>
    </w:p>
    <w:p>
      <w:pPr>
        <w:pStyle w:val="ListParagraph"/>
        <w:numPr>
          <w:ilvl w:val="0"/>
          <w:numId w:val="3"/>
        </w:numPr>
        <w:spacing w:after="100" w:line="360"/>
        <w:jc w:val="both"/>
      </w:pPr>
      <w:r>
        <w:rPr>
          <w:rFonts w:ascii="Times New Roman" w:cs="Times New Roman" w:eastAsia="Times New Roman" w:hAnsi="Times New Roman"/>
          <w:color w:val="000000"/>
          <w:sz w:val="24"/>
          <w:szCs w:val="24"/>
        </w:rPr>
        <w:t xml:space="preserve">Evaluate the price-register, grading-sheet and container pilots recommended in Section 6.4 with before-and-after measures of price dispersion, mortality and fisher bargaining outcomes, treating them as interventions to be tested rather than improvements to be assumed.</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720" w:hanging="360"/>
      </w:pPr>
    </w:lvl>
  </w:abstractNum>
  <w:abstractNum w:abstractNumId="3" w15:restartNumberingAfterBreak="0">
    <w:multiLevelType w:val="hybridMultilevel"/>
    <w:lvl w:ilvl="0" w15:tentative="1">
      <w:start w:val="1"/>
      <w:numFmt w:val="decimal"/>
      <w:lvlText w:val="%1."/>
      <w:lvlJc w:val="start"/>
      <w:pPr>
        <w:ind w:left="720" w:hanging="360"/>
      </w:pPr>
    </w:lvl>
  </w:abstractNum>
  <w:abstractNum w:abstractNumId="4" w15:restartNumberingAfterBreak="0">
    <w:multiLevelType w:val="hybridMultilevel"/>
    <w:lvl w:ilvl="0" w15:tentative="1">
      <w:start w:val="1"/>
      <w:numFmt w:val="decimal"/>
      <w:lvlText w:val="%1."/>
      <w:lvlJc w:val="start"/>
      <w:pPr>
        <w:ind w:left="720" w:hanging="360"/>
      </w:pPr>
    </w:lvl>
  </w:abstractNum>
  <w:abstractNum w:abstractNumId="5" w15:restartNumberingAfterBreak="0">
    <w:multiLevelType w:val="hybridMultilevel"/>
    <w:lvl w:ilvl="0" w15:tentative="1">
      <w:start w:val="1"/>
      <w:numFmt w:val="decimal"/>
      <w:lvlText w:val="%1."/>
      <w:lvlJc w:val="start"/>
      <w:pPr>
        <w:ind w:left="720" w:hanging="36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color w:val="000000"/>
        <w:sz w:val="24"/>
        <w:szCs w:val="24"/>
      </w:rPr>
    </w:rPrDefault>
    <w:pPrDefault>
      <w:pPr>
        <w:spacing w:line="36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6c34b8a818f150740b44fa29468aa0aefa866e60.png"/><Relationship Id="rId8" Type="http://schemas.openxmlformats.org/officeDocument/2006/relationships/image" Target="media/dcff03a5c17ae3c90d9777ac111aabc2de349fe9.png"/><Relationship Id="rId9" Type="http://schemas.openxmlformats.org/officeDocument/2006/relationships/image" Target="media/e7471999fed1352cd750fe0438951fdd5dbe2f5b.png"/><Relationship Id="rId10" Type="http://schemas.openxmlformats.org/officeDocument/2006/relationships/image" Target="media/baf979c096023bf63336066a401efbafefc5198f.png"/><Relationship Id="rId11" Type="http://schemas.openxmlformats.org/officeDocument/2006/relationships/image" Target="media/95fc8b22c978a65f34f5c39c244bc5fd2158338b.png"/><Relationship Id="rId12" Type="http://schemas.openxmlformats.org/officeDocument/2006/relationships/image" Target="media/57ecd8754b5adb78a83fef11ab55aa7270275b14.png"/><Relationship Id="rId13" Type="http://schemas.openxmlformats.org/officeDocument/2006/relationships/image" Target="media/8aaab629c3a35021a050f155e155a8e3c90654e0.png"/><Relationship Id="rId14" Type="http://schemas.openxmlformats.org/officeDocument/2006/relationships/image" Target="media/3f8816b9d77f69cc28d987aed4ef0c6a6923177b.png"/><Relationship Id="rId15" Type="http://schemas.openxmlformats.org/officeDocument/2006/relationships/image" Target="media/6cbfda62a1fb28035b5da829dd4c689834cde41e.png"/><Relationship Id="rId16" Type="http://schemas.openxmlformats.org/officeDocument/2006/relationships/image" Target="media/0d5ee45161efd7b732b712c0c9aeb8e1c67464d5.png"/><Relationship Id="rId17" Type="http://schemas.openxmlformats.org/officeDocument/2006/relationships/image" Target="media/375d30d15f10aff5487cf6238a2d8f0351b31bca.png"/><Relationship Id="rId18" Type="http://schemas.openxmlformats.org/officeDocument/2006/relationships/image" Target="media/374dfcc7d7b85229e11d5bb003552e61dc7f93a9.png"/><Relationship Id="rId19" Type="http://schemas.openxmlformats.org/officeDocument/2006/relationships/image" Target="media/0de65753fad6d45635db4d7d3e2f8ac169ced773.png"/><Relationship Id="rId20" Type="http://schemas.openxmlformats.org/officeDocument/2006/relationships/image" Target="media/e6146b3754444e332f97588da88257709f7ff97d.png"/><Relationship Id="rId21" Type="http://schemas.openxmlformats.org/officeDocument/2006/relationships/image" Target="media/fc5c42ec108c8883cf4a96a37f53f2371a4dca3b.png"/><Relationship Id="rId22" Type="http://schemas.openxmlformats.org/officeDocument/2006/relationships/image" Target="media/00a94fa59d735294dbd5868068b8a23f1563ecd5.png"/><Relationship Id="rId23" Type="http://schemas.openxmlformats.org/officeDocument/2006/relationships/image" Target="media/7816dbde6de6a42dc98e8671c2132c40690c544f.png"/><Relationship Id="rId24" Type="http://schemas.openxmlformats.org/officeDocument/2006/relationships/image" Target="media/0c36ce7f83529053887a9cd9aeaf6ee8c9ad336c.png"/><Relationship Id="rId25" Type="http://schemas.openxmlformats.org/officeDocument/2006/relationships/image" Target="media/ae8584bdcca42466f0fd318980cac8d3d5e546e9.png"/><Relationship Id="rId26" Type="http://schemas.openxmlformats.org/officeDocument/2006/relationships/image" Target="media/5f4ce4c9e32a89864406b57eef2bbc39f2906215.png"/><Relationship Id="rId27" Type="http://schemas.openxmlformats.org/officeDocument/2006/relationships/image" Target="media/846293bfc7f7bcb6dfb233d37b798e445c1ba1ab.png"/><Relationship Id="rId2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Chapters Four to Six</dc:title>
  <dc:creator>Mercy Sangura</dc:creator>
  <dc:description>Results, Discussion, Conclusions and Recommendations</dc:description>
  <cp:lastModifiedBy>Un-named</cp:lastModifiedBy>
  <cp:revision>1</cp:revision>
  <dcterms:created xsi:type="dcterms:W3CDTF">2026-09-30T10:24:54.253Z</dcterms:created>
  <dcterms:modified xsi:type="dcterms:W3CDTF">2026-09-30T10:24:54.253Z</dcterms:modified>
</cp:coreProperties>
</file>

<file path=docProps/custom.xml><?xml version="1.0" encoding="utf-8"?>
<Properties xmlns="http://schemas.openxmlformats.org/officeDocument/2006/custom-properties" xmlns:vt="http://schemas.openxmlformats.org/officeDocument/2006/docPropsVTypes"/>
</file>