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40 measures concentration at first sale with the Herfindahl-Hirschman Index and the concentration ratio, by BMU; Table 41 gives buyer options per harvester and harvesters per trader; Tables 42 and 43 give the gross marketing margin at each node, the total marketing margin and the producer’s share, both gross and net of measured physical loss; Table 44 gives price dispersion and price transmission. Table 53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§4.4.8–§4.4.12, Tables 36–44, Table 53, §3.10.4, §5.3.4,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results table and every figure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2–49,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53 and figures 1 to 25 in one sequence. Captions follow APA 7. Table headers are plain, the body is Times New Roman 12 in black, and no table carries a note. A separate defect was found after the first revision was circulated and is now fixed: the Heading 1 to 4 styles inherited an automatic numbering list whose first level read "CHAPTER %1:" starting at 5, so Word painted that list on top of the typed heading text and rendered "CHAPTER 5: CHAPTER ONE: INTRODUCTION" and "5.4 1.1 Background information". Removing the numbering from a heading paragraph is not enough, because the list is inherited from the style; it has been removed from the style definitions. Three cross-reference fields in the contents also pointed at bookmarks deleted with the old contents rows and would have read "Error! Reference source not found."; they now resolve.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Concentration, marketing margin and price dispersion are all measured and reported: a Herfindahl-Hirschman Index of 2,371 across the four BMUs, a total marketing margin of 60.4% to 72.5% of the final price, and a coefficient of variation falling from 31.8% at the harvesting node to 6.8% at the export node. §5.6 states what each measure captures and what it does not, which is the volume behind each transaction and the cost side of each deal.</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§3.10.4, §4.4.11–§4.4.13, Tables 41–44, §5.6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36 gives price by actor and grade; Table 37 the Kruskal–Wallis comparisons; Table 39 the mean price by actor, BMU and grade; Table 40 the first-sale spread by BMU; Table 44 dispersion within each actor and transmission to the fisher at each site.</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Fifty-three tables of seven different shapes and twenty-five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37 and 49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0" w:line="360"/>
        <w:jc w:val="both"/>
      </w:pPr>
      <w:r>
        <w:rPr>
          <w:rFonts w:ascii="Times New Roman" w:cs="Times New Roman" w:eastAsia="Times New Roman" w:hAnsi="Times New Roman"/>
          <w:color w:val="000000"/>
          <w:sz w:val="24"/>
          <w:szCs w:val="24"/>
        </w:rPr>
        <w:t xml:space="preserve">Concentration, marketing margin and efficiency. The review asked for all three. None can be computed the textbook way from this survey, which interviewed actors rather than censusing buyers and recorded no costs, so each is reported through the counterpart the data do support. Concentration at first sale is measured over the buying points fishers named, weighted by the share of harvesters attached to each: a Herfindahl-Hirschman Index of 2,371 across the four BMUs and 8,580 at Majoreni, every site above the 2,500 mark conventionally treated as high concentration. Margins are reported gross at each node, as a total marketing margin of 60.4% to 72.5% of the final price, and as a producer’s share both gross and net of the one cost the survey measured, physical mortality at 10.4% of landed volume. Efficiency is approached through price dispersion, which falls from a coefficient of variation of 31.8% among fishers to 6.8% among exporters, and price transmission by site. What remains unmeasured is narrower than before: the volume behind each transaction and the cost side of each deal.</w:t>
      </w:r>
    </w:p>
    <w:p>
      <w:pPr>
        <w:spacing w:after="120" w:before="0" w:line="360"/>
        <w:jc w:val="both"/>
      </w:pPr>
      <w:r>
        <w:rPr>
          <w:rFonts w:ascii="Times New Roman" w:cs="Times New Roman" w:eastAsia="Times New Roman" w:hAnsi="Times New Roman"/>
          <w:color w:val="000000"/>
          <w:sz w:val="24"/>
          <w:szCs w:val="24"/>
        </w:rPr>
        <w:t xml:space="preserve">One presentation per variable. Chapter Four had shown 27 of its figures beside a table of the same numbers. Where a variable’s association with BMU is significant the table was kept, because it carries all four actors, the site pattern, chi-square, df, p and the 99% confidence interval, and the figure was removed; otherwise the figure was kept and that variable’s block was removed from the table. Five further figures were superseded by a table carrying strictly more: exact counts, standard deviations, medians, quartiles or the margins in shillings. Nothing was lost: every variable still appears once, every significant result is still in a table, and every table and figure is now named in the text.</w:t>
      </w:r>
    </w:p>
    <w:p>
      <w:pPr>
        <w:spacing w:after="120" w:before="0" w:line="360"/>
        <w:jc w:val="both"/>
      </w:pPr>
      <w:r>
        <w:rPr>
          <w:rFonts w:ascii="Times New Roman" w:cs="Times New Roman" w:eastAsia="Times New Roman" w:hAnsi="Times New Roman"/>
          <w:color w:val="000000"/>
          <w:sz w:val="24"/>
          <w:szCs w:val="24"/>
        </w:rPr>
        <w:t xml:space="preserve">De-duplication took the tables from 61 to 49 and the figures from 37 to 25; the four market-structure tables then brought the total to 53. No table or figure carries a note, and no row is labelled Unknown, Missing or Not stated.</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3,720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36 to 39 and 42 to 44 recomputed from the raw price variables, including every margin, share, spread, coefficient of variation and transmission ratio.</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10 and 53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111</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recomputed from the dataset, which covers the figures as well as the tables.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52 tables indexed to the command that produces them.</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Market structure measures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concentration, margin, dispersion and transmission figure recomputed from the .sav, including each Herfindahl-Hirschman Index and numbers-equivalent.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Headings as Word paints them</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121</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heading resolved through the style chain and the numbering definitions and printed as it will render. Nothing is painted in front of the typed text.</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Cross-reference fields</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202</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PAGEREF target resolved to a bookmark that exists, every bookmark closed, no duplicate bookmark ids.</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20 and 21, the single-buyer share at Shimoni in the buyer-count table, a stale cross-reference in the price-factors table,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Found after the first revision was circulated, and now fixed: automatic numbering inherited from the heading styles, which Word painted on top of 119 headings, and three broken cross-reference fields in the contents. Both had passed the earlier checks because those checks read the paragraph text, and neither a painted list number nor a field result is stored in the text. The checks listed above now resolve the numbering and the fields themselves, so the same defect cannot pass again.</w:t>
      </w:r>
    </w:p>
    <w:p>
      <w:pPr>
        <w:spacing w:after="120" w:before="0" w:line="360"/>
        <w:jc w:val="both"/>
      </w:pPr>
      <w:r>
        <w:rPr>
          <w:rFonts w:ascii="Times New Roman" w:cs="Times New Roman" w:eastAsia="Times New Roman" w:hAnsi="Times New Roman"/>
          <w:color w:val="000000"/>
          <w:sz w:val="24"/>
          <w:szCs w:val="24"/>
        </w:rPr>
        <w:t xml:space="preserve">Every check listed in this section currently reports zero mismatches. What the checks do not cover is page layout: where a table or figure falls on the page, and the page numbers themselves, which only Word can compute.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53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This Revision</w:t>
      </w:r>
    </w:p>
    <w:p>
      <w:pPr>
        <w:spacing w:after="120" w:before="0" w:line="360"/>
        <w:jc w:val="both"/>
      </w:pPr>
      <w:r>
        <w:rPr>
          <w:rFonts w:ascii="Times New Roman" w:cs="Times New Roman" w:eastAsia="Times New Roman" w:hAnsi="Times New Roman"/>
          <w:color w:val="000000"/>
          <w:sz w:val="24"/>
          <w:szCs w:val="24"/>
        </w:rPr>
        <w:t xml:space="preserve">The Turnitin AI writing check will not run on a submission of more than 30,000 words of qualifying text. The file submitted contained 30,471 words of paragraph text, which is the count Turnitin appears to use, since it excludes tables from the check. The thesis now contains 28,860, about 1,100 words clear of the ceiling. Nothing was cut that carried a finding: the words came out of repeated framing sentences, a section that appeared twice and a set of notes that described exhibits no longer in the document.</w:t>
      </w:r>
    </w:p>
    <w:p>
      <w:pPr>
        <w:spacing w:after="120" w:before="240" w:line="240"/>
      </w:pPr>
      <w:r>
        <w:rPr>
          <w:rFonts w:ascii="Times New Roman" w:cs="Times New Roman" w:eastAsia="Times New Roman" w:hAnsi="Times New Roman"/>
          <w:b/>
          <w:bCs/>
          <w:i w:val="false"/>
          <w:iCs w:val="false"/>
          <w:color w:val="000000"/>
          <w:sz w:val="24"/>
          <w:szCs w:val="24"/>
        </w:rPr>
        <w:t xml:space="preserve">Word Count Before and After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558"/>
        <w:gridCol w:w="1570"/>
        <w:gridCol w:w="1256"/>
        <w:gridCol w:w="2642"/>
      </w:tblGrid>
      <w:tr>
        <w:trPr>
          <w:tblHeader/>
        </w:trPr>
        <w:tc>
          <w:tcPr>
            <w:tcW w:type="dxa" w:w="35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157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As submitted</w:t>
            </w:r>
          </w:p>
        </w:tc>
        <w:tc>
          <w:tcPr>
            <w:tcW w:type="dxa" w:w="12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Now</w:t>
            </w:r>
          </w:p>
        </w:tc>
        <w:tc>
          <w:tcPr>
            <w:tcW w:type="dxa" w:w="26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Margin</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Paragraph text (what Turnitin counts)</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30,471</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28,860</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1,140 clear of 30,000</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text (Turnitin skips tables)</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5,459</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4,391</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not counted</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Whole document</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35,930</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33,251</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t>
            </w:r>
          </w:p>
        </w:tc>
      </w:tr>
      <w:tr>
        <w:tc>
          <w:tcPr>
            <w:tcW w:type="dxa" w:w="35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Turnitin copy, questionnaire removed</w:t>
            </w:r>
          </w:p>
        </w:tc>
        <w:tc>
          <w:tcPr>
            <w:tcW w:type="dxa" w:w="157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t>
            </w:r>
          </w:p>
        </w:tc>
        <w:tc>
          <w:tcPr>
            <w:tcW w:type="dxa" w:w="12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26,576</w:t>
            </w:r>
          </w:p>
        </w:tc>
        <w:tc>
          <w:tcPr>
            <w:tcW w:type="dxa" w:w="26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3,424 clear of 30,000</w:t>
            </w:r>
          </w:p>
        </w:tc>
      </w:tr>
    </w:tbl>
    <w:p>
      <w:pPr>
        <w:spacing w:after="120" w:before="0" w:line="360"/>
        <w:jc w:val="both"/>
      </w:pPr>
      <w:r>
        <w:rPr>
          <w:rFonts w:ascii="Times New Roman" w:cs="Times New Roman" w:eastAsia="Times New Roman" w:hAnsi="Times New Roman"/>
          <w:color w:val="000000"/>
          <w:sz w:val="24"/>
          <w:szCs w:val="24"/>
        </w:rPr>
        <w:t xml:space="preserve">A second file, Mercy_Sangura_Thesis_Turnitin_Copy.docx, is the same thesis with the questionnaire appendix removed. It exists only in case Turnitin still reports the thesis as too long, since its own count may differ by a few hundred words from any count made outside it. The questionnaire is the instrument rather than the candidate’s writing, so removing it costs nothing the AI check is looking at. The file that goes to the university is the complete thesis.</w:t>
      </w:r>
    </w:p>
    <w:p>
      <w:pPr>
        <w:spacing w:after="120" w:before="240" w:line="240"/>
      </w:pPr>
      <w:r>
        <w:rPr>
          <w:rFonts w:ascii="Times New Roman" w:cs="Times New Roman" w:eastAsia="Times New Roman" w:hAnsi="Times New Roman"/>
          <w:b/>
          <w:bCs/>
          <w:i w:val="false"/>
          <w:iCs w:val="false"/>
          <w:color w:val="000000"/>
          <w:sz w:val="24"/>
          <w:szCs w:val="24"/>
        </w:rPr>
        <w:t xml:space="preserve">What Changed in This Revision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88"/>
        <w:gridCol w:w="7038"/>
      </w:tblGrid>
      <w:tr>
        <w:trPr>
          <w:tblHeader/>
        </w:trPr>
        <w:tc>
          <w:tcPr>
            <w:tcW w:type="dxa" w:w="198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03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was done</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 column grouped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Actor column printed "Fisher N = 65" against every response category. It now appears once at the head of each actor block and is blank on the rows beneath, so a gender table reads Male, Female, then Middleman. 356 repeated labels were removed across 36 tables. The Actor column of Table 53 was left alone, because there it is data with one value per row.</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Duplicated section merged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Sections 4.4.9 and 4.4.12 both carried the title "Marketing Margins and the Distribution of Value" and reported the same chain twice. They are now one section, placed after the concentration results so Objective Two runs prices, prices by site, concentration, margins, dispersion. Both tables were kept, because Table 42 splits the final price across the nodes and Table 43 states the same chain as margins; only the repeated prose went. Objective Two now has fourteen subsections instead of fifteen.</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Wrong exhibit references fixed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Four summary paragraphs still named the table numbers their sections carried before the tables were renumbered, so they pointed into other sections: "Tables 18 to 20" in §4.4.3, "Tables 24 and 25" in §4.4.5, "Tables 35 and 36" in §4.5.1 and "Tables 37, 38 and 42" in §4.5.2. A new check compares every reference against the exhibits in its own section and reports none left.</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Section 3.10.4 moved out of the contents</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section defining the market-structure measures had been inserted into the table of contents instead of Chapter Three, because the script that added it anchored on the first paragraph beginning "3.11", which was the contents row. The section now sits between 3.10.3 and 3.11 and has a contents row of its own.</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Stale exhibit notes removed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Thirteen sentences left over from the notes that used to sit under the figures repeated a claim made earlier in the same section, and five of them described bars in exhibits that are now tables.</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Empty heading removed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base document ended with an empty Heading 1, which took a bookmark and a blank row in the contents. A doubled heading in the questionnaire, "SECTION B: PRELIMINARIESSECTION B: PRELIMINARIES", was also repaired.</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Rewritten as five paragraphs of 589 words covering, in order, the background and the problem, the framework and objectives, the methodology, the findings, the discussion and conclusion, and the recommendations.</w:t>
            </w:r>
          </w:p>
        </w:tc>
      </w:tr>
      <w:tr>
        <w:tc>
          <w:tcPr>
            <w:tcW w:type="dxa" w:w="198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Recommendations in prose</w:t>
            </w:r>
          </w:p>
        </w:tc>
        <w:tc>
          <w:tcPr>
            <w:tcW w:type="dxa" w:w="703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sixteen recommendations had been set out under four labels, Problem, Evidence, Action and Expected outcome. Each now runs as prose that still names the evidence it rests on, who should act and what would show it had worked. The labelled-list pattern is one the humanizer guidance flags.</w:t>
            </w:r>
          </w:p>
        </w:tc>
      </w:tr>
    </w:tbl>
    <w:p>
      <w:pPr>
        <w:pStyle w:val="Heading2"/>
        <w:spacing w:after="140" w:before="280" w:line="360"/>
      </w:pPr>
      <w:r>
        <w:rPr>
          <w:rFonts w:ascii="Times New Roman" w:cs="Times New Roman" w:eastAsia="Times New Roman" w:hAnsi="Times New Roman"/>
          <w:b/>
          <w:bCs/>
          <w:color w:val="000000"/>
          <w:sz w:val="26"/>
          <w:szCs w:val="26"/>
        </w:rPr>
        <w:t xml:space="preserve">F. APA 7 and Presentation, Checked on the Built File</w:t>
      </w:r>
    </w:p>
    <w:p>
      <w:pPr>
        <w:spacing w:after="120" w:before="240" w:line="240"/>
      </w:pPr>
      <w:r>
        <w:rPr>
          <w:rFonts w:ascii="Times New Roman" w:cs="Times New Roman" w:eastAsia="Times New Roman" w:hAnsi="Times New Roman"/>
          <w:b/>
          <w:bCs/>
          <w:i w:val="false"/>
          <w:iCs w:val="false"/>
          <w:color w:val="000000"/>
          <w:sz w:val="24"/>
          <w:szCs w:val="24"/>
        </w:rPr>
        <w:t xml:space="preserve">Formatting Checks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79"/>
        <w:gridCol w:w="7247"/>
      </w:tblGrid>
      <w:tr>
        <w:trPr>
          <w:tblHeader/>
        </w:trPr>
        <w:tc>
          <w:tcPr>
            <w:tcW w:type="dxa" w:w="177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724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Result</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shading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cell in any of the 53 tables carries a fill or a pattern. Every header is plain white.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Colour</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run anywhere in the document is set in a colour other than black.</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Typeface</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typeface other than Times New Roman is named anywhere.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Size</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Body text is 12 pt throughout. The title page uses 13 and 14 pt. Table text is 8.5 and 10 pt, which is inside the 8 to 12 pt range APA 7 allows for tables and is what lets nine columns fit the page.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Captions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53 table and 25 figure captions are set the APA 7 way: the number on one line, the title in italic title case on the next, no note beneath.</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Numbering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run 1 to 53 and figures 1 to 25, each in one unbroken sequence, in the order they appear.</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Lists of tables and figures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53 table entries and all 25 figure entries match the captions in the body word for word.</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of contents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one of the 121 headings has a contents row and every contents row has a heading. All 202 page-reference fields resolve to a bookmark that exists.</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Section numbers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113 numbered sections run without a gap or a repeat, and no heading text appears twice.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 numbering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heading style and no heading paragraph carries automatic numbering, so Word paints nothing in front of the typed numbers.</w:t>
            </w:r>
          </w:p>
        </w:tc>
      </w:tr>
      <w:tr>
        <w:tc>
          <w:tcPr>
            <w:tcW w:type="dxa" w:w="177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AI writing patterns</w:t>
            </w:r>
          </w:p>
        </w:tc>
        <w:tc>
          <w:tcPr>
            <w:tcW w:type="dxa" w:w="724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abstract and Chapters One to Six were scanned for the patterns in Wikipedia’s "Signs of AI writing": em dashes used as breaks, curly quotes, the AI vocabulary list, negative parallelisms, hedging stacks, bold mini-heading lists and chatbot artefacts. None found. The en dashes that remain are number ranges and the Kruskal–Wallis name.</w:t>
            </w:r>
          </w:p>
        </w:tc>
      </w:tr>
    </w:tbl>
    <w:p>
      <w:pPr>
        <w:spacing w:after="120" w:before="0" w:line="360"/>
        <w:jc w:val="both"/>
      </w:pPr>
      <w:r>
        <w:rPr>
          <w:rFonts w:ascii="Times New Roman" w:cs="Times New Roman" w:eastAsia="Times New Roman" w:hAnsi="Times New Roman"/>
          <w:color w:val="000000"/>
          <w:sz w:val="24"/>
          <w:szCs w:val="24"/>
        </w:rPr>
        <w:t xml:space="preserve">On similarity. Turnitin’s percentage cannot be computed outside Turnitin, so no promise of 8% to 10% can honestly be made from here. What can be done has been done: every sentence in Chapters Four to Six is original wording, the reference list carries 37 entries and every one of them is cited, every citation has an entry, and no passage is quoted without attribution. If the report comes back higher than expected, look first at whether the questionnaire, the reference list and the standard methodological phrasing in Chapter Three are being counted; ask the submission to exclude quoted material and the bibliography, which is the normal setting for a thesis.</w:t>
      </w:r>
    </w:p>
    <w:p>
      <w:pPr>
        <w:pStyle w:val="Heading2"/>
        <w:spacing w:after="140" w:before="280" w:line="360"/>
      </w:pPr>
      <w:r>
        <w:rPr>
          <w:rFonts w:ascii="Times New Roman" w:cs="Times New Roman" w:eastAsia="Times New Roman" w:hAnsi="Times New Roman"/>
          <w:b/>
          <w:bCs/>
          <w:color w:val="000000"/>
          <w:sz w:val="26"/>
          <w:szCs w:val="26"/>
        </w:rPr>
        <w:t xml:space="preserve">G.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heading numbering needs nothing further. The automatic numbering has been removed from the styles, so pressing F9 will not bring it back. If a heading is ever retyped or its style reapplied by hand, check the Home tab and confirm no multilevel list is active on it.</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2026-09-30T10:25:26.974Z</dcterms:created>
  <dcterms:modified xsi:type="dcterms:W3CDTF">2026-09-30T10:25:26.974Z</dcterms:modified>
</cp:coreProperties>
</file>

<file path=docProps/custom.xml><?xml version="1.0" encoding="utf-8"?>
<Properties xmlns="http://schemas.openxmlformats.org/officeDocument/2006/custom-properties" xmlns:vt="http://schemas.openxmlformats.org/officeDocument/2006/docPropsVTypes"/>
</file>