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937"/>
      </w:tblGrid>
      <w:tr w14:paraId="02620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6" w:hRule="atLeast"/>
        </w:trPr>
        <w:tc>
          <w:tcPr>
            <w:tcW w:w="1814" w:type="dxa"/>
          </w:tcPr>
          <w:p w14:paraId="7E27DC8A">
            <w:pPr>
              <w:jc w:val="center"/>
            </w:pPr>
            <w:r>
              <w:rPr>
                <w:color w:val="B4B4B4"/>
                <w:sz w:val="22"/>
              </w:rPr>
              <w:t>[照片]</w:t>
            </w:r>
          </w:p>
        </w:tc>
        <w:tc>
          <w:tcPr>
            <w:tcW w:w="7937" w:type="dxa"/>
          </w:tcPr>
          <w:p w14:paraId="326677F0">
            <w:r>
              <w:rPr>
                <w:b/>
                <w:color w:val="1E1E32"/>
                <w:sz w:val="44"/>
              </w:rPr>
              <w:t>[</w:t>
            </w:r>
            <w:r>
              <w:rPr>
                <w:rFonts w:hint="eastAsia"/>
                <w:b/>
                <w:color w:val="1E1E32"/>
                <w:sz w:val="44"/>
                <w:lang w:val="en-US" w:eastAsia="zh-CN"/>
              </w:rPr>
              <w:t>卓</w:t>
            </w:r>
            <w:r>
              <w:rPr>
                <w:b/>
                <w:color w:val="1E1E32"/>
                <w:sz w:val="44"/>
              </w:rPr>
              <w:t>]</w:t>
            </w:r>
          </w:p>
          <w:p w14:paraId="0BEBDF76">
            <w:r>
              <w:rPr>
                <w:color w:val="646464"/>
                <w:sz w:val="19"/>
              </w:rPr>
              <w:t>男  |  [</w:t>
            </w:r>
            <w:r>
              <w:rPr>
                <w:rFonts w:hint="eastAsia"/>
                <w:color w:val="646464"/>
                <w:sz w:val="19"/>
                <w:lang w:val="en-US" w:eastAsia="zh-CN"/>
              </w:rPr>
              <w:t>电话:1xxxxxxxxxx</w:t>
            </w:r>
            <w:r>
              <w:rPr>
                <w:color w:val="646464"/>
                <w:sz w:val="19"/>
              </w:rPr>
              <w:t>]  |  [邮箱</w:t>
            </w:r>
            <w:r>
              <w:rPr>
                <w:rFonts w:hint="eastAsia"/>
                <w:color w:val="646464"/>
                <w:sz w:val="19"/>
                <w:lang w:eastAsia="zh-CN"/>
              </w:rPr>
              <w:t>：</w:t>
            </w:r>
            <w:r>
              <w:rPr>
                <w:rFonts w:hint="eastAsia"/>
                <w:color w:val="646464"/>
                <w:sz w:val="19"/>
                <w:lang w:val="en-US" w:eastAsia="zh-CN"/>
              </w:rPr>
              <w:t>1xxxxxxxxx@qq.com</w:t>
            </w:r>
            <w:r>
              <w:rPr>
                <w:color w:val="646464"/>
                <w:sz w:val="19"/>
              </w:rPr>
              <w:t>]  |  广州市海珠区  |  本科</w:t>
            </w:r>
          </w:p>
        </w:tc>
      </w:tr>
    </w:tbl>
    <w:p w14:paraId="26D1578F">
      <w:pPr>
        <w:pBdr>
          <w:bottom w:val="single" w:color="333333" w:sz="6" w:space="1"/>
        </w:pBdr>
        <w:spacing w:before="200" w:after="80" w:line="240" w:lineRule="auto"/>
      </w:pPr>
      <w:r>
        <w:rPr>
          <w:rFonts w:ascii="微软雅黑" w:hAnsi="微软雅黑" w:eastAsia="微软雅黑"/>
          <w:b/>
          <w:color w:val="1E1E1E"/>
          <w:sz w:val="24"/>
        </w:rPr>
        <w:t>个人优势</w:t>
      </w:r>
    </w:p>
    <w:p w14:paraId="3EE28C51">
      <w:pPr>
        <w:spacing w:before="0" w:after="40" w:line="276" w:lineRule="auto"/>
      </w:pPr>
      <w:r>
        <w:rPr>
          <w:rFonts w:ascii="微软雅黑" w:hAnsi="微软雅黑" w:eastAsia="微软雅黑"/>
          <w:sz w:val="20"/>
        </w:rPr>
        <w:t>6年+持续深耕「围绕用户的精细化运营」——从会员体系搭建到私域增长，从数据驱动到AI提效。横跨酒店文旅、金融保险、跨境电商、服饰零售4个行业。</w:t>
        <w:t xml:space="preserve"> 累计管理5-10人团队经验（谦腾4人、硕牛5人、万富1人+辅助）。</w:t>
      </w:r>
    </w:p>
    <w:p w14:paraId="4973C90B">
      <w:pPr>
        <w:spacing w:before="20" w:after="20" w:line="276" w:lineRule="auto"/>
        <w:rPr>
          <w:rFonts w:ascii="微软雅黑" w:hAnsi="微软雅黑" w:eastAsia="微软雅黑"/>
          <w:sz w:val="19"/>
        </w:rPr>
      </w:pPr>
      <w:r>
        <w:rPr>
          <w:rFonts w:ascii="微软雅黑" w:hAnsi="微软雅黑" w:eastAsia="微软雅黑"/>
          <w:b/>
          <w:sz w:val="19"/>
        </w:rPr>
        <w:t>核心能力：</w:t>
      </w:r>
      <w:r>
        <w:rPr>
          <w:rFonts w:ascii="微软雅黑" w:hAnsi="微软雅黑" w:eastAsia="微软雅黑"/>
          <w:sz w:val="19"/>
        </w:rPr>
        <w:t>会员体系0-1 ｜ 用户分层与生命周期管理 ｜ 积分权益设计 ｜ 数据驱动增长（RFM/A/B测试） ｜ AI赋能运营</w:t>
        <w:t xml:space="preserve"> ｜ 团队管理（带5-10人）</w:t>
      </w:r>
    </w:p>
    <w:p w14:paraId="042A180E">
      <w:pPr>
        <w:pBdr>
          <w:bottom w:val="single" w:color="333333" w:sz="6" w:space="1"/>
        </w:pBdr>
        <w:spacing w:before="200" w:after="80" w:line="240" w:lineRule="auto"/>
      </w:pPr>
      <w:r>
        <w:rPr>
          <w:rFonts w:ascii="微软雅黑" w:hAnsi="微软雅黑" w:eastAsia="微软雅黑"/>
          <w:b/>
          <w:color w:val="1E1E1E"/>
          <w:sz w:val="24"/>
        </w:rPr>
        <w:t>工作经历</w:t>
      </w:r>
      <w:bookmarkStart w:id="0" w:name="_GoBack"/>
      <w:bookmarkEnd w:id="0"/>
    </w:p>
    <w:p w14:paraId="3E4A6268">
      <w:pPr>
        <w:spacing w:before="120" w:after="20" w:line="264" w:lineRule="auto"/>
      </w:pPr>
      <w:r>
        <w:rPr>
          <w:rFonts w:ascii="微软雅黑" w:hAnsi="微软雅黑" w:eastAsia="微软雅黑"/>
          <w:b/>
          <w:sz w:val="22"/>
        </w:rPr>
        <w:t xml:space="preserve">会员运营经理  </w:t>
      </w:r>
      <w:r>
        <w:rPr>
          <w:rFonts w:ascii="微软雅黑" w:hAnsi="微软雅黑" w:eastAsia="微软雅黑"/>
          <w:color w:val="6E6E6E"/>
          <w:sz w:val="18"/>
        </w:rPr>
        <w:t>广州万富传媒有限公司（万富希尔顿酒店项目）  |  2024.06 - 2025.10  ｜ 带1人+协调文案/酒店销售等辅助资源</w:t>
      </w:r>
    </w:p>
    <w:p w14:paraId="0200B392">
      <w:pPr>
        <w:spacing w:before="0" w:after="40" w:line="240" w:lineRule="auto"/>
        <w:ind w:left="170"/>
      </w:pPr>
      <w:r>
        <w:rPr>
          <w:rFonts w:ascii="微软雅黑" w:hAnsi="微软雅黑" w:eastAsia="微软雅黑"/>
          <w:i/>
          <w:color w:val="828282"/>
          <w:sz w:val="17"/>
        </w:rPr>
        <w:t>▸ 会员分层体系设计 · 积分权益搭建 · 会员活动IP · 多触点精细化运营 · 数据驱动复购提升</w:t>
        <w:t xml:space="preserve"> · 小团队管理</w:t>
      </w:r>
    </w:p>
    <w:p w14:paraId="33111EE7">
      <w:pPr>
        <w:spacing w:before="20" w:after="20" w:line="264" w:lineRule="auto"/>
        <w:ind w:left="283"/>
      </w:pPr>
      <w:r>
        <w:rPr>
          <w:rFonts w:ascii="微软雅黑" w:hAnsi="微软雅黑" w:eastAsia="微软雅黑"/>
          <w:sz w:val="19"/>
        </w:rPr>
        <w:t>• 0-1搭建金卡/黑金卡/万富卡4级高净值会员体系，设计消费积分规则与积分商城兑换体系，形成"消费→积分→升级→权益"闭环</w:t>
      </w:r>
    </w:p>
    <w:p w14:paraId="1950F46A">
      <w:pPr>
        <w:spacing w:before="20" w:after="20" w:line="264" w:lineRule="auto"/>
        <w:ind w:left="283"/>
      </w:pPr>
      <w:r>
        <w:rPr>
          <w:rFonts w:ascii="微软雅黑" w:hAnsi="微软雅黑" w:eastAsia="微软雅黑"/>
          <w:sz w:val="19"/>
        </w:rPr>
        <w:t>• 高等级会员仅10%人数贡献34% GMV，客单价达普通会员3.7倍——验证了分层门槛设计的有效性</w:t>
      </w:r>
    </w:p>
    <w:p w14:paraId="4825D24A">
      <w:pPr>
        <w:spacing w:before="20" w:after="20" w:line="264" w:lineRule="auto"/>
        <w:ind w:left="283"/>
      </w:pPr>
      <w:r>
        <w:rPr>
          <w:rFonts w:ascii="微软雅黑" w:hAnsi="微软雅黑" w:eastAsia="微软雅黑"/>
          <w:sz w:val="19"/>
        </w:rPr>
        <w:t>• 创立「万富会员日」月度活动IP，日常GMV从2.5万提升至19.2万/月（+668%）；秋促任策略负责人，GMV 103.4万（+438%），复购率33%→46%</w:t>
      </w:r>
    </w:p>
    <w:p w14:paraId="4641B808">
      <w:pPr>
        <w:spacing w:before="20" w:after="20" w:line="264" w:lineRule="auto"/>
        <w:ind w:left="283"/>
      </w:pPr>
      <w:r>
        <w:rPr>
          <w:rFonts w:ascii="微软雅黑" w:hAnsi="微软雅黑" w:eastAsia="微软雅黑"/>
          <w:sz w:val="19"/>
        </w:rPr>
        <w:t>• 搭建微商城-企微-公众号-社群多触点矩阵，建立用户标签体系（渠道/消费/活跃/等级），实现精准分层触达与转化</w:t>
      </w:r>
    </w:p>
    <w:p w14:paraId="127FDA46">
      <w:pPr>
        <w:spacing w:before="20" w:after="20" w:line="264" w:lineRule="auto"/>
        <w:ind w:left="283"/>
        <w:rPr>
          <w:rFonts w:ascii="微软雅黑" w:hAnsi="微软雅黑" w:eastAsia="微软雅黑"/>
          <w:sz w:val="19"/>
        </w:rPr>
      </w:pPr>
      <w:r>
        <w:rPr>
          <w:rFonts w:ascii="微软雅黑" w:hAnsi="微软雅黑" w:eastAsia="微软雅黑"/>
          <w:sz w:val="19"/>
        </w:rPr>
        <w:t>• 附加项目：主导大健康品牌从0到1立项（行业调研/OEM对接/分销架构设计），因公司战略调整终止</w:t>
      </w:r>
    </w:p>
    <w:p w14:paraId="4F0447C4">
      <w:pPr>
        <w:spacing w:before="20" w:after="20" w:line="264" w:lineRule="auto"/>
        <w:ind w:left="283"/>
        <w:rPr>
          <w:rFonts w:ascii="微软雅黑" w:hAnsi="微软雅黑" w:eastAsia="微软雅黑"/>
          <w:sz w:val="19"/>
        </w:rPr>
      </w:pPr>
    </w:p>
    <w:p w14:paraId="71BE7ED3">
      <w:pPr>
        <w:spacing w:before="120" w:after="20" w:line="264" w:lineRule="auto"/>
      </w:pPr>
      <w:r>
        <w:rPr>
          <w:rFonts w:ascii="微软雅黑" w:hAnsi="微软雅黑" w:eastAsia="微软雅黑"/>
          <w:b/>
          <w:sz w:val="22"/>
        </w:rPr>
        <w:t xml:space="preserve">私域运营（项目制）  </w:t>
      </w:r>
      <w:r>
        <w:rPr>
          <w:rFonts w:ascii="微软雅黑" w:hAnsi="微软雅黑" w:eastAsia="微软雅黑"/>
          <w:color w:val="6E6E6E"/>
          <w:sz w:val="18"/>
        </w:rPr>
        <w:t>硕牛·金融保险私域矩阵项目  |  2022.08 - 2024.05  ｜ 带5人团队</w:t>
      </w:r>
    </w:p>
    <w:p w14:paraId="508F56F8">
      <w:pPr>
        <w:spacing w:before="0" w:after="40" w:line="240" w:lineRule="auto"/>
        <w:ind w:left="170"/>
      </w:pPr>
      <w:r>
        <w:rPr>
          <w:rFonts w:ascii="微软雅黑" w:hAnsi="微软雅黑" w:eastAsia="微软雅黑"/>
          <w:i/>
          <w:color w:val="828282"/>
          <w:sz w:val="17"/>
        </w:rPr>
        <w:t>▸ 用户分层 · RFM模型 · 社群SOP · 留存与活跃度提升 · 百万级用户精细化运营</w:t>
        <w:t xml:space="preserve"> · 团队管理</w:t>
      </w:r>
    </w:p>
    <w:p w14:paraId="208D1B80">
      <w:pPr>
        <w:spacing w:before="20" w:after="20" w:line="264" w:lineRule="auto"/>
        <w:ind w:left="283"/>
      </w:pPr>
      <w:r>
        <w:rPr>
          <w:rFonts w:ascii="微软雅黑" w:hAnsi="微软雅黑" w:eastAsia="微软雅黑"/>
          <w:sz w:val="19"/>
        </w:rPr>
        <w:t>• 操盘130万+金融用户私域矩阵（公众号-企微-社群-小程序），建立用户标签体系与RFM分层模型，沉淀10万+高质量私域用户</w:t>
      </w:r>
    </w:p>
    <w:p w14:paraId="39C02A14">
      <w:pPr>
        <w:spacing w:before="20" w:after="20" w:line="264" w:lineRule="auto"/>
        <w:ind w:left="283"/>
        <w:rPr>
          <w:rFonts w:ascii="微软雅黑" w:hAnsi="微软雅黑" w:eastAsia="微软雅黑"/>
          <w:sz w:val="19"/>
        </w:rPr>
      </w:pPr>
      <w:r>
        <w:rPr>
          <w:rFonts w:ascii="微软雅黑" w:hAnsi="微软雅黑" w:eastAsia="微软雅黑"/>
          <w:sz w:val="19"/>
        </w:rPr>
        <w:t>• 设计差异化运营策略与标准化社群SOP：周活跃从0.2提升至1.9（9.5倍），月留存80%，周活跃率30%——均为行业</w:t>
      </w:r>
      <w:r>
        <w:rPr>
          <w:rFonts w:hint="eastAsia"/>
          <w:sz w:val="19"/>
          <w:lang w:val="en-US" w:eastAsia="zh-CN"/>
        </w:rPr>
        <w:t>头部</w:t>
      </w:r>
      <w:r>
        <w:rPr>
          <w:rFonts w:ascii="微软雅黑" w:hAnsi="微软雅黑" w:eastAsia="微软雅黑"/>
          <w:sz w:val="19"/>
        </w:rPr>
        <w:t>水</w:t>
      </w:r>
    </w:p>
    <w:p w14:paraId="6F9782A0">
      <w:pPr>
        <w:spacing w:before="20" w:after="20" w:line="264" w:lineRule="auto"/>
        <w:ind w:left="283"/>
        <w:rPr>
          <w:rFonts w:ascii="微软雅黑" w:hAnsi="微软雅黑" w:eastAsia="微软雅黑"/>
          <w:sz w:val="19"/>
        </w:rPr>
      </w:pPr>
    </w:p>
    <w:p w14:paraId="48B97A5B">
      <w:pPr>
        <w:spacing w:before="120" w:after="20" w:line="264" w:lineRule="auto"/>
      </w:pPr>
      <w:r>
        <w:rPr>
          <w:rFonts w:ascii="微软雅黑" w:hAnsi="微软雅黑" w:eastAsia="微软雅黑"/>
          <w:b/>
          <w:sz w:val="22"/>
        </w:rPr>
        <w:t xml:space="preserve">创始人/主理人  </w:t>
      </w:r>
      <w:r>
        <w:rPr>
          <w:rFonts w:ascii="微软雅黑" w:hAnsi="微软雅黑" w:eastAsia="微软雅黑"/>
          <w:color w:val="6E6E6E"/>
          <w:sz w:val="18"/>
        </w:rPr>
        <w:t>线下餐饮创业（2家门店）  |  2020.02 - 2022.07</w:t>
      </w:r>
    </w:p>
    <w:p w14:paraId="3A574A62">
      <w:pPr>
        <w:spacing w:before="0" w:after="40" w:line="240" w:lineRule="auto"/>
        <w:ind w:left="170"/>
      </w:pPr>
      <w:r>
        <w:rPr>
          <w:rFonts w:ascii="微软雅黑" w:hAnsi="微软雅黑" w:eastAsia="微软雅黑"/>
          <w:i/>
          <w:color w:val="828282"/>
          <w:sz w:val="17"/>
        </w:rPr>
        <w:t>▸ 0-1全流程操盘 · 数据驱动运营 · 用户留存策略验证</w:t>
      </w:r>
    </w:p>
    <w:p w14:paraId="7F6CCD10">
      <w:pPr>
        <w:spacing w:before="20" w:after="20" w:line="264" w:lineRule="auto"/>
        <w:ind w:left="283"/>
      </w:pPr>
      <w:r>
        <w:rPr>
          <w:rFonts w:ascii="微软雅黑" w:hAnsi="微软雅黑" w:eastAsia="微软雅黑"/>
          <w:sz w:val="19"/>
        </w:rPr>
        <w:t>• 先后开设并运营2家餐饮门店，独立完成选址、供应链、成本控制等0-1全流程操盘</w:t>
      </w:r>
    </w:p>
    <w:p w14:paraId="428F6E6F">
      <w:pPr>
        <w:spacing w:before="20" w:after="20" w:line="264" w:lineRule="auto"/>
        <w:ind w:left="283"/>
        <w:rPr>
          <w:rFonts w:ascii="微软雅黑" w:hAnsi="微软雅黑" w:eastAsia="微软雅黑"/>
          <w:sz w:val="19"/>
        </w:rPr>
      </w:pPr>
      <w:r>
        <w:rPr>
          <w:rFonts w:ascii="微软雅黑" w:hAnsi="微软雅黑" w:eastAsia="微软雅黑"/>
          <w:sz w:val="19"/>
        </w:rPr>
        <w:t>• 将数据驱动思维迁移到线下：客流监控、回头率分析、产品反馈收集——验证了用户留存策略在线下场景的适配性</w:t>
      </w:r>
    </w:p>
    <w:p w14:paraId="743D839E">
      <w:pPr>
        <w:spacing w:before="120" w:after="20" w:line="264" w:lineRule="auto"/>
      </w:pPr>
      <w:r>
        <w:rPr>
          <w:rFonts w:ascii="微软雅黑" w:hAnsi="微软雅黑" w:eastAsia="微软雅黑"/>
          <w:b/>
          <w:sz w:val="22"/>
        </w:rPr>
        <w:t xml:space="preserve">品类运营 </w:t>
      </w:r>
      <w:r>
        <w:rPr>
          <w:rFonts w:hint="eastAsia" w:ascii="微软雅黑" w:hAnsi="微软雅黑" w:eastAsia="微软雅黑"/>
          <w:color w:val="6E6E6E"/>
          <w:sz w:val="18"/>
        </w:rPr>
        <w:t>广州</w:t>
      </w:r>
      <w:r>
        <w:rPr>
          <w:rFonts w:hint="eastAsia" w:ascii="微软雅黑" w:hAnsi="微软雅黑" w:eastAsia="微软雅黑"/>
          <w:color w:val="6E6E6E"/>
          <w:sz w:val="18"/>
          <w:lang w:val="en-US" w:eastAsia="zh-CN"/>
        </w:rPr>
        <w:t>哆啦</w:t>
      </w:r>
      <w:r>
        <w:rPr>
          <w:rFonts w:hint="eastAsia" w:ascii="微软雅黑" w:hAnsi="微软雅黑" w:eastAsia="微软雅黑"/>
          <w:color w:val="6E6E6E"/>
          <w:sz w:val="18"/>
        </w:rPr>
        <w:t>科技有限公司</w:t>
      </w:r>
      <w:r>
        <w:rPr>
          <w:rFonts w:hint="eastAsia"/>
          <w:color w:val="6E6E6E"/>
          <w:sz w:val="18"/>
          <w:lang w:eastAsia="zh-CN"/>
        </w:rPr>
        <w:t>（</w:t>
      </w:r>
      <w:r>
        <w:rPr>
          <w:rFonts w:hint="eastAsia"/>
          <w:color w:val="6E6E6E"/>
          <w:sz w:val="18"/>
          <w:lang w:val="en-US" w:eastAsia="zh-CN"/>
        </w:rPr>
        <w:t>Fordeal</w:t>
      </w:r>
      <w:r>
        <w:rPr>
          <w:rFonts w:hint="eastAsia"/>
          <w:color w:val="6E6E6E"/>
          <w:sz w:val="18"/>
          <w:lang w:eastAsia="zh-CN"/>
        </w:rPr>
        <w:t>）</w:t>
      </w:r>
      <w:r>
        <w:rPr>
          <w:rFonts w:ascii="微软雅黑" w:hAnsi="微软雅黑" w:eastAsia="微软雅黑"/>
          <w:color w:val="6E6E6E"/>
          <w:sz w:val="18"/>
        </w:rPr>
        <w:t>跨境电商平台</w:t>
      </w:r>
      <w:r>
        <w:rPr>
          <w:rFonts w:hint="eastAsia"/>
          <w:color w:val="6E6E6E"/>
          <w:sz w:val="18"/>
          <w:lang w:val="en-US" w:eastAsia="zh-CN"/>
        </w:rPr>
        <w:t xml:space="preserve"> </w:t>
      </w:r>
      <w:r>
        <w:rPr>
          <w:rFonts w:ascii="微软雅黑" w:hAnsi="微软雅黑" w:eastAsia="微软雅黑"/>
          <w:color w:val="6E6E6E"/>
          <w:sz w:val="18"/>
        </w:rPr>
        <w:t xml:space="preserve">  |  2019.08 - 2020.02</w:t>
      </w:r>
    </w:p>
    <w:p w14:paraId="130AC8F8">
      <w:pPr>
        <w:spacing w:before="0" w:after="40" w:line="240" w:lineRule="auto"/>
        <w:ind w:left="170"/>
      </w:pPr>
      <w:r>
        <w:rPr>
          <w:rFonts w:ascii="微软雅黑" w:hAnsi="微软雅黑" w:eastAsia="微软雅黑"/>
          <w:i/>
          <w:color w:val="828282"/>
          <w:sz w:val="17"/>
        </w:rPr>
        <w:t>▸ 数据驱动 · 商品分层 · GMV增长</w:t>
      </w:r>
    </w:p>
    <w:p w14:paraId="283B537A">
      <w:pPr>
        <w:spacing w:before="20" w:after="20" w:line="264" w:lineRule="auto"/>
        <w:ind w:left="283"/>
        <w:rPr>
          <w:rFonts w:ascii="微软雅黑" w:hAnsi="微软雅黑" w:eastAsia="微软雅黑"/>
          <w:sz w:val="19"/>
        </w:rPr>
      </w:pPr>
      <w:r>
        <w:rPr>
          <w:rFonts w:ascii="微软雅黑" w:hAnsi="微软雅黑" w:eastAsia="微软雅黑"/>
          <w:sz w:val="19"/>
        </w:rPr>
        <w:t>• 通过商品分层与活动排期驱动品类增长，强化数据驱动运营的底层方法论</w:t>
      </w:r>
    </w:p>
    <w:p w14:paraId="79848E65">
      <w:pPr>
        <w:spacing w:before="20" w:after="20" w:line="264" w:lineRule="auto"/>
        <w:ind w:left="283"/>
        <w:rPr>
          <w:rFonts w:ascii="微软雅黑" w:hAnsi="微软雅黑" w:eastAsia="微软雅黑"/>
          <w:sz w:val="19"/>
        </w:rPr>
      </w:pPr>
    </w:p>
    <w:p w14:paraId="58E3BC6C">
      <w:pPr>
        <w:spacing w:before="120" w:after="20" w:line="264" w:lineRule="auto"/>
      </w:pPr>
      <w:r>
        <w:rPr>
          <w:rFonts w:ascii="微软雅黑" w:hAnsi="微软雅黑" w:eastAsia="微软雅黑"/>
          <w:b/>
          <w:sz w:val="22"/>
        </w:rPr>
        <w:t xml:space="preserve">活动运营经理  </w:t>
      </w:r>
      <w:r>
        <w:rPr>
          <w:rFonts w:ascii="微软雅黑" w:hAnsi="微软雅黑" w:eastAsia="微软雅黑"/>
          <w:color w:val="6E6E6E"/>
          <w:sz w:val="18"/>
        </w:rPr>
        <w:t>广州谦腾信息科技有限公司  |  2018.07 - 2019.07  ｜ 带4人团队</w:t>
      </w:r>
    </w:p>
    <w:p w14:paraId="6B65C2AB">
      <w:pPr>
        <w:spacing w:before="0" w:after="40" w:line="240" w:lineRule="auto"/>
        <w:ind w:left="170"/>
      </w:pPr>
      <w:r>
        <w:rPr>
          <w:rFonts w:ascii="微软雅黑" w:hAnsi="微软雅黑" w:eastAsia="微软雅黑"/>
          <w:i/>
          <w:color w:val="828282"/>
          <w:sz w:val="17"/>
        </w:rPr>
        <w:t>▸ 用户裂变增长 · KOC生态 · 私域冷启动</w:t>
        <w:t xml:space="preserve"> · 团队管理</w:t>
      </w:r>
    </w:p>
    <w:p w14:paraId="66DDEE98">
      <w:pPr>
        <w:spacing w:before="20" w:after="20" w:line="264" w:lineRule="auto"/>
        <w:ind w:left="283"/>
        <w:rPr>
          <w:rFonts w:ascii="微软雅黑" w:hAnsi="微软雅黑" w:eastAsia="微软雅黑"/>
          <w:sz w:val="19"/>
        </w:rPr>
      </w:pPr>
      <w:r>
        <w:rPr>
          <w:rFonts w:ascii="微软雅黑" w:hAnsi="微软雅黑" w:eastAsia="微软雅黑"/>
          <w:sz w:val="19"/>
        </w:rPr>
        <w:t>• 主导300万+粉丝女装品牌私域冷启动，近100万用户裂变增长，1000+KOC贡献80%新增GMV</w:t>
      </w:r>
    </w:p>
    <w:p w14:paraId="2EC19CEE">
      <w:pPr>
        <w:spacing w:before="20" w:after="20" w:line="264" w:lineRule="auto"/>
        <w:ind w:left="283"/>
        <w:rPr>
          <w:rFonts w:ascii="微软雅黑" w:hAnsi="微软雅黑" w:eastAsia="微软雅黑"/>
          <w:sz w:val="19"/>
        </w:rPr>
      </w:pPr>
    </w:p>
    <w:p w14:paraId="2D5B8CFE">
      <w:pPr>
        <w:spacing w:before="120" w:after="20" w:line="264" w:lineRule="auto"/>
      </w:pPr>
      <w:r>
        <w:rPr>
          <w:rFonts w:ascii="微软雅黑" w:hAnsi="微软雅黑" w:eastAsia="微软雅黑"/>
          <w:b/>
          <w:sz w:val="22"/>
        </w:rPr>
        <w:t xml:space="preserve">品牌运营经理 → 联盟商  </w:t>
      </w:r>
      <w:r>
        <w:rPr>
          <w:rFonts w:ascii="微软雅黑" w:hAnsi="微软雅黑" w:eastAsia="微软雅黑"/>
          <w:color w:val="6E6E6E"/>
          <w:sz w:val="18"/>
        </w:rPr>
        <w:t>广州友谊班尼路服饰有限公司  |  2015.07 - 2018.06</w:t>
      </w:r>
    </w:p>
    <w:p w14:paraId="4181335D">
      <w:pPr>
        <w:spacing w:before="0" w:after="40" w:line="240" w:lineRule="auto"/>
        <w:ind w:left="170"/>
      </w:pPr>
      <w:r>
        <w:rPr>
          <w:rFonts w:ascii="微软雅黑" w:hAnsi="微软雅黑" w:eastAsia="微软雅黑"/>
          <w:i/>
          <w:color w:val="828282"/>
          <w:sz w:val="17"/>
        </w:rPr>
        <w:t>▸ 零售运营基础 · 品类管理 · 门店数据驱动</w:t>
      </w:r>
    </w:p>
    <w:p w14:paraId="7B23550A">
      <w:pPr>
        <w:spacing w:before="20" w:after="20" w:line="264" w:lineRule="auto"/>
        <w:ind w:left="283"/>
        <w:rPr>
          <w:rFonts w:ascii="微软雅黑" w:hAnsi="微软雅黑" w:eastAsia="微软雅黑"/>
          <w:sz w:val="19"/>
        </w:rPr>
      </w:pPr>
      <w:r>
        <w:rPr>
          <w:rFonts w:ascii="微软雅黑" w:hAnsi="微软雅黑" w:eastAsia="微软雅黑"/>
          <w:sz w:val="19"/>
        </w:rPr>
        <w:t>• 前2年负责全国2500+门店品类运营，后1年以联盟商身份独立开店——从品牌方到一线经营者的视角转换，深刻理解零售全链路底层逻辑</w:t>
      </w:r>
    </w:p>
    <w:p w14:paraId="540E63CB">
      <w:pPr>
        <w:spacing w:before="20" w:after="20" w:line="264" w:lineRule="auto"/>
        <w:ind w:left="283"/>
        <w:rPr>
          <w:rFonts w:ascii="微软雅黑" w:hAnsi="微软雅黑" w:eastAsia="微软雅黑"/>
          <w:sz w:val="19"/>
        </w:rPr>
      </w:pPr>
    </w:p>
    <w:p w14:paraId="40E1F342">
      <w:pPr>
        <w:spacing w:before="20" w:after="20" w:line="264" w:lineRule="auto"/>
        <w:ind w:left="283"/>
        <w:rPr>
          <w:rFonts w:ascii="微软雅黑" w:hAnsi="微软雅黑" w:eastAsia="微软雅黑"/>
          <w:sz w:val="19"/>
        </w:rPr>
      </w:pPr>
    </w:p>
    <w:p w14:paraId="31A7F502">
      <w:pPr>
        <w:pBdr>
          <w:bottom w:val="single" w:color="333333" w:sz="6" w:space="1"/>
        </w:pBdr>
        <w:spacing w:before="200" w:after="80" w:line="240" w:lineRule="auto"/>
        <w:rPr>
          <w:rFonts w:ascii="微软雅黑" w:hAnsi="微软雅黑" w:eastAsia="微软雅黑"/>
          <w:b/>
          <w:color w:val="1E1E1E"/>
          <w:sz w:val="24"/>
        </w:rPr>
      </w:pPr>
      <w:r>
        <w:rPr>
          <w:rFonts w:ascii="微软雅黑" w:hAnsi="微软雅黑" w:eastAsia="微软雅黑"/>
          <w:b/>
          <w:color w:val="1E1E1E"/>
          <w:sz w:val="24"/>
        </w:rPr>
        <w:t>项目经历</w:t>
      </w:r>
    </w:p>
    <w:p w14:paraId="5F6348FC">
      <w:pPr>
        <w:spacing w:before="40" w:after="20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/>
          <w:sz w:val="20"/>
        </w:rPr>
        <w:t>知识付费AI私域项目 · 发起人</w:t>
      </w:r>
      <w:r>
        <w:rPr>
          <w:color w:val="6E6E6E"/>
          <w:sz w:val="18"/>
        </w:rPr>
        <w:t xml:space="preserve">  ｜ 2026.01 - 2026.0</w:t>
      </w:r>
      <w:r>
        <w:rPr>
          <w:rFonts w:hint="eastAsia"/>
          <w:color w:val="6E6E6E"/>
          <w:sz w:val="18"/>
          <w:lang w:val="en-US" w:eastAsia="zh-CN"/>
        </w:rPr>
        <w:t>5</w:t>
      </w:r>
    </w:p>
    <w:p w14:paraId="48712C92">
      <w:pPr>
        <w:spacing w:before="0" w:after="40" w:line="240" w:lineRule="auto"/>
        <w:ind w:left="170"/>
      </w:pPr>
      <w:r>
        <w:rPr>
          <w:rFonts w:ascii="微软雅黑" w:hAnsi="微软雅黑" w:eastAsia="微软雅黑"/>
          <w:i/>
          <w:color w:val="828282"/>
          <w:sz w:val="17"/>
        </w:rPr>
        <w:t>▸ AI+私域全链路 · 用户承接转化 · AI提效验证</w:t>
      </w:r>
    </w:p>
    <w:p w14:paraId="082B1DD6">
      <w:pPr>
        <w:spacing w:before="20" w:after="20" w:line="264" w:lineRule="auto"/>
        <w:ind w:left="283"/>
      </w:pPr>
      <w:r>
        <w:rPr>
          <w:rFonts w:ascii="微软雅黑" w:hAnsi="微软雅黑" w:eastAsia="微软雅黑"/>
          <w:sz w:val="19"/>
        </w:rPr>
        <w:t>• 多平台引流至个微承接的全链路闭环，转化率50%，沉淀1万+用户</w:t>
      </w:r>
    </w:p>
    <w:p w14:paraId="3D666C8E">
      <w:pPr>
        <w:spacing w:before="20" w:after="20" w:line="264" w:lineRule="auto"/>
        <w:ind w:left="283"/>
        <w:rPr>
          <w:rFonts w:ascii="微软雅黑" w:hAnsi="微软雅黑" w:eastAsia="微软雅黑"/>
          <w:sz w:val="19"/>
        </w:rPr>
      </w:pPr>
      <w:r>
        <w:rPr>
          <w:rFonts w:ascii="微软雅黑" w:hAnsi="微软雅黑" w:eastAsia="微软雅黑"/>
          <w:sz w:val="19"/>
        </w:rPr>
        <w:t>• 验证AI在三大环节的提效边界：内容生产（AI批量生成素材）、用户策略（AI辅助分层与话术设计）、数据洞察（飞书多维表+AI自动摘要）</w:t>
      </w:r>
    </w:p>
    <w:p w14:paraId="37537DCE">
      <w:pPr>
        <w:spacing w:before="20" w:after="20" w:line="264" w:lineRule="auto"/>
        <w:ind w:left="283"/>
        <w:rPr>
          <w:rFonts w:ascii="微软雅黑" w:hAnsi="微软雅黑" w:eastAsia="微软雅黑"/>
          <w:sz w:val="19"/>
        </w:rPr>
      </w:pPr>
    </w:p>
    <w:p w14:paraId="0942A6D8">
      <w:pPr>
        <w:spacing w:before="20" w:after="20" w:line="264" w:lineRule="auto"/>
        <w:ind w:left="283"/>
        <w:rPr>
          <w:rFonts w:ascii="微软雅黑" w:hAnsi="微软雅黑" w:eastAsia="微软雅黑"/>
          <w:sz w:val="19"/>
        </w:rPr>
      </w:pPr>
    </w:p>
    <w:p w14:paraId="37F6EFE0">
      <w:pPr>
        <w:pBdr>
          <w:bottom w:val="single" w:color="333333" w:sz="6" w:space="1"/>
        </w:pBdr>
        <w:spacing w:before="200" w:after="80" w:line="240" w:lineRule="auto"/>
      </w:pPr>
      <w:r>
        <w:rPr>
          <w:rFonts w:ascii="微软雅黑" w:hAnsi="微软雅黑" w:eastAsia="微软雅黑"/>
          <w:b/>
          <w:color w:val="1E1E1E"/>
          <w:sz w:val="24"/>
        </w:rPr>
        <w:t>专业技能</w:t>
      </w:r>
    </w:p>
    <w:p w14:paraId="17B5D079">
      <w:pPr>
        <w:spacing w:before="40" w:after="20" w:line="276" w:lineRule="auto"/>
      </w:pPr>
      <w:r>
        <w:rPr>
          <w:rFonts w:ascii="微软雅黑" w:hAnsi="微软雅黑" w:eastAsia="微软雅黑"/>
          <w:b/>
          <w:sz w:val="19"/>
        </w:rPr>
        <w:t>会员运营：</w:t>
      </w:r>
      <w:r>
        <w:rPr>
          <w:rFonts w:ascii="微软雅黑" w:hAnsi="微软雅黑" w:eastAsia="微软雅黑"/>
          <w:sz w:val="19"/>
        </w:rPr>
        <w:t>会员分层体系设计 · 积分权益搭建 · 会员活动策划 · 全生命周期管理 · CRM策略</w:t>
      </w:r>
    </w:p>
    <w:p w14:paraId="1EFFC058">
      <w:pPr>
        <w:spacing w:before="20" w:after="20" w:line="276" w:lineRule="auto"/>
      </w:pPr>
      <w:r>
        <w:rPr>
          <w:rFonts w:ascii="微软雅黑" w:hAnsi="微软雅黑" w:eastAsia="微软雅黑"/>
          <w:b/>
          <w:sz w:val="19"/>
        </w:rPr>
        <w:t>运营工具：</w:t>
      </w:r>
      <w:r>
        <w:rPr>
          <w:rFonts w:ascii="微软雅黑" w:hAnsi="微软雅黑" w:eastAsia="微软雅黑"/>
          <w:sz w:val="19"/>
        </w:rPr>
        <w:t>有赞/直客通商城后台 · 企微SCRM（圈量） · 公众号/小程序 · 社群管理工具</w:t>
      </w:r>
    </w:p>
    <w:p w14:paraId="2B42F8BC">
      <w:pPr>
        <w:spacing w:before="20" w:after="20" w:line="276" w:lineRule="auto"/>
      </w:pPr>
      <w:r>
        <w:rPr>
          <w:rFonts w:ascii="微软雅黑" w:hAnsi="微软雅黑" w:eastAsia="微软雅黑"/>
          <w:b/>
          <w:sz w:val="19"/>
        </w:rPr>
        <w:t>数据分析：</w:t>
      </w:r>
      <w:r>
        <w:rPr>
          <w:rFonts w:ascii="微软雅黑" w:hAnsi="微软雅黑" w:eastAsia="微软雅黑"/>
          <w:sz w:val="19"/>
        </w:rPr>
        <w:t>Excel · RFM模型 · 用户画像与分层 · A/B测试</w:t>
      </w:r>
    </w:p>
    <w:p w14:paraId="39EE1F89">
      <w:pPr>
        <w:spacing w:before="20" w:after="20" w:line="276" w:lineRule="auto"/>
      </w:pPr>
      <w:r>
        <w:rPr>
          <w:rFonts w:ascii="微软雅黑" w:hAnsi="微软雅黑" w:eastAsia="微软雅黑"/>
          <w:b/>
          <w:sz w:val="19"/>
        </w:rPr>
        <w:t>AI应用：</w:t>
      </w:r>
      <w:r>
        <w:rPr>
          <w:rFonts w:ascii="微软雅黑" w:hAnsi="微软雅黑" w:eastAsia="微软雅黑"/>
          <w:sz w:val="19"/>
        </w:rPr>
        <w:t>Claude/ChatGPT辅助数据分析、用户洞察、话术生成、行业调研</w:t>
      </w:r>
    </w:p>
    <w:sectPr>
      <w:pgSz w:w="12240" w:h="15840"/>
      <w:pgMar w:top="1020" w:right="1247" w:bottom="85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286FE2"/>
    <w:rsid w:val="569074E4"/>
    <w:rsid w:val="6CE530BD"/>
    <w:rsid w:val="7360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1298</Words>
  <Characters>1553</Characters>
  <Lines>0</Lines>
  <Paragraphs>0</Paragraphs>
  <TotalTime>2</TotalTime>
  <ScaleCrop>false</ScaleCrop>
  <LinksUpToDate>false</LinksUpToDate>
  <CharactersWithSpaces>1713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Joe</cp:lastModifiedBy>
  <dcterms:modified xsi:type="dcterms:W3CDTF">2026-06-26T06:03:27Z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eyJoZGlkIjoiYjRlMzU0ZjIwNzdhM2ExNTFhNzZlODU4NmViYmJiMmYiLCJ1c2VySWQiOiI0OTI2MTUxMTcifQ==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CE807A8B2A25493E83F6CF9321A0BAEE_13</vt:lpwstr>
  </property>
</Properties>
</file>