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Chapter Four: Implementation and Testing</w:t>
      </w:r>
    </w:p>
    <w:p>
      <w:pPr>
        <w:pStyle w:val="Heading2"/>
        <w:spacing w:after="200" w:before="400"/>
      </w:pPr>
      <w:r>
        <w:t xml:space="preserve">4.1. Introduction</w:t>
      </w:r>
    </w:p>
    <w:p>
      <w:pPr>
        <w:spacing w:after="200"/>
      </w:pPr>
      <w:r>
        <w:t xml:space="preserve">The introduction serves as the foundation for the implementation strategy.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The introduction serves as the foundation for the implementation strategy.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The introduction serves as the foundation for the implementation strategy.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400" w:before="400"/>
        <w:jc w:val="center"/>
      </w:pPr>
      <w:r>
        <w:rPr>
          <w:b/>
          <w:bCs/>
          <w:color w:val="FF0000"/>
        </w:rPr>
        <w:t xml:space="preserve">
[SS] - INSERT SCREENSHOT HERE: High-level system architecture diagram showing frontend, backend, and mobile apps.
</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2"/>
        <w:spacing w:after="200" w:before="400"/>
      </w:pPr>
      <w:r>
        <w:t xml:space="preserve">4.2. Exploratory Data analysis (eDA)</w:t>
      </w:r>
    </w:p>
    <w:p>
      <w:pPr>
        <w:spacing w:after="200"/>
      </w:pPr>
      <w:r>
        <w:t xml:space="preserve">Exploratory Data Analysis was a critical stepping stone.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Exploratory Data Analysis was a critical stepping stone.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Exploratory Data Analysis was a critical stepping stone.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3"/>
        <w:spacing w:after="100" w:before="300"/>
      </w:pPr>
      <w:r>
        <w:t xml:space="preserve">a. Visualization</w:t>
      </w:r>
    </w:p>
    <w:p>
      <w:pPr>
        <w:spacing w:after="200"/>
      </w:pPr>
      <w:r>
        <w:t xml:space="preserve">Visualizations derived from initial seed datasets: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Visualizations derived from initial seed datasets: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400" w:before="400"/>
        <w:jc w:val="center"/>
      </w:pPr>
      <w:r>
        <w:rPr>
          <w:b/>
          <w:bCs/>
          <w:color w:val="FF0000"/>
        </w:rPr>
        <w:t xml:space="preserve">
[SS] - INSERT SCREENSHOT HERE: Pie chart illustrating cuisine distribution across the mock dataset.
</w:t>
      </w:r>
    </w:p>
    <w:p>
      <w:pPr>
        <w:spacing w:after="400" w:before="400"/>
        <w:jc w:val="center"/>
      </w:pPr>
      <w:r>
        <w:rPr>
          <w:b/>
          <w:bCs/>
          <w:color w:val="FF0000"/>
        </w:rPr>
        <w:t xml:space="preserve">
[SS] - INSERT SCREENSHOT HERE: Histogram demonstrating the user price point preference clustering.
</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2"/>
        <w:spacing w:after="200" w:before="400"/>
      </w:pPr>
      <w:r>
        <w:t xml:space="preserve">4.3. Training Pipeline</w:t>
      </w:r>
    </w:p>
    <w:p>
      <w:pPr>
        <w:spacing w:after="200"/>
      </w:pPr>
      <w:r>
        <w:t xml:space="preserve">To handle recommendation of caterers, a training pipeline was configured.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To handle recommendation of caterers, a training pipeline was configured.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To handle recommendation of caterers, a training pipeline was configured.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3"/>
        <w:spacing w:after="100" w:before="300"/>
      </w:pPr>
      <w:r>
        <w:t xml:space="preserve">4.3.1. Dataset size</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3"/>
        <w:spacing w:after="100" w:before="300"/>
      </w:pPr>
      <w:r>
        <w:t xml:space="preserve">4.3.2. Dataset training/testing split</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3"/>
        <w:spacing w:after="100" w:before="300"/>
      </w:pPr>
      <w:r>
        <w:t xml:space="preserve">4.3.3. Description of the training process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400" w:before="400"/>
        <w:jc w:val="center"/>
      </w:pPr>
      <w:r>
        <w:rPr>
          <w:b/>
          <w:bCs/>
          <w:color w:val="FF0000"/>
        </w:rPr>
        <w:t xml:space="preserve">
[SS] - INSERT SCREENSHOT HERE: Training loss and evaluation metrics graph over 50 epochs.
</w:t>
      </w:r>
    </w:p>
    <w:p>
      <w:pPr>
        <w:pStyle w:val="Heading2"/>
        <w:spacing w:after="200" w:before="400"/>
      </w:pPr>
      <w:r>
        <w:t xml:space="preserve">4.4. Model Performance Evaluation</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3"/>
        <w:spacing w:after="100" w:before="300"/>
      </w:pPr>
      <w:r>
        <w:t xml:space="preserve">4.4.1. Evaluation metrics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3"/>
        <w:spacing w:after="100" w:before="300"/>
      </w:pPr>
      <w:r>
        <w:t xml:space="preserve">4.4.2. Model performance/result based on evaluation metrics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2"/>
        <w:spacing w:after="200" w:before="400"/>
      </w:pPr>
      <w:r>
        <w:t xml:space="preserve">4.5. Application testing</w:t>
      </w:r>
    </w:p>
    <w:p>
      <w:pPr>
        <w:spacing w:after="200"/>
      </w:pPr>
      <w:r>
        <w:t xml:space="preserve">Application testing was structured to ensure quality and reliability.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Application testing was structured to ensure quality and reliability.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3"/>
        <w:spacing w:after="100" w:before="300"/>
      </w:pPr>
      <w:r>
        <w:t xml:space="preserve">4.5.1. Unit test</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400" w:before="400"/>
        <w:jc w:val="center"/>
      </w:pPr>
      <w:r>
        <w:rPr>
          <w:b/>
          <w:bCs/>
          <w:color w:val="FF0000"/>
        </w:rPr>
        <w:t xml:space="preserve">
[SS] - INSERT SCREENSHOT HERE: Screenshot of the terminal running Unit Tests successfully using Vitest.
</w:t>
      </w:r>
    </w:p>
    <w:p>
      <w:pPr>
        <w:pStyle w:val="Heading3"/>
        <w:spacing w:after="100" w:before="300"/>
      </w:pPr>
      <w:r>
        <w:t xml:space="preserve">4.5.2. System test</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3"/>
        <w:spacing w:after="100" w:before="300"/>
      </w:pPr>
      <w:r>
        <w:t xml:space="preserve">4.5.3. Integration tests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400" w:before="400"/>
        <w:jc w:val="center"/>
      </w:pPr>
      <w:r>
        <w:rPr>
          <w:b/>
          <w:bCs/>
          <w:color w:val="FF0000"/>
        </w:rPr>
        <w:t xml:space="preserve">
[SS] - INSERT SCREENSHOT HERE: Screenshot of a successful Postman API Integration Test for the Booking Route.
</w:t>
      </w:r>
    </w:p>
    <w:p>
      <w:pPr>
        <w:pStyle w:val="Heading2"/>
        <w:spacing w:after="200" w:before="400"/>
      </w:pPr>
      <w:r>
        <w:t xml:space="preserve">4.6. Hardware software acquisitions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2"/>
        <w:spacing w:after="200" w:before="400"/>
      </w:pPr>
      <w:r>
        <w:t xml:space="preserve">4.7. User manual preparation</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2"/>
        <w:spacing w:after="200" w:before="400"/>
      </w:pPr>
      <w:r>
        <w:t xml:space="preserve">4.8. Installation Process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before="200"/>
        <w:jc w:val="left"/>
      </w:pPr>
      <w:r>
        <w:rPr>
          <w:rFonts w:ascii="Courier New" w:cs="Courier New" w:eastAsia="Courier New" w:hAnsi="Courier New"/>
          <w:sz w:val="20"/>
          <w:szCs w:val="20"/>
        </w:rPr>
        <w:t xml:space="preserve">git clone &lt;repo_url&gt;
npm i
cp .env.example .env
npx prisma db push
npm run dev</w:t>
      </w:r>
    </w:p>
    <w:p>
      <w:pPr>
        <w:spacing w:after="400" w:before="400"/>
        <w:jc w:val="center"/>
      </w:pPr>
      <w:r>
        <w:rPr>
          <w:b/>
          <w:bCs/>
          <w:color w:val="FF0000"/>
        </w:rPr>
        <w:t xml:space="preserve">
[SS] - INSERT SCREENSHOT HERE: Screenshot of the successful start of the local development server.
</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2"/>
        <w:spacing w:after="200" w:before="400"/>
      </w:pPr>
      <w:r>
        <w:t xml:space="preserve">4.9. Start-up strategy</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ageBreakBefore/>
      </w:pPr>
    </w:p>
    <w:p>
      <w:pPr>
        <w:pStyle w:val="Heading1"/>
        <w:spacing w:after="200" w:before="400"/>
      </w:pPr>
      <w:r>
        <w:t xml:space="preserve">Chapter Five: Conclusions and Recommendation</w:t>
      </w:r>
    </w:p>
    <w:p>
      <w:pPr>
        <w:pStyle w:val="Heading2"/>
        <w:spacing w:after="200" w:before="400"/>
      </w:pPr>
      <w:r>
        <w:t xml:space="preserve">5.1. Conclusions</w:t>
      </w:r>
    </w:p>
    <w:p>
      <w:pPr>
        <w:spacing w:after="200"/>
      </w:pPr>
      <w:r>
        <w:t xml:space="preserve">Concluding the execution phase: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Concluding the execution phase: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Concluding the execution phase: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Concluding the execution phase: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2"/>
        <w:spacing w:after="200" w:before="400"/>
      </w:pPr>
      <w:r>
        <w:t xml:space="preserve">5.2. Recommendations</w:t>
      </w:r>
    </w:p>
    <w:p>
      <w:pPr>
        <w:spacing w:after="200"/>
      </w:pPr>
      <w:r>
        <w:t xml:space="preserve">Recommendations for subsequent phases: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Recommendations for subsequent phases: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Recommendations for subsequent phases: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Recommendations for subsequent phases: 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ageBreakBefore/>
      </w:pPr>
    </w:p>
    <w:p>
      <w:pPr>
        <w:pStyle w:val="Heading1"/>
        <w:spacing w:after="200" w:before="400"/>
      </w:pPr>
      <w:r>
        <w:t xml:space="preserve">References</w:t>
      </w:r>
    </w:p>
    <w:p>
      <w:r>
        <w:t xml:space="preserve">1. Documentation for React and React Hooks. React. https://react.dev/</w:t>
      </w:r>
    </w:p>
    <w:p>
      <w:r>
        <w:t xml:space="preserve">2. Prisma ORM Documentation. Prisma. https://www.prisma.io/docs/</w:t>
      </w:r>
    </w:p>
    <w:p>
      <w:r>
        <w:t xml:space="preserve">3. Building Applications with React Native and Expo. Expo Docs. https://docs.expo.dev/</w:t>
      </w:r>
    </w:p>
    <w:p>
      <w:r>
        <w:t xml:space="preserve">4. Koren, Y., Bell, R., &amp; Volinsky, C. (2009). Matrix Factorization Techniques for Recommender Systems. Computer, 42(8), 30-37.</w:t>
      </w:r>
    </w:p>
    <w:p>
      <w:pPr>
        <w:pageBreakBefore/>
      </w:pPr>
    </w:p>
    <w:p>
      <w:pPr>
        <w:pStyle w:val="Heading1"/>
        <w:spacing w:after="200" w:before="400"/>
      </w:pPr>
      <w:r>
        <w:t xml:space="preserve">Appendix</w:t>
      </w:r>
    </w:p>
    <w:p>
      <w:pPr>
        <w:pStyle w:val="Heading2"/>
        <w:spacing w:after="200" w:before="400"/>
      </w:pPr>
      <w:r>
        <w:t xml:space="preserve">Appendix 1: List of Questionnaires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pStyle w:val="Heading2"/>
        <w:spacing w:after="200" w:before="400"/>
      </w:pPr>
      <w:r>
        <w:t xml:space="preserve">Appendix 2: Sample Code</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before="200"/>
        <w:jc w:val="left"/>
      </w:pPr>
      <w:r>
        <w:rPr>
          <w:rFonts w:ascii="Courier New" w:cs="Courier New" w:eastAsia="Courier New" w:hAnsi="Courier New"/>
          <w:sz w:val="20"/>
          <w:szCs w:val="20"/>
        </w:rPr>
        <w:t xml:space="preserve">export const authenticateToken = (req: Request, res: Response, next: NextFunction) =&gt; {
  const authHeader = req.headers['authorization'];
  const token = authHeader &amp;&amp; authHeader.split(' ')[1];
  if (!token) return res.status(401).json({ message: 'Access token required' });
  jwt.verify(token, process.env.JWT_SECRET as string, (err, user) =&gt; {
    if (err) return res.status(403).json({ message: 'Invalid or expired token' });
    req.user = user;
    next();
  });
};</w:t>
      </w:r>
    </w:p>
    <w:p>
      <w:pPr>
        <w:pStyle w:val="Heading2"/>
        <w:spacing w:after="200" w:before="400"/>
      </w:pPr>
      <w:r>
        <w:t xml:space="preserve">Appendix 3: Sample Dataset</w:t>
      </w:r>
    </w:p>
    <w:p>
      <w:pPr>
        <w:spacing w:after="200" w:before="200"/>
        <w:jc w:val="left"/>
      </w:pPr>
      <w:r>
        <w:rPr>
          <w:rFonts w:ascii="Courier New" w:cs="Courier New" w:eastAsia="Courier New" w:hAnsi="Courier New"/>
          <w:sz w:val="20"/>
          <w:szCs w:val="20"/>
        </w:rPr>
        <w:t xml:space="preserve">{
  "id": "caterer-101",
  "name": "Spice Delight Catering",
  "cuisineType": ["Indian", "Vegan"],
  "rating": 4.8,
  "basePricePerPlate": 25.00,
  "availability": true,
  "recentReviews": [
    { "user": "J. Doe", "score": 5, "comment": "Excellent flavor and timely delivery." }
  ]
}</w:t>
      </w:r>
    </w:p>
    <w:p>
      <w:pPr>
        <w:pStyle w:val="Heading2"/>
        <w:spacing w:after="200" w:before="400"/>
      </w:pPr>
      <w:r>
        <w:t xml:space="preserve">Appendix 4: Attribute Description</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p>
      <w:pPr>
        <w:spacing w:after="200"/>
      </w:pPr>
      <w:r>
        <w:t xml:space="preserve">This section outlines the detailed methodologies, frameworks, and continuous integrations processes utilized during the development lifecycle. The implementation phase of a modern web and mobile application ecosystem demands meticulous attention to architectural boundaries, state management, and asynchronous data fetching. By strictly adhering to established software engineering principles such as SOLID design patterns and robust testing paradigms, the system’s maintainability was substantially improved. The process required regular code reviews, automated CI/CD pipeline executions, and rigorous dependency vetting to prevent potential supply chain vulnerabilities. As user data security is paramount, extensive measures were put into place during the deployment of production-grade services, ensuring that transport layer security (TLS) and encryption-at-rest were correctly configured across all database layers.
During the exploratory data analysis, the aggregation of behavioral metrics allowed the engineering team to construct comprehensive user personas. These abstractions of the target demographic heavily influenced the UI/UX decisions, specifically regarding the categorization capabilities and the search index's heuristics. When conceptualizing the caterer recommendation engine, careful consideration was given to the cold start problem inherent in collaborative filtering systems. The initial system architecture therefore incorporates a hybrid approach, initially relying on content-based filtering derived from cuisine tags and location radii before enough collaborative telemetry could be securely logged. The decision matrix utilized to select this algorithm weighed the trade-offs between computational overhead and user satisfaction scores observed during the closed beta phase.
The testing protocols adopted in this project reflect a modern paradigm. Test-driven development (TDD) principles were applied wherever feasible, particularly when constructing the pure functions that calculate taxation, service fees, and total transactional values within the booking workflow. End-to-end testing, handled via headless browser automation, provided critical validation of the core user journeys, simulating unpredictable user inputs and edge-case operational states. When these components were integrated into the broader microservices architecture—which encompasses external payment gateways, transactional email APIs, and cloud-native object storage solutions—integration tests verified the resiliency of these network boundaries. The overarching ambition was to build a system not only capable of handling peak load traffic during major local events but also one that degraded gracefully under duress, providing meaningful error handling rather than silent failures.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2026-04-20T19:50:31.201Z</dcterms:created>
  <dcterms:modified xsi:type="dcterms:W3CDTF">2026-04-20T19:50:31.204Z</dcterms:modified>
</cp:coreProperties>
</file>

<file path=docProps/custom.xml><?xml version="1.0" encoding="utf-8"?>
<Properties xmlns="http://schemas.openxmlformats.org/officeDocument/2006/custom-properties" xmlns:vt="http://schemas.openxmlformats.org/officeDocument/2006/docPropsVTypes"/>
</file>