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A8CA" w14:textId="77777777" w:rsidR="00A50E94" w:rsidRDefault="00000000">
      <w:pPr>
        <w:pStyle w:val="Title"/>
      </w:pPr>
      <w:r>
        <w:rPr>
          <w:color w:val="1F3864"/>
        </w:rPr>
        <w:t>FOREX GEOPOLITICAL SIGNAL INTELLIGENCE BRIEFING</w:t>
      </w:r>
    </w:p>
    <w:p w14:paraId="7BC94052" w14:textId="77777777" w:rsidR="00A50E94" w:rsidRDefault="00000000">
      <w:r>
        <w:t>Event / Topic: Iranian War</w:t>
      </w:r>
    </w:p>
    <w:p w14:paraId="72B57C34" w14:textId="77777777" w:rsidR="00A50E94" w:rsidRDefault="00000000">
      <w:r>
        <w:t xml:space="preserve">FX Pairs: USD/GBP · GBP/EUR · USD/EUR </w:t>
      </w:r>
    </w:p>
    <w:p w14:paraId="376ABED1" w14:textId="77777777" w:rsidR="00A50E94" w:rsidRDefault="00000000">
      <w:r>
        <w:t>Lookback: 1 day</w:t>
      </w:r>
    </w:p>
    <w:p w14:paraId="15272F5F" w14:textId="77777777" w:rsidR="00A50E94" w:rsidRDefault="00000000">
      <w:r>
        <w:t>Date: April 14, 2026</w:t>
      </w:r>
    </w:p>
    <w:p w14:paraId="1B510204" w14:textId="77777777" w:rsidR="00A50E94" w:rsidRDefault="00A50E94"/>
    <w:p w14:paraId="0DC71744" w14:textId="77777777" w:rsidR="00A50E94" w:rsidRDefault="00000000">
      <w:r>
        <w:rPr>
          <w:i/>
          <w:color w:val="888888"/>
        </w:rPr>
        <w:t>Disclaimer: This tool and report provides informational and analytical insights only and does not constitute financial advice or investment recommendations.</w:t>
      </w:r>
    </w:p>
    <w:p w14:paraId="29D44DF1" w14:textId="77777777" w:rsidR="00A50E94" w:rsidRDefault="00A50E94"/>
    <w:p w14:paraId="50BEDFE8" w14:textId="77777777" w:rsidR="00A50E94" w:rsidRDefault="00000000">
      <w:r>
        <w:t># Forex Geopolitical Signal Intelligence Briefing</w:t>
      </w:r>
    </w:p>
    <w:p w14:paraId="45A09A74" w14:textId="77777777" w:rsidR="00A50E94" w:rsidRDefault="00000000">
      <w:r>
        <w:rPr>
          <w:b/>
        </w:rPr>
        <w:t>Topic:</w:t>
      </w:r>
      <w:r>
        <w:t xml:space="preserve"> Iranian War | </w:t>
      </w:r>
      <w:r>
        <w:rPr>
          <w:b/>
        </w:rPr>
        <w:t>Date:</w:t>
      </w:r>
      <w:r>
        <w:t xml:space="preserve"> April 14, 2026 | </w:t>
      </w:r>
      <w:r>
        <w:rPr>
          <w:b/>
        </w:rPr>
        <w:t>Pairs:</w:t>
      </w:r>
      <w:r>
        <w:t xml:space="preserve"> USD/GBP · GBP/EUR · USD/EUR</w:t>
      </w:r>
    </w:p>
    <w:p w14:paraId="3D521F72" w14:textId="77777777" w:rsidR="00A50E94" w:rsidRDefault="00A50E94"/>
    <w:p w14:paraId="128D20F3" w14:textId="77777777" w:rsidR="00A50E94" w:rsidRDefault="00A50E94"/>
    <w:p w14:paraId="66C0722A" w14:textId="0CA01DAF" w:rsidR="00A50E94" w:rsidRDefault="006850F5">
      <w:pPr>
        <w:pStyle w:val="Heading1"/>
      </w:pPr>
      <w:r>
        <w:t>E</w:t>
      </w:r>
      <w:r w:rsidR="00000000">
        <w:t>xecutive Summary</w:t>
      </w:r>
    </w:p>
    <w:p w14:paraId="7FE8A007" w14:textId="77777777" w:rsidR="00A50E94" w:rsidRDefault="00A50E94"/>
    <w:p w14:paraId="1A502687" w14:textId="77777777" w:rsidR="00A50E94" w:rsidRDefault="00000000">
      <w:r>
        <w:t>The Iranian War—anchored by the collapse of U.S.-Iran peace talks, a U.S. naval blockade, and the effective closure of the Strait of Hormuz—is the dominant FX driver globally as of April 14, 2026. The USD initially surged on safe-haven demand then partially reversed intraday as diplomatic signals of a second talks round unwound the war premium; net USD positioning remains bid. The energy shock (Brent &gt;$100, Dutch TTF gas ~€60/MWh) hits Europe asymmetrically harder than the U.S., structurally pressuring EUR and, to a lesser extent, GBP. With the IMF cutting 2026 global growth to 3.1% and the ECB now facing a stagflationary dilemma—holding rates at 2.00% while markets price ~70bps of hikes—the EUR faces the most durable downside of the three pairs.</w:t>
      </w:r>
    </w:p>
    <w:p w14:paraId="0FE2D7CC" w14:textId="77777777" w:rsidR="00A50E94" w:rsidRDefault="00A50E94"/>
    <w:p w14:paraId="0C7D5CEB" w14:textId="77777777" w:rsidR="00A50E94" w:rsidRDefault="00A50E94"/>
    <w:p w14:paraId="40625280" w14:textId="77777777" w:rsidR="00A50E94" w:rsidRDefault="00A50E94"/>
    <w:p w14:paraId="1703DC02" w14:textId="77777777" w:rsidR="00A50E94" w:rsidRDefault="00000000">
      <w:pPr>
        <w:pStyle w:val="Heading1"/>
      </w:pPr>
      <w:r>
        <w:lastRenderedPageBreak/>
        <w:t>Geopolitical Signal Findings</w:t>
      </w:r>
    </w:p>
    <w:p w14:paraId="0A1BF499" w14:textId="77777777" w:rsidR="00A50E94" w:rsidRDefault="00A50E94"/>
    <w:p w14:paraId="6D834A13" w14:textId="77777777" w:rsidR="00A50E94" w:rsidRDefault="00000000">
      <w:r>
        <w:rPr>
          <w:b/>
        </w:rPr>
        <w:t>Geopolitical Events</w:t>
      </w:r>
    </w:p>
    <w:p w14:paraId="60BDB974" w14:textId="77777777" w:rsidR="00A50E94" w:rsidRDefault="00000000">
      <w:pPr>
        <w:pStyle w:val="ListBullet"/>
      </w:pPr>
      <w:r>
        <w:t>🔴 U.S.-Iran peace talks collapsed over the weekend; U.S. naval blockade of Iranian ports announced April 13 — the single most significant escalation trigger (per AP News).</w:t>
      </w:r>
    </w:p>
    <w:p w14:paraId="69808F66" w14:textId="77777777" w:rsidR="00A50E94" w:rsidRDefault="00000000">
      <w:pPr>
        <w:pStyle w:val="ListBullet"/>
      </w:pPr>
      <w:r>
        <w:t>🟡 President Trump signalled diplomatic channels remain open; markets briefly priced a second talks round, triggering an intraday USD selloff before partial recovery (per ActionForex).</w:t>
      </w:r>
    </w:p>
    <w:p w14:paraId="040A2A5A" w14:textId="77777777" w:rsidR="00A50E94" w:rsidRDefault="00000000">
      <w:pPr>
        <w:pStyle w:val="ListBullet"/>
      </w:pPr>
      <w:r>
        <w:t>🔴 IMF cut 2026 global growth forecast to 3.1% (from 3.4%), citing the conflict's energy and inflation impact (per Axios, April 14).</w:t>
      </w:r>
    </w:p>
    <w:p w14:paraId="1507808F" w14:textId="77777777" w:rsidR="00A50E94" w:rsidRDefault="00000000">
      <w:pPr>
        <w:pStyle w:val="ListBullet"/>
      </w:pPr>
      <w:r>
        <w:t>🟡 Brent crude surged past $100/bbl post-blockade; earlier reports cited $120/bbl following Strait of Hormuz closure — energy price instability is the key transmission channel into FX.</w:t>
      </w:r>
    </w:p>
    <w:p w14:paraId="5BDBBAD3" w14:textId="77777777" w:rsidR="00A50E94" w:rsidRDefault="00A50E94"/>
    <w:p w14:paraId="179B186E" w14:textId="77777777" w:rsidR="00A50E94" w:rsidRDefault="00000000">
      <w:r>
        <w:rPr>
          <w:b/>
        </w:rPr>
        <w:t>Military / Security</w:t>
      </w:r>
    </w:p>
    <w:p w14:paraId="3404FD64" w14:textId="77777777" w:rsidR="00A50E94" w:rsidRDefault="00000000">
      <w:pPr>
        <w:pStyle w:val="ListBullet"/>
      </w:pPr>
      <w:r>
        <w:t>🔴 GBP/USD reported at ~1.3458, down ~0.47% on the session; EUR/USD at ~1.1710, down ~0.29% (per ExchangeRates.org.uk).</w:t>
      </w:r>
    </w:p>
    <w:p w14:paraId="3E79BF78" w14:textId="77777777" w:rsidR="00A50E94" w:rsidRDefault="00000000">
      <w:pPr>
        <w:pStyle w:val="ListBullet"/>
      </w:pPr>
      <w:r>
        <w:t>🔴 GBP/EUR relatively stable near 0.87, reflecting symmetric pressure on both European currencies from the energy shock.</w:t>
      </w:r>
    </w:p>
    <w:p w14:paraId="5FB325C6" w14:textId="77777777" w:rsidR="00A50E94" w:rsidRDefault="00000000">
      <w:pPr>
        <w:pStyle w:val="ListBullet"/>
      </w:pPr>
      <w:r>
        <w:t>🟡 Diplomats actively arranging second U.S.-Iran talks round — outcome binary: rapid de-escalation or renewed escalation spike (per AP News, April 14).</w:t>
      </w:r>
    </w:p>
    <w:p w14:paraId="76BD0C32" w14:textId="77777777" w:rsidR="00A50E94" w:rsidRDefault="00A50E94"/>
    <w:p w14:paraId="4D89D040" w14:textId="77777777" w:rsidR="00A50E94" w:rsidRDefault="00000000">
      <w:r>
        <w:rPr>
          <w:b/>
        </w:rPr>
        <w:t>Trade &amp; Sanctions</w:t>
      </w:r>
    </w:p>
    <w:p w14:paraId="3B070B48" w14:textId="77777777" w:rsidR="00A50E94" w:rsidRDefault="00000000">
      <w:pPr>
        <w:pStyle w:val="ListBullet"/>
      </w:pPr>
      <w:r>
        <w:t>🔴 Strait of Hormuz closure disrupted global LNG and oil flows; Qatari LNG suspension caused European gas benchmarks (TTF) to nearly double — maximum adverse impact on EUR and GBP.</w:t>
      </w:r>
    </w:p>
    <w:p w14:paraId="18488F71" w14:textId="77777777" w:rsidR="00A50E94" w:rsidRDefault="00000000">
      <w:pPr>
        <w:pStyle w:val="ListBullet"/>
      </w:pPr>
      <w:r>
        <w:t>🔴 UK economic exposure to energy import costs amplifies GBP downside independently of USD safe-haven flows.</w:t>
      </w:r>
    </w:p>
    <w:p w14:paraId="32B3A410" w14:textId="77777777" w:rsidR="00A50E94" w:rsidRDefault="00000000">
      <w:pPr>
        <w:pStyle w:val="ListBullet"/>
      </w:pPr>
      <w:r>
        <w:t>🟡 Broader global trade disruption is dampening risk appetite, reinforcing USD demand across the board.</w:t>
      </w:r>
    </w:p>
    <w:p w14:paraId="30A9D4A0" w14:textId="77777777" w:rsidR="00A50E94" w:rsidRDefault="00A50E94"/>
    <w:p w14:paraId="7E4EDDA8" w14:textId="77777777" w:rsidR="00A50E94" w:rsidRDefault="00000000">
      <w:r>
        <w:rPr>
          <w:b/>
        </w:rPr>
        <w:t>Central Bank / Rates</w:t>
      </w:r>
    </w:p>
    <w:p w14:paraId="329A6693" w14:textId="77777777" w:rsidR="00A50E94" w:rsidRDefault="00000000">
      <w:pPr>
        <w:pStyle w:val="ListBullet"/>
      </w:pPr>
      <w:r>
        <w:t>🔴 ECB holds at 2.00% but faces stagflationary pressure; markets now pricing ~70bps of hikes by year-end — hawkish repricing could provide EUR floor but near-term growth hit dominates (per FNPulse).</w:t>
      </w:r>
    </w:p>
    <w:p w14:paraId="685DE8A5" w14:textId="77777777" w:rsidR="00A50E94" w:rsidRDefault="00000000">
      <w:pPr>
        <w:pStyle w:val="ListBullet"/>
      </w:pPr>
      <w:r>
        <w:lastRenderedPageBreak/>
        <w:t>🟡 Fed holds at 3.64%; elevated U.S. PPI (energy-driven) reduces near-term cut probability, sustaining USD rate advantage.</w:t>
      </w:r>
    </w:p>
    <w:p w14:paraId="75B2FA93" w14:textId="77777777" w:rsidR="00A50E94" w:rsidRDefault="00000000">
      <w:pPr>
        <w:pStyle w:val="ListBullet"/>
      </w:pPr>
      <w:r>
        <w:t>🟡 BoE holds at ~3.73%; UK stagflation risk mirrors ECB dilemma — limited room for GBP-supportive hawkishness without compressing growth.</w:t>
      </w:r>
    </w:p>
    <w:p w14:paraId="6E43C42C" w14:textId="77777777" w:rsidR="00A50E94" w:rsidRDefault="00A50E94"/>
    <w:p w14:paraId="38C9C60B" w14:textId="77777777" w:rsidR="00A50E94" w:rsidRDefault="00000000">
      <w:r>
        <w:rPr>
          <w:b/>
        </w:rPr>
        <w:t>Economic Releases</w:t>
      </w:r>
    </w:p>
    <w:p w14:paraId="2FBF69CA" w14:textId="77777777" w:rsidR="00A50E94" w:rsidRDefault="00000000">
      <w:pPr>
        <w:pStyle w:val="ListBullet"/>
      </w:pPr>
      <w:r>
        <w:t>🔴 U.S. March PPI reported sharply higher, driven by energy costs — reinforces Fed-on-hold narrative and USD support.</w:t>
      </w:r>
    </w:p>
    <w:p w14:paraId="5D4A4365" w14:textId="77777777" w:rsidR="00A50E94" w:rsidRDefault="00000000">
      <w:pPr>
        <w:pStyle w:val="ListBullet"/>
      </w:pPr>
      <w:r>
        <w:t>🟡 April 8 ceasefire (since broken) provided a brief GBP rally of ~0.44% vs USD — confirms significant war-premium is embedded in current rates and de-escalation upside is real.</w:t>
      </w:r>
    </w:p>
    <w:p w14:paraId="050871CE" w14:textId="77777777" w:rsidR="00A50E94" w:rsidRDefault="00A50E94"/>
    <w:p w14:paraId="3002A5D5" w14:textId="77777777" w:rsidR="00A50E94" w:rsidRDefault="00A50E94"/>
    <w:p w14:paraId="70A0A67B" w14:textId="77777777" w:rsidR="00A50E94" w:rsidRDefault="00A50E94"/>
    <w:p w14:paraId="5E1FAF2C" w14:textId="77777777" w:rsidR="00A50E94" w:rsidRDefault="00000000">
      <w:pPr>
        <w:pStyle w:val="Heading1"/>
      </w:pPr>
      <w:r>
        <w:t>Economic Context</w:t>
      </w:r>
    </w:p>
    <w:p w14:paraId="009019CF" w14:textId="77777777" w:rsidR="00A50E94" w:rsidRDefault="00A50E94"/>
    <w:p w14:paraId="333AC01D" w14:textId="77777777" w:rsidR="00A50E94" w:rsidRDefault="00000000">
      <w:r>
        <w:t>| Indicator | US | UK | EU |</w:t>
      </w:r>
    </w:p>
    <w:p w14:paraId="6FE8EEED" w14:textId="77777777" w:rsidR="00A50E94" w:rsidRDefault="00000000">
      <w:r>
        <w:t>|---|---|---|---|</w:t>
      </w:r>
    </w:p>
    <w:p w14:paraId="5622EFFF" w14:textId="77777777" w:rsidR="00A50E94" w:rsidRDefault="00000000">
      <w:r>
        <w:t xml:space="preserve">| </w:t>
      </w:r>
      <w:r>
        <w:rPr>
          <w:b/>
        </w:rPr>
        <w:t>CPI (YoY index)</w:t>
      </w:r>
      <w:r>
        <w:t xml:space="preserve"> | 330.3 (prev 327.5) — rising | N/A | 129.5 (Dec 2025) — dated |</w:t>
      </w:r>
    </w:p>
    <w:p w14:paraId="155DEF78" w14:textId="77777777" w:rsidR="00A50E94" w:rsidRDefault="00000000">
      <w:r>
        <w:t xml:space="preserve">| </w:t>
      </w:r>
      <w:r>
        <w:rPr>
          <w:b/>
        </w:rPr>
        <w:t>GDP (QoQ)</w:t>
      </w:r>
      <w:r>
        <w:t xml:space="preserve"> | +0.5% (Q3 2025) — soft | 769,261 nominal level | N/A |</w:t>
      </w:r>
    </w:p>
    <w:p w14:paraId="4FB87C4D" w14:textId="77777777" w:rsidR="00A50E94" w:rsidRDefault="00000000">
      <w:r>
        <w:t xml:space="preserve">| </w:t>
      </w:r>
      <w:r>
        <w:rPr>
          <w:b/>
        </w:rPr>
        <w:t>Policy Rate</w:t>
      </w:r>
      <w:r>
        <w:t xml:space="preserve"> | 3.64% — stable | 3.73% — stable | 2.00% — stable |</w:t>
      </w:r>
    </w:p>
    <w:p w14:paraId="7385682B" w14:textId="77777777" w:rsidR="00A50E94" w:rsidRDefault="00000000">
      <w:r>
        <w:t xml:space="preserve">| </w:t>
      </w:r>
      <w:r>
        <w:rPr>
          <w:b/>
        </w:rPr>
        <w:t>Employment</w:t>
      </w:r>
      <w:r>
        <w:t xml:space="preserve"> | NFP +178k implied (level 158,637k) — solid | N/A | N/A |</w:t>
      </w:r>
    </w:p>
    <w:p w14:paraId="5FFA1D6D" w14:textId="77777777" w:rsidR="00A50E94" w:rsidRDefault="00A50E94"/>
    <w:p w14:paraId="1947B657" w14:textId="77777777" w:rsidR="00A50E94" w:rsidRDefault="00000000">
      <w:r>
        <w:rPr>
          <w:b/>
        </w:rPr>
        <w:t>Most FX-relevant:</w:t>
      </w:r>
      <w:r>
        <w:t xml:space="preserve"> The Fed/ECB rate differential (164bps) is the structural USD/EUR anchor. The ECB's hawkish repricing (70bps priced) could narrow this differential, but only if hikes materialise — currently a watch signal, not a live driver. U.S. PPI acceleration reduces Fed cut probability and maintains USD carry advantage.</w:t>
      </w:r>
    </w:p>
    <w:p w14:paraId="6F2AF5FA" w14:textId="77777777" w:rsidR="00A50E94" w:rsidRDefault="00A50E94"/>
    <w:p w14:paraId="5E2B77DF" w14:textId="77777777" w:rsidR="00A50E94" w:rsidRDefault="00A50E94"/>
    <w:p w14:paraId="44A2902F" w14:textId="77777777" w:rsidR="00A50E94" w:rsidRDefault="00A50E94"/>
    <w:p w14:paraId="2B8243AD" w14:textId="77777777" w:rsidR="00A50E94" w:rsidRDefault="00000000">
      <w:pPr>
        <w:pStyle w:val="Heading1"/>
      </w:pPr>
      <w:r>
        <w:lastRenderedPageBreak/>
        <w:t>Cross-Reference: Event × Economics</w:t>
      </w:r>
    </w:p>
    <w:p w14:paraId="3F6B0D34" w14:textId="77777777" w:rsidR="00A50E94" w:rsidRDefault="00A50E94"/>
    <w:p w14:paraId="08E65711" w14:textId="77777777" w:rsidR="00A50E94" w:rsidRDefault="00000000">
      <w:pPr>
        <w:pStyle w:val="ListBullet"/>
      </w:pPr>
      <w:r>
        <w:t>The energy shock hits at a moment when ECB rates sit at just 2.00% — well below the Fed's 3.64% — amplifying USD/EUR downside for EUR because the ECB lacks rate-cut capacity to stimulate growth while simultaneously facing imported inflation. This mirrors the 2022 dynamic when EUR/USD fell to parity as the Fed-ECB divergence widened.</w:t>
      </w:r>
    </w:p>
    <w:p w14:paraId="07A6CC1F" w14:textId="77777777" w:rsidR="00A50E94" w:rsidRDefault="00000000">
      <w:pPr>
        <w:pStyle w:val="ListBullet"/>
      </w:pPr>
      <w:r>
        <w:t>The Strait of Hormuz closure replicates an oil supply shock structurally similar to the Russia-Ukraine invasion (Feb 2022), when EUR weakened ~3–5% vs USD in two weeks. Current EUR/USD at ~1.171 is already under pressure; sustained Hormuz closure or Brent above $120 could drive a retest of the 1.10–1.12 range seen during peak 2022 stress.</w:t>
      </w:r>
    </w:p>
    <w:p w14:paraId="24F1636E" w14:textId="77777777" w:rsidR="00A50E94" w:rsidRDefault="00000000">
      <w:pPr>
        <w:pStyle w:val="ListBullet"/>
      </w:pPr>
      <w:r>
        <w:t>GBP/EUR relative stability (~0.87) reflects symmetric energy vulnerability for both economies, but the UK's greater trade flexibility and non-EUR monetary independence provide marginal GBP resilience. This pattern echoes the Eurozone sovereign debt crisis (2010–2012), where GBP/EUR gained as EUR-specific risks mounted — a similar dynamic could emerge if ECB credibility is tested.</w:t>
      </w:r>
    </w:p>
    <w:p w14:paraId="5B804634" w14:textId="77777777" w:rsidR="00A50E94" w:rsidRDefault="00000000">
      <w:pPr>
        <w:pStyle w:val="ListBullet"/>
      </w:pPr>
      <w:r>
        <w:t>U.S. PPI upside shock combined with war-driven energy inflation reduces Fed pivot probability — the same mechanism that drove USD surges in June 2022. Traders expecting Fed cuts are now structurally wrong in this environment, reinforcing USD bid.</w:t>
      </w:r>
    </w:p>
    <w:p w14:paraId="63123186" w14:textId="77777777" w:rsidR="00A50E94" w:rsidRDefault="00A50E94"/>
    <w:p w14:paraId="4C02CC74" w14:textId="77777777" w:rsidR="00A50E94" w:rsidRDefault="00A50E94"/>
    <w:p w14:paraId="226A51C3" w14:textId="77777777" w:rsidR="00A50E94" w:rsidRDefault="00A50E94"/>
    <w:p w14:paraId="63CF7496" w14:textId="77777777" w:rsidR="00A50E94" w:rsidRDefault="00000000">
      <w:pPr>
        <w:pStyle w:val="Heading1"/>
      </w:pPr>
      <w:r>
        <w:t>FX Pair Outlook (Next 30–90 Days)</w:t>
      </w:r>
    </w:p>
    <w:p w14:paraId="28B89B06" w14:textId="77777777" w:rsidR="00A50E94" w:rsidRDefault="00A50E94"/>
    <w:p w14:paraId="4D200AAC" w14:textId="77777777" w:rsidR="00A50E94" w:rsidRDefault="00000000">
      <w:r>
        <w:rPr>
          <w:b/>
        </w:rPr>
        <w:t>USD/GBP (expressed as GBP/USD):</w:t>
      </w:r>
      <w:r>
        <w:t xml:space="preserve"> Bias — GBP bearish/USD bid. Key drivers: U.S. safe-haven demand, Fed-on-hold, UK energy import costs. The April 8 ceasefire briefly lifted GBP/USD to ~1.3462; the resumption of blockade conditions pushes that level as near-term resistance. Watch 1.32 as next support if Hormuz remains closed and diplomatic talks fail.</w:t>
      </w:r>
    </w:p>
    <w:p w14:paraId="61464BFD" w14:textId="77777777" w:rsidR="00A50E94" w:rsidRDefault="00A50E94"/>
    <w:p w14:paraId="60DE0B24" w14:textId="77777777" w:rsidR="00A50E94" w:rsidRDefault="00000000">
      <w:r>
        <w:rPr>
          <w:b/>
        </w:rPr>
        <w:t>GBP/EUR:</w:t>
      </w:r>
      <w:r>
        <w:t xml:space="preserve"> Bias — range-bound with mild GBP upside risk. Both currencies face symmetric energy headwinds, limiting directional conviction. However, if ECB credibility comes under stagflation pressure (hiking into a slowdown), EUR underperforms GBP. Watch 0.8600 support and 0.8800 resistance; a break above 0.88 signals EUR deterioration.</w:t>
      </w:r>
    </w:p>
    <w:p w14:paraId="415E42F0" w14:textId="77777777" w:rsidR="00A50E94" w:rsidRDefault="00A50E94"/>
    <w:p w14:paraId="583AC960" w14:textId="77777777" w:rsidR="00A50E94" w:rsidRDefault="00000000">
      <w:r>
        <w:rPr>
          <w:b/>
        </w:rPr>
        <w:t>USD/EUR:</w:t>
      </w:r>
      <w:r>
        <w:t xml:space="preserve"> Bias — EUR bearish. The Fed-ECB rate gap, European energy exposure, and IMF growth downgrade converge to pressure EUR/USD. Current level ~1.171; near-term target 1.13–1.15 if </w:t>
      </w:r>
      <w:r>
        <w:lastRenderedPageBreak/>
        <w:t>blockade persists. A confirmed second talks round with de-escalation could provide a short-covering bounce toward 1.19–1.20, but this is a tactical, not structural, move.</w:t>
      </w:r>
    </w:p>
    <w:p w14:paraId="624C600F" w14:textId="77777777" w:rsidR="00A50E94" w:rsidRDefault="00A50E94"/>
    <w:p w14:paraId="270E06C7" w14:textId="77777777" w:rsidR="00A50E94" w:rsidRDefault="00A50E94"/>
    <w:p w14:paraId="6026C646" w14:textId="77777777" w:rsidR="00A50E94" w:rsidRDefault="00A50E94"/>
    <w:p w14:paraId="4A915E4B" w14:textId="77777777" w:rsidR="00A50E94" w:rsidRDefault="00000000">
      <w:pPr>
        <w:pStyle w:val="Heading1"/>
      </w:pPr>
      <w:r>
        <w:t>Recommended Actions</w:t>
      </w:r>
    </w:p>
    <w:p w14:paraId="45DB4E8B" w14:textId="77777777" w:rsidR="00A50E94" w:rsidRDefault="00A50E94"/>
    <w:p w14:paraId="09610889" w14:textId="77777777" w:rsidR="00A50E94" w:rsidRDefault="00000000">
      <w:r>
        <w:t xml:space="preserve">1. </w:t>
      </w:r>
      <w:r>
        <w:rPr>
          <w:b/>
        </w:rPr>
        <w:t>Hedge EUR long exposure</w:t>
      </w:r>
      <w:r>
        <w:t xml:space="preserve"> via short EUR/USD or EUR put options for 30–60 day tenors — the stagflation-blockade combination is EUR's worst scenario and is not fully priced at 1.171.</w:t>
      </w:r>
    </w:p>
    <w:p w14:paraId="6A9121AB" w14:textId="77777777" w:rsidR="00A50E94" w:rsidRDefault="00000000">
      <w:r>
        <w:t xml:space="preserve">2. </w:t>
      </w:r>
      <w:r>
        <w:rPr>
          <w:b/>
        </w:rPr>
        <w:t>Monitor GBP/EUR at 0.8800</w:t>
      </w:r>
      <w:r>
        <w:t xml:space="preserve"> as a tactical entry level for GBP longs if ECB repricing accelerates; set a stop below 0.8600 given symmetric energy risk.</w:t>
      </w:r>
    </w:p>
    <w:p w14:paraId="5CC59C46" w14:textId="77777777" w:rsidR="00A50E94" w:rsidRDefault="00000000">
      <w:r>
        <w:t xml:space="preserve">3. </w:t>
      </w:r>
      <w:r>
        <w:rPr>
          <w:b/>
        </w:rPr>
        <w:t>Avoid fading USD strength prematurely</w:t>
      </w:r>
      <w:r>
        <w:t xml:space="preserve"> — Trump's diplomatic signals create headline-driven USD dips, but structural safe-haven demand and Fed-on-hold underpin USD. Use USD dips as buying opportunities rather than USD reversal signals.</w:t>
      </w:r>
    </w:p>
    <w:p w14:paraId="24090CA3" w14:textId="77777777" w:rsidR="00A50E94" w:rsidRDefault="00000000">
      <w:r>
        <w:t xml:space="preserve">4. </w:t>
      </w:r>
      <w:r>
        <w:rPr>
          <w:b/>
        </w:rPr>
        <w:t>Stress-test energy cost assumptions</w:t>
      </w:r>
      <w:r>
        <w:t xml:space="preserve"> for EUR and GBP exposures against a $130 Brent scenario — Dutch TTF near €60/MWh already represents material European margin compression.</w:t>
      </w:r>
    </w:p>
    <w:p w14:paraId="0A368F93" w14:textId="77777777" w:rsidR="00A50E94" w:rsidRDefault="00A50E94"/>
    <w:p w14:paraId="6A2EC361" w14:textId="77777777" w:rsidR="00A50E94" w:rsidRDefault="00A50E94"/>
    <w:p w14:paraId="1F0A5D4C" w14:textId="77777777" w:rsidR="00A50E94" w:rsidRDefault="00A50E94"/>
    <w:p w14:paraId="6BA9E627" w14:textId="77777777" w:rsidR="00A50E94" w:rsidRDefault="00000000">
      <w:pPr>
        <w:pStyle w:val="Heading1"/>
      </w:pPr>
      <w:r>
        <w:t>Signals to Monitor</w:t>
      </w:r>
    </w:p>
    <w:p w14:paraId="6FEF5330" w14:textId="77777777" w:rsidR="00A50E94" w:rsidRDefault="00A50E94"/>
    <w:p w14:paraId="4B573D5E" w14:textId="77777777" w:rsidR="00A50E94" w:rsidRDefault="00000000">
      <w:r>
        <w:t xml:space="preserve">1. </w:t>
      </w:r>
      <w:r>
        <w:rPr>
          <w:b/>
        </w:rPr>
        <w:t>U.S.-Iran Second Round Talks</w:t>
      </w:r>
      <w:r>
        <w:t xml:space="preserve"> — Confirmed date/venue or breakdown will be the highest-impact binary FX trigger in the next 7 days; de-escalation = 1–2% USD reversal.</w:t>
      </w:r>
    </w:p>
    <w:p w14:paraId="6CDA0C66" w14:textId="77777777" w:rsidR="00A50E94" w:rsidRDefault="00000000">
      <w:r>
        <w:t xml:space="preserve">2. </w:t>
      </w:r>
      <w:r>
        <w:rPr>
          <w:b/>
        </w:rPr>
        <w:t>Strait of Hormuz Operational Status</w:t>
      </w:r>
      <w:r>
        <w:t xml:space="preserve"> — Any reopening drives immediate oil price collapse and EUR/GBP recovery; continued closure is the baseline bear case.</w:t>
      </w:r>
    </w:p>
    <w:p w14:paraId="041A8950" w14:textId="77777777" w:rsidR="00A50E94" w:rsidRDefault="00000000">
      <w:r>
        <w:t xml:space="preserve">3. </w:t>
      </w:r>
      <w:r>
        <w:rPr>
          <w:b/>
        </w:rPr>
        <w:t>ECB Emergency Policy Statement or Rate Decision</w:t>
      </w:r>
      <w:r>
        <w:t xml:space="preserve"> — Markets pricing 70bps of hikes; an emergency meeting or hawkish guidance shift would support EUR but signal growth alarm.</w:t>
      </w:r>
    </w:p>
    <w:p w14:paraId="0912770A" w14:textId="77777777" w:rsidR="00A50E94" w:rsidRDefault="00000000">
      <w:r>
        <w:t xml:space="preserve">4. </w:t>
      </w:r>
      <w:r>
        <w:rPr>
          <w:b/>
        </w:rPr>
        <w:t>U.S. CPI (April data, due ~mid-May)</w:t>
      </w:r>
      <w:r>
        <w:t xml:space="preserve"> — Will confirm whether energy-driven PPI is feeding into consumer prices, determining Fed trajectory and USD rate support duration.</w:t>
      </w:r>
    </w:p>
    <w:p w14:paraId="246D7E38" w14:textId="77777777" w:rsidR="00A50E94" w:rsidRDefault="00A50E94"/>
    <w:p w14:paraId="178FFE0B" w14:textId="77777777" w:rsidR="00A50E94" w:rsidRDefault="00A50E94"/>
    <w:p w14:paraId="0A119B5B" w14:textId="77777777" w:rsidR="00A50E94" w:rsidRDefault="00A50E94"/>
    <w:p w14:paraId="60819DBD" w14:textId="77777777" w:rsidR="00A50E94" w:rsidRDefault="00000000">
      <w:pPr>
        <w:pStyle w:val="Heading1"/>
      </w:pPr>
      <w:r>
        <w:t>Sources &amp; Charts</w:t>
      </w:r>
    </w:p>
    <w:p w14:paraId="678D57E4" w14:textId="77777777" w:rsidR="00A50E94" w:rsidRDefault="00A50E94"/>
    <w:p w14:paraId="3471A5D0" w14:textId="77777777" w:rsidR="00A50E94" w:rsidRDefault="00000000">
      <w:r>
        <w:t>| Source | Detail |</w:t>
      </w:r>
    </w:p>
    <w:p w14:paraId="06F2EA31" w14:textId="77777777" w:rsidR="00A50E94" w:rsidRDefault="00000000">
      <w:r>
        <w:t>|---|---|</w:t>
      </w:r>
    </w:p>
    <w:p w14:paraId="300F142C" w14:textId="77777777" w:rsidR="00A50E94" w:rsidRDefault="00000000">
      <w:r>
        <w:t>| AP News (April 13–14, 2026) | U.S.-Iran talks collapse, blockade, IMF growth cut |</w:t>
      </w:r>
    </w:p>
    <w:p w14:paraId="4D85A291" w14:textId="77777777" w:rsidR="00A50E94" w:rsidRDefault="00000000">
      <w:r>
        <w:t>| ActionForex (April 14, 2026) | Dollar selloff/reversal dynamics |</w:t>
      </w:r>
    </w:p>
    <w:p w14:paraId="1ABA7290" w14:textId="77777777" w:rsidR="00A50E94" w:rsidRDefault="00000000">
      <w:r>
        <w:t>| ExchangeRates.org.uk (April 14, 2026) | GBP/USD ~1.3458; EUR/USD ~1.1710 spot levels |</w:t>
      </w:r>
    </w:p>
    <w:p w14:paraId="7DC9C8A3" w14:textId="77777777" w:rsidR="00A50E94" w:rsidRDefault="00000000">
      <w:r>
        <w:t>| FNPulse (April 2026) | ECB holds 2.00%; 70bps hikes priced |</w:t>
      </w:r>
    </w:p>
    <w:p w14:paraId="41231C9C" w14:textId="77777777" w:rsidR="00A50E94" w:rsidRDefault="00000000">
      <w:r>
        <w:t>| Axios (April 14, 2026) | IMF global growth cut to 3.1% |</w:t>
      </w:r>
    </w:p>
    <w:p w14:paraId="7B0D6F33" w14:textId="77777777" w:rsidR="00A50E94" w:rsidRDefault="00000000">
      <w:r>
        <w:t>| Wikipedia – Economic impact of the 2026 Iran war | TTF gas, Brent, LNG disruption data |</w:t>
      </w:r>
    </w:p>
    <w:p w14:paraId="4D6FF242" w14:textId="77777777" w:rsidR="00A50E94" w:rsidRDefault="00000000">
      <w:r>
        <w:t>| Economies.com (April 14, 2026) | EUR/USD decline to ~1.1576 intraday |</w:t>
      </w:r>
    </w:p>
    <w:p w14:paraId="5AADBC32" w14:textId="77777777" w:rsidR="00A50E94" w:rsidRDefault="00000000">
      <w:r>
        <w:t>| The Guardian live blog (April 14, 2026) | GBP weakness, IMF Spring Meetings context |</w:t>
      </w:r>
    </w:p>
    <w:p w14:paraId="5619AB6C" w14:textId="77777777" w:rsidR="00A50E94" w:rsidRDefault="00A50E94"/>
    <w:p w14:paraId="31D21F3C" w14:textId="77777777" w:rsidR="00A50E94" w:rsidRDefault="00000000">
      <w:r>
        <w:rPr>
          <w:b/>
        </w:rPr>
        <w:t>TradingView Charts (Daily interval):</w:t>
      </w:r>
    </w:p>
    <w:p w14:paraId="650501D5" w14:textId="77777777" w:rsidR="00A50E94" w:rsidRDefault="00000000">
      <w:pPr>
        <w:pStyle w:val="ListBullet"/>
      </w:pPr>
      <w:r>
        <w:t>[GBP/USD Daily Chart](https://www.tradingview.com/chart/?symbol=FX:GBPUSD&amp;interval=D)</w:t>
      </w:r>
    </w:p>
    <w:p w14:paraId="0C243BB2" w14:textId="77777777" w:rsidR="00A50E94" w:rsidRDefault="00000000">
      <w:pPr>
        <w:pStyle w:val="ListBullet"/>
      </w:pPr>
      <w:r>
        <w:t>[EUR/USD Daily Chart](https://www.tradingview.com/chart/?symbol=FX:EURUSD&amp;interval=D)</w:t>
      </w:r>
    </w:p>
    <w:p w14:paraId="6512E40B" w14:textId="77777777" w:rsidR="00A50E94" w:rsidRDefault="00000000">
      <w:pPr>
        <w:pStyle w:val="ListBullet"/>
      </w:pPr>
      <w:r>
        <w:t>[EUR/GBP Daily Chart](https://www.tradingview.com/chart/?symbol=FX:EURGBP&amp;interval=D)</w:t>
      </w:r>
    </w:p>
    <w:p w14:paraId="20C365AC" w14:textId="77777777" w:rsidR="00A50E94" w:rsidRDefault="00A50E94"/>
    <w:p w14:paraId="03202BA3" w14:textId="77777777" w:rsidR="00A50E94" w:rsidRDefault="00000000">
      <w:r>
        <w:t>*All charts set to Daily (D) interval for trend context; recommend overlaying Brent crude (UKOIL) for correlation monitoring.*</w:t>
      </w:r>
    </w:p>
    <w:sectPr w:rsidR="00A50E9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477376">
    <w:abstractNumId w:val="8"/>
  </w:num>
  <w:num w:numId="2" w16cid:durableId="1923562434">
    <w:abstractNumId w:val="6"/>
  </w:num>
  <w:num w:numId="3" w16cid:durableId="281962497">
    <w:abstractNumId w:val="5"/>
  </w:num>
  <w:num w:numId="4" w16cid:durableId="1477991329">
    <w:abstractNumId w:val="4"/>
  </w:num>
  <w:num w:numId="5" w16cid:durableId="2704952">
    <w:abstractNumId w:val="7"/>
  </w:num>
  <w:num w:numId="6" w16cid:durableId="1443920481">
    <w:abstractNumId w:val="3"/>
  </w:num>
  <w:num w:numId="7" w16cid:durableId="542639071">
    <w:abstractNumId w:val="2"/>
  </w:num>
  <w:num w:numId="8" w16cid:durableId="1893619478">
    <w:abstractNumId w:val="1"/>
  </w:num>
  <w:num w:numId="9" w16cid:durableId="179510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50F5"/>
    <w:rsid w:val="00A50E94"/>
    <w:rsid w:val="00AA1D8D"/>
    <w:rsid w:val="00B47730"/>
    <w:rsid w:val="00CB0664"/>
    <w:rsid w:val="00E06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A0A24"/>
  <w14:defaultImageDpi w14:val="300"/>
  <w15:docId w15:val="{19467E0E-EC71-48E5-A955-3BAE5035A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1394</Words>
  <Characters>7850</Characters>
  <Application>Microsoft Office Word</Application>
  <DocSecurity>0</DocSecurity>
  <Lines>182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 CAMP</cp:lastModifiedBy>
  <cp:revision>2</cp:revision>
  <dcterms:created xsi:type="dcterms:W3CDTF">2026-04-14T22:03:00Z</dcterms:created>
  <dcterms:modified xsi:type="dcterms:W3CDTF">2026-04-14T22:03:00Z</dcterms:modified>
  <cp:category/>
</cp:coreProperties>
</file>