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CivicPulse — Session Context</w:t>
      </w:r>
    </w:p>
    <w:p>
      <w:pPr>
        <w:spacing w:after="100"/>
      </w:pPr>
      <w:r>
        <w:rPr>
          <w:i/>
          <w:iCs/>
          <w:color w:val="666666"/>
        </w:rPr>
        <w:t xml:space="preserve">Joe Fuentes  |  July 3, 2026  |  Continuation doc — pair with CivicPulse_AIAgents_Bootcamp_Context.docx</w:t>
      </w:r>
    </w:p>
    <w:p>
      <w:pPr>
        <w:pStyle w:val="Heading1"/>
        <w:spacing w:after="150" w:before="300"/>
      </w:pPr>
      <w:r>
        <w:t xml:space="preserve">Decisions Made</w:t>
      </w:r>
    </w:p>
    <w:p>
      <w:pPr>
        <w:pStyle w:val="Heading2"/>
        <w:spacing w:after="100" w:before="200"/>
      </w:pPr>
      <w:r>
        <w:t xml:space="preserve">Go-to-market / pricing</w:t>
      </w:r>
    </w:p>
    <w:p>
      <w:pPr>
        <w:pStyle w:val="ListParagraph"/>
        <w:numPr>
          <w:ilvl w:val="0"/>
          <w:numId w:val="1"/>
        </w:numPr>
        <w:spacing w:after="60"/>
      </w:pPr>
      <w:r>
        <w:t xml:space="preserve">Do not pitch Mayor Lurie directly. Mayor's Office of Innovation just lost its director (Florence Simon, fired March 2026) amid a procurement controversy over the OpenGov contract — bad timing for an unsolicited vendor pitch to City Hall.</w:t>
      </w:r>
    </w:p>
    <w:p>
      <w:pPr>
        <w:pStyle w:val="ListParagraph"/>
        <w:numPr>
          <w:ilvl w:val="0"/>
          <w:numId w:val="1"/>
        </w:numPr>
        <w:spacing w:after="60"/>
      </w:pPr>
      <w:r>
        <w:t xml:space="preserve">Better path: SF Mayor's Office of Civic Innovation startup program (structured intake, not a cold pitch), or a district supervisor's office (constituent 311 complaints are their daily bread, more bandwidth than the Mayor's office right now).</w:t>
      </w:r>
    </w:p>
    <w:p>
      <w:pPr>
        <w:pStyle w:val="ListParagraph"/>
        <w:numPr>
          <w:ilvl w:val="0"/>
          <w:numId w:val="1"/>
        </w:numPr>
        <w:spacing w:after="60"/>
      </w:pPr>
      <w:r>
        <w:t xml:space="preserve">Don't pitch anyone until real 311 submission works. A working demo beats a good story.</w:t>
      </w:r>
    </w:p>
    <w:p>
      <w:pPr>
        <w:pStyle w:val="ListParagraph"/>
        <w:numPr>
          <w:ilvl w:val="0"/>
          <w:numId w:val="1"/>
        </w:numPr>
        <w:spacing w:after="60"/>
      </w:pPr>
      <w:r>
        <w:t xml:space="preserve">Pricing tiers were underpriced. Revised: Small/pilot $299-499/mo (was $99-199), Mid-size city $1,500-2,500/mo (was $299), Large city (SF) $3,000-8,000/mo or a proper annual contract (was $500-2,000/mo). Gov RFP pricing data shows real contracts range $5,600-$759K; 82% of agencies prefer fixed multi-year pricing over monthly SaaS-style billing.</w:t>
      </w:r>
    </w:p>
    <w:p>
      <w:pPr>
        <w:pStyle w:val="ListParagraph"/>
        <w:numPr>
          <w:ilvl w:val="0"/>
          <w:numId w:val="1"/>
        </w:numPr>
        <w:spacing w:after="60"/>
      </w:pPr>
      <w:r>
        <w:t xml:space="preserve">Pricing decision deferred until the app actually works — this was for market-rate reference only, not a live rate change.</w:t>
      </w:r>
    </w:p>
    <w:p>
      <w:pPr>
        <w:pStyle w:val="Heading2"/>
        <w:spacing w:after="100" w:before="200"/>
      </w:pPr>
      <w:r>
        <w:t xml:space="preserve">311 API access</w:t>
      </w:r>
    </w:p>
    <w:p>
      <w:pPr>
        <w:pStyle w:val="ListParagraph"/>
        <w:numPr>
          <w:ilvl w:val="0"/>
          <w:numId w:val="1"/>
        </w:numPr>
        <w:spacing w:after="60"/>
      </w:pPr>
      <w:r>
        <w:t xml:space="preserve">mobile311-dev.sfgov.org/open311/v2/apps/new (the documented dev key request URL) is a dead end in practice.</w:t>
      </w:r>
    </w:p>
    <w:p>
      <w:pPr>
        <w:pStyle w:val="ListParagraph"/>
        <w:numPr>
          <w:ilvl w:val="0"/>
          <w:numId w:val="1"/>
        </w:numPr>
        <w:spacing w:after="60"/>
      </w:pPr>
      <w:r>
        <w:t xml:space="preserve">A claimed "DataSF / SF Digital Services" migration with a no-reply@data.sfgov.org contact could not be verified anywhere and was treated as unreliable / likely hallucinated. Did not act on it.</w:t>
      </w:r>
    </w:p>
    <w:p>
      <w:pPr>
        <w:pStyle w:val="ListParagraph"/>
        <w:numPr>
          <w:ilvl w:val="0"/>
          <w:numId w:val="1"/>
        </w:numPr>
        <w:spacing w:after="60"/>
      </w:pPr>
      <w:r>
        <w:t xml:space="preserve">GeoReport v2 wiki page confirmed: no SF-specific update, same legacy process. One useful detail — SF issues a dev key first, production key only after demonstrated dev-environment success.</w:t>
      </w:r>
    </w:p>
    <w:p>
      <w:pPr>
        <w:pStyle w:val="ListParagraph"/>
        <w:numPr>
          <w:ilvl w:val="0"/>
          <w:numId w:val="1"/>
        </w:numPr>
        <w:spacing w:after="60"/>
      </w:pPr>
      <w:r>
        <w:t xml:space="preserve">Sent an email to 311@sfgov.org requesting current Open311 API key provisioning contact, since the self-service portal is non-functional.</w:t>
      </w:r>
    </w:p>
    <w:p>
      <w:pPr>
        <w:pStyle w:val="Heading2"/>
        <w:spacing w:after="100" w:before="200"/>
      </w:pPr>
      <w:r>
        <w:t xml:space="preserve">Mock submission strategy (while key is pending)</w:t>
      </w:r>
    </w:p>
    <w:p>
      <w:pPr>
        <w:pStyle w:val="ListParagraph"/>
        <w:numPr>
          <w:ilvl w:val="0"/>
          <w:numId w:val="1"/>
        </w:numPr>
        <w:spacing w:after="60"/>
      </w:pPr>
      <w:r>
        <w:t xml:space="preserve">Env var toggle: SF311_API_KEY present → real submission path; absent → mock path. Same function signature and return shape either way, so flipping to real later is a one-line change, not a refactor.</w:t>
      </w:r>
    </w:p>
    <w:p>
      <w:pPr>
        <w:pStyle w:val="ListParagraph"/>
        <w:numPr>
          <w:ilvl w:val="0"/>
          <w:numId w:val="1"/>
        </w:numPr>
        <w:spacing w:after="60"/>
      </w:pPr>
      <w:r>
        <w:t xml:space="preserve">Mock response mirrors real SF311 shape: service_request_id, status, status_notes.</w:t>
      </w:r>
    </w:p>
    <w:p>
      <w:pPr>
        <w:pStyle w:val="ListParagraph"/>
        <w:numPr>
          <w:ilvl w:val="0"/>
          <w:numId w:val="1"/>
        </w:numPr>
        <w:spacing w:after="60"/>
      </w:pPr>
      <w:r>
        <w:t xml:space="preserve">Mock ID gets a visible DEMO/MOCK prefix so a fake ticket can never be mistaken for a real one, especially if demoing to a city contact.</w:t>
      </w:r>
    </w:p>
    <w:p>
      <w:pPr>
        <w:pStyle w:val="ListParagraph"/>
        <w:numPr>
          <w:ilvl w:val="0"/>
          <w:numId w:val="1"/>
        </w:numPr>
        <w:spacing w:after="60"/>
      </w:pPr>
      <w:r>
        <w:t xml:space="preserve">Rejected additions (Joe's call, correctly): artificial latency (speculative complexity, remove-later risk), simulated random failures (a testing concern, not a demo concern — keep out of the mock's normal behavior), and persisting mock submissions separately (solves a "view submission history" problem that doesn't exist on the roadmap yet — the run already flows through the existing Redis store).</w:t>
      </w:r>
    </w:p>
    <w:p>
      <w:pPr>
        <w:pStyle w:val="Heading2"/>
        <w:spacing w:after="100" w:before="200"/>
      </w:pPr>
      <w:r>
        <w:t xml:space="preserve">Model management</w:t>
      </w:r>
    </w:p>
    <w:p>
      <w:pPr>
        <w:pStyle w:val="ListParagraph"/>
        <w:numPr>
          <w:ilvl w:val="0"/>
          <w:numId w:val="1"/>
        </w:numPr>
        <w:spacing w:after="60"/>
      </w:pPr>
      <w:r>
        <w:t xml:space="preserve">Root cause of the agent error: model string was pinned to claude-sonnet-4-20250514, a retired Sonnet 4 snapshot.</w:t>
      </w:r>
    </w:p>
    <w:p>
      <w:pPr>
        <w:pStyle w:val="ListParagraph"/>
        <w:numPr>
          <w:ilvl w:val="0"/>
          <w:numId w:val="1"/>
        </w:numPr>
        <w:spacing w:after="60"/>
      </w:pPr>
      <w:r>
        <w:t xml:space="preserve">Updated to claude-sonnet-5, read from an ANTHROPIC_MODEL env var with a hardcoded fallback — one-line change on future deprecation instead of a code edit.</w:t>
      </w:r>
    </w:p>
    <w:p>
      <w:pPr>
        <w:pStyle w:val="ListParagraph"/>
        <w:numPr>
          <w:ilvl w:val="0"/>
          <w:numId w:val="1"/>
        </w:numPr>
        <w:spacing w:after="60"/>
      </w:pPr>
      <w:r>
        <w:t xml:space="preserve">Confirmed: bare "sonnet" / "opus" strings are a Claude Code convenience alias only. The raw Messages API (what agent.ts calls directly) requires a real model ID or dated snapshot — a bare alias would 400.</w:t>
      </w:r>
    </w:p>
    <w:p>
      <w:pPr>
        <w:pStyle w:val="ListParagraph"/>
        <w:numPr>
          <w:ilvl w:val="0"/>
          <w:numId w:val="1"/>
        </w:numPr>
        <w:spacing w:after="60"/>
      </w:pPr>
      <w:r>
        <w:t xml:space="preserve">Confirmed Anthropic's own deprecation policy: customers with active deployments get direct email notice plus documentation updates, with at least 60 days' notice before retirement. Deprecation and retirement are separate events with runway between them (recent example: Opus 4.1 deprecated June 5, retirement not until August 5).</w:t>
      </w:r>
    </w:p>
    <w:p>
      <w:pPr>
        <w:pStyle w:val="ListParagraph"/>
        <w:numPr>
          <w:ilvl w:val="0"/>
          <w:numId w:val="1"/>
        </w:numPr>
        <w:spacing w:after="60"/>
      </w:pPr>
      <w:r>
        <w:t xml:space="preserve">Decided against building a Models-API polling cron for now — proportionate to current usage (low volume, single call site, not yet serving a paying city). Revisit if/when a real city contract is live.</w:t>
      </w:r>
    </w:p>
    <w:p>
      <w:pPr>
        <w:pStyle w:val="ListParagraph"/>
        <w:numPr>
          <w:ilvl w:val="0"/>
          <w:numId w:val="1"/>
        </w:numPr>
        <w:spacing w:after="60"/>
      </w:pPr>
      <w:r>
        <w:t xml:space="preserve">Optional fallback chain pattern discussed (retry a second pinned model on 404/not_found before hard failing) and a Resend-based email alert on agent failure, using the existing Resend integration — not yet implemented, available if wanted.</w:t>
      </w:r>
    </w:p>
    <w:p>
      <w:pPr>
        <w:pStyle w:val="Heading1"/>
        <w:spacing w:after="150" w:before="300"/>
      </w:pPr>
      <w:r>
        <w:t xml:space="preserve">Concepts Covered</w:t>
      </w:r>
    </w:p>
    <w:p>
      <w:pPr>
        <w:pStyle w:val="ListParagraph"/>
        <w:numPr>
          <w:ilvl w:val="0"/>
          <w:numId w:val="1"/>
        </w:numPr>
        <w:spacing w:after="60"/>
      </w:pPr>
      <w:r>
        <w:t xml:space="preserve">Open311 / GeoReport v2 API structure and SF's specific key-provisioning process (dev key → production key gate).</w:t>
      </w:r>
    </w:p>
    <w:p>
      <w:pPr>
        <w:pStyle w:val="ListParagraph"/>
        <w:numPr>
          <w:ilvl w:val="0"/>
          <w:numId w:val="1"/>
        </w:numPr>
        <w:spacing w:after="60"/>
      </w:pPr>
      <w:r>
        <w:t xml:space="preserve">Claude API model ID versioning: pre-4.6-generation dateless aliases (e.g. claude-sonnet-4-5) auto-update to the latest snapshot within that minor version; 4.6-generation-and-later dateless IDs (claude-sonnet-4-6, claude-sonnet-5) are pinned, not evergreen.</w:t>
      </w:r>
    </w:p>
    <w:p>
      <w:pPr>
        <w:pStyle w:val="ListParagraph"/>
        <w:numPr>
          <w:ilvl w:val="0"/>
          <w:numId w:val="1"/>
        </w:numPr>
        <w:spacing w:after="60"/>
      </w:pPr>
      <w:r>
        <w:t xml:space="preserve">Gov-tech / B2G SaaS pricing norms: agencies prefer fixed multi-year contracts over monthly billing; usage-based and outcome-based pricing are growing but still a minority pattern.</w:t>
      </w:r>
    </w:p>
    <w:p>
      <w:pPr>
        <w:pStyle w:val="Heading1"/>
        <w:spacing w:after="150" w:before="300"/>
      </w:pPr>
      <w:r>
        <w:t xml:space="preserve">Items Reviewed From the "Not Blocked"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300"/>
      </w:tblGrid>
      <w:tr>
        <w:tc>
          <w:tcPr>
            <w:tcW w:type="dxa" w:w="500"/>
            <w:shd w:fill="EEEEEE" w:val="clear"/>
          </w:tcPr>
          <w:p>
            <w:pPr>
              <w:spacing w:after="100"/>
            </w:pPr>
            <w:r>
              <w:rPr>
                <w:b/>
                <w:bCs/>
              </w:rPr>
              <w:t xml:space="preserve">#</w:t>
            </w:r>
          </w:p>
        </w:tc>
        <w:tc>
          <w:tcPr>
            <w:tcW w:type="dxa" w:w="3200"/>
            <w:shd w:fill="EEEEEE" w:val="clear"/>
          </w:tcPr>
          <w:p>
            <w:pPr>
              <w:spacing w:after="100"/>
            </w:pPr>
            <w:r>
              <w:rPr>
                <w:b/>
                <w:bCs/>
              </w:rPr>
              <w:t xml:space="preserve">Item</w:t>
            </w:r>
          </w:p>
        </w:tc>
        <w:tc>
          <w:tcPr>
            <w:tcW w:type="dxa" w:w="5300"/>
            <w:shd w:fill="EEEEEE" w:val="clear"/>
          </w:tcPr>
          <w:p>
            <w:pPr>
              <w:spacing w:after="100"/>
            </w:pPr>
            <w:r>
              <w:rPr>
                <w:b/>
                <w:bCs/>
              </w:rPr>
              <w:t xml:space="preserve">Outcome</w:t>
            </w:r>
          </w:p>
        </w:tc>
      </w:tr>
      <w:tr>
        <w:tc>
          <w:tcPr>
            <w:tcW w:type="dxa" w:w="500"/>
          </w:tcPr>
          <w:p>
            <w:pPr>
              <w:spacing w:after="100"/>
            </w:pPr>
            <w:r>
              <w:t xml:space="preserve">1</w:t>
            </w:r>
          </w:p>
        </w:tc>
        <w:tc>
          <w:tcPr>
            <w:tcW w:type="dxa" w:w="3200"/>
          </w:tcPr>
          <w:p>
            <w:pPr>
              <w:spacing w:after="100"/>
            </w:pPr>
            <w:r>
              <w:t xml:space="preserve">Draft text verbosity</w:t>
            </w:r>
          </w:p>
        </w:tc>
        <w:tc>
          <w:tcPr>
            <w:tcW w:type="dxa" w:w="5300"/>
          </w:tcPr>
          <w:p>
            <w:pPr>
              <w:spacing w:after="100"/>
            </w:pPr>
            <w:r>
              <w:t xml:space="preserve">Agreed fix: isolated system prompt line instructing clean, final-summary-only output. Ready to implement.</w:t>
            </w:r>
          </w:p>
        </w:tc>
      </w:tr>
      <w:tr>
        <w:tc>
          <w:tcPr>
            <w:tcW w:type="dxa" w:w="500"/>
          </w:tcPr>
          <w:p>
            <w:pPr>
              <w:spacing w:after="100"/>
            </w:pPr>
            <w:r>
              <w:t xml:space="preserve">2</w:t>
            </w:r>
          </w:p>
        </w:tc>
        <w:tc>
          <w:tcPr>
            <w:tcW w:type="dxa" w:w="3200"/>
          </w:tcPr>
          <w:p>
            <w:pPr>
              <w:spacing w:after="100"/>
            </w:pPr>
            <w:r>
              <w:t xml:space="preserve">Address truncation</w:t>
            </w:r>
          </w:p>
        </w:tc>
        <w:tc>
          <w:tcPr>
            <w:tcW w:type="dxa" w:w="5300"/>
          </w:tcPr>
          <w:p>
            <w:pPr>
              <w:spacing w:after="100"/>
            </w:pPr>
            <w:r>
              <w:t xml:space="preserve">Reclassified as cosmetic/demo-polish, not functional. Deprioritized below the 311 key and model safety net. Not started.</w:t>
            </w:r>
          </w:p>
        </w:tc>
      </w:tr>
      <w:tr>
        <w:tc>
          <w:tcPr>
            <w:tcW w:type="dxa" w:w="500"/>
          </w:tcPr>
          <w:p>
            <w:pPr>
              <w:spacing w:after="100"/>
            </w:pPr>
            <w:r>
              <w:t xml:space="preserve">3</w:t>
            </w:r>
          </w:p>
        </w:tc>
        <w:tc>
          <w:tcPr>
            <w:tcW w:type="dxa" w:w="3200"/>
          </w:tcPr>
          <w:p>
            <w:pPr>
              <w:spacing w:after="100"/>
            </w:pPr>
            <w:r>
              <w:t xml:space="preserve">Stray console.log in ReviewScreen</w:t>
            </w:r>
          </w:p>
        </w:tc>
        <w:tc>
          <w:tcPr>
            <w:tcW w:type="dxa" w:w="5300"/>
          </w:tcPr>
          <w:p>
            <w:pPr>
              <w:spacing w:after="100"/>
            </w:pPr>
            <w:r>
              <w:t xml:space="preserve">Listed but not discussed this session. Still open.</w:t>
            </w:r>
          </w:p>
        </w:tc>
      </w:tr>
      <w:tr>
        <w:tc>
          <w:tcPr>
            <w:tcW w:type="dxa" w:w="500"/>
          </w:tcPr>
          <w:p>
            <w:pPr>
              <w:spacing w:after="100"/>
            </w:pPr>
            <w:r>
              <w:t xml:space="preserve">4</w:t>
            </w:r>
          </w:p>
        </w:tc>
        <w:tc>
          <w:tcPr>
            <w:tcW w:type="dxa" w:w="3200"/>
          </w:tcPr>
          <w:p>
            <w:pPr>
              <w:spacing w:after="100"/>
            </w:pPr>
            <w:r>
              <w:t xml:space="preserve">Voice input (Web Speech API)</w:t>
            </w:r>
          </w:p>
        </w:tc>
        <w:tc>
          <w:tcPr>
            <w:tcW w:type="dxa" w:w="5300"/>
          </w:tcPr>
          <w:p>
            <w:pPr>
              <w:spacing w:after="100"/>
            </w:pPr>
            <w:r>
              <w:t xml:space="preserve">Design given: useSpeechToText hook, feeds existing text state, no backend change. Must feature-detect (Firefox unsupported) and hide the mic button rather than show a dead one.</w:t>
            </w:r>
          </w:p>
        </w:tc>
      </w:tr>
      <w:tr>
        <w:tc>
          <w:tcPr>
            <w:tcW w:type="dxa" w:w="500"/>
          </w:tcPr>
          <w:p>
            <w:pPr>
              <w:spacing w:after="100"/>
            </w:pPr>
            <w:r>
              <w:t xml:space="preserve">5</w:t>
            </w:r>
          </w:p>
        </w:tc>
        <w:tc>
          <w:tcPr>
            <w:tcW w:type="dxa" w:w="3200"/>
          </w:tcPr>
          <w:p>
            <w:pPr>
              <w:spacing w:after="100"/>
            </w:pPr>
            <w:r>
              <w:t xml:space="preserve">Photo + vision analysis</w:t>
            </w:r>
          </w:p>
        </w:tc>
        <w:tc>
          <w:tcPr>
            <w:tcW w:type="dxa" w:w="5300"/>
          </w:tcPr>
          <w:p>
            <w:pPr>
              <w:spacing w:after="100"/>
            </w:pPr>
            <w:r>
              <w:t xml:space="preserve">Design given: Cloudinary upload (already in stack) for media_url, new analyze_photo() tool added to the agent pipeline feeding classify_report(). Photo stays optional; failed upload should not block submission. Roughly doubles per-report LLM cost — track once billing a real city.</w:t>
            </w:r>
          </w:p>
        </w:tc>
      </w:tr>
      <w:tr>
        <w:tc>
          <w:tcPr>
            <w:tcW w:type="dxa" w:w="500"/>
          </w:tcPr>
          <w:p>
            <w:pPr>
              <w:spacing w:after="100"/>
            </w:pPr>
            <w:r>
              <w:t xml:space="preserve">6</w:t>
            </w:r>
          </w:p>
        </w:tc>
        <w:tc>
          <w:tcPr>
            <w:tcW w:type="dxa" w:w="3200"/>
          </w:tcPr>
          <w:p>
            <w:pPr>
              <w:spacing w:after="100"/>
            </w:pPr>
            <w:r>
              <w:t xml:space="preserve">PWA manifest + Add to Home Screen</w:t>
            </w:r>
          </w:p>
        </w:tc>
        <w:tc>
          <w:tcPr>
            <w:tcW w:type="dxa" w:w="5300"/>
          </w:tcPr>
          <w:p>
            <w:pPr>
              <w:spacing w:after="100"/>
            </w:pPr>
            <w:r>
              <w:t xml:space="preserve">Design given: manifest.json + layout metadata, colors matched to existing design system. Service worker / offline caching explicitly not needed for this. Needs actual 192x192 and 512x512 icon assets — the one non-code piece.</w:t>
            </w:r>
          </w:p>
        </w:tc>
      </w:tr>
    </w:tbl>
    <w:p>
      <w:pPr>
        <w:pStyle w:val="Heading1"/>
        <w:spacing w:after="150" w:before="300"/>
      </w:pPr>
      <w:r>
        <w:t xml:space="preserve">Open Questions</w:t>
      </w:r>
    </w:p>
    <w:p>
      <w:pPr>
        <w:pStyle w:val="ListParagraph"/>
        <w:numPr>
          <w:ilvl w:val="0"/>
          <w:numId w:val="1"/>
        </w:numPr>
        <w:spacing w:after="60"/>
      </w:pPr>
      <w:r>
        <w:t xml:space="preserve">Icon assets for the PWA manifest — need a simple logo mark (orange circle + pin, matching #FF4500 accent) if no finalized logo exists yet.</w:t>
      </w:r>
    </w:p>
    <w:p>
      <w:pPr>
        <w:pStyle w:val="ListParagraph"/>
        <w:numPr>
          <w:ilvl w:val="0"/>
          <w:numId w:val="1"/>
        </w:numPr>
        <w:spacing w:after="60"/>
      </w:pPr>
      <w:r>
        <w:t xml:space="preserve">Whether to implement the model fallback chain + Resend failure alert now, or wait until CivicPulse has a real paying city depending on uptime.</w:t>
      </w:r>
    </w:p>
    <w:p>
      <w:pPr>
        <w:pStyle w:val="ListParagraph"/>
        <w:numPr>
          <w:ilvl w:val="0"/>
          <w:numId w:val="1"/>
        </w:numPr>
        <w:spacing w:after="60"/>
      </w:pPr>
      <w:r>
        <w:t xml:space="preserve">311@sfgov.org email sent — awaiting reply on Open311 API key provisioning.</w:t>
      </w:r>
    </w:p>
    <w:p>
      <w:pPr>
        <w:pStyle w:val="ListParagraph"/>
        <w:numPr>
          <w:ilvl w:val="0"/>
          <w:numId w:val="1"/>
        </w:numPr>
        <w:spacing w:after="60"/>
      </w:pPr>
      <w:r>
        <w:t xml:space="preserve">Items 2 and 3 from the "not blocked" list remain unstarted (address truncation deprioritized; console.log removal not yet addressed).</w:t>
      </w:r>
    </w:p>
    <w:p>
      <w:pPr>
        <w:pStyle w:val="Heading1"/>
        <w:spacing w:after="150" w:before="300"/>
      </w:pPr>
      <w:r>
        <w:t xml:space="preserve">Next Steps</w:t>
      </w:r>
    </w:p>
    <w:p>
      <w:pPr>
        <w:pStyle w:val="ListParagraph"/>
        <w:numPr>
          <w:ilvl w:val="0"/>
          <w:numId w:val="1"/>
        </w:numPr>
        <w:spacing w:after="60"/>
      </w:pPr>
      <w:r>
        <w:t xml:space="preserve">Wait on 311@sfgov.org reply; once a key arrives, set SF311_API_KEY and test the real submission path against the existing mock response shape.</w:t>
      </w:r>
    </w:p>
    <w:p>
      <w:pPr>
        <w:pStyle w:val="ListParagraph"/>
        <w:numPr>
          <w:ilvl w:val="0"/>
          <w:numId w:val="1"/>
        </w:numPr>
        <w:spacing w:after="60"/>
      </w:pPr>
      <w:r>
        <w:t xml:space="preserve">Implement item 1 (system prompt fix for draft verbosity) — lowest effort, ready to ship.</w:t>
      </w:r>
    </w:p>
    <w:p>
      <w:pPr>
        <w:pStyle w:val="ListParagraph"/>
        <w:numPr>
          <w:ilvl w:val="0"/>
          <w:numId w:val="1"/>
        </w:numPr>
        <w:spacing w:after="60"/>
      </w:pPr>
      <w:r>
        <w:t xml:space="preserve">Remove the stray console.log in ReviewScreen (item 3) before next deploy.</w:t>
      </w:r>
    </w:p>
    <w:p>
      <w:pPr>
        <w:pStyle w:val="ListParagraph"/>
        <w:numPr>
          <w:ilvl w:val="0"/>
          <w:numId w:val="1"/>
        </w:numPr>
        <w:spacing w:after="60"/>
      </w:pPr>
      <w:r>
        <w:t xml:space="preserve">Build voice input and/or photo+vision when ready to move past MVP into V2 — designs are ready, not yet implemented.</w:t>
      </w:r>
    </w:p>
    <w:p>
      <w:pPr>
        <w:pStyle w:val="ListParagraph"/>
        <w:numPr>
          <w:ilvl w:val="0"/>
          <w:numId w:val="1"/>
        </w:numPr>
        <w:spacing w:after="60"/>
      </w:pPr>
      <w:r>
        <w:t xml:space="preserve">Create PWA icon assets, then wire the manifest.</w:t>
      </w:r>
    </w:p>
    <w:p>
      <w:pPr>
        <w:pStyle w:val="ListParagraph"/>
        <w:numPr>
          <w:ilvl w:val="0"/>
          <w:numId w:val="1"/>
        </w:numPr>
        <w:spacing w:after="60"/>
      </w:pPr>
      <w:r>
        <w:t xml:space="preserve">Revisit pricing tiers once the app is demo-ready and an actual pilot conversation is imminent.</w:t>
      </w:r>
    </w:p>
    <w:p>
      <w:pPr>
        <w:pStyle w:val="ListParagraph"/>
        <w:numPr>
          <w:ilvl w:val="0"/>
          <w:numId w:val="1"/>
        </w:numPr>
        <w:spacing w:after="60"/>
      </w:pPr>
      <w:r>
        <w:t xml:space="preserve">Interview prep (algo/React drills, ATS resume rebuild, IC-vs-Lead strategy) intentionally deferred to a separate conversation this session — not covered here, still fully open.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2026-07-03T21:41:22.137Z</dcterms:created>
  <dcterms:modified xsi:type="dcterms:W3CDTF">2026-07-03T21:41:22.137Z</dcterms:modified>
</cp:coreProperties>
</file>

<file path=docProps/custom.xml><?xml version="1.0" encoding="utf-8"?>
<Properties xmlns="http://schemas.openxmlformats.org/officeDocument/2006/custom-properties" xmlns:vt="http://schemas.openxmlformats.org/officeDocument/2006/docPropsVTypes"/>
</file>