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a3a5c"/>
          <w:sz w:val="40"/>
          <w:szCs w:val="40"/>
        </w:rPr>
        <w:t xml:space="preserve">BYLAWS OF AMPLIFI</w:t>
      </w:r>
    </w:p>
    <w:p>
      <w:pPr>
        <w:spacing w:after="80" w:before="0"/>
        <w:jc w:val="center"/>
      </w:pPr>
      <w:r>
        <w:rPr>
          <w:rFonts w:ascii="Arial" w:cs="Arial" w:eastAsia="Arial" w:hAnsi="Arial"/>
          <w:i/>
          <w:iCs/>
          <w:color w:val="444444"/>
          <w:sz w:val="22"/>
          <w:szCs w:val="22"/>
        </w:rPr>
        <w:t xml:space="preserve">An Illinois Not-for-Profit Corporation</w:t>
      </w:r>
    </w:p>
    <w:p>
      <w:pPr>
        <w:spacing w:after="480" w:before="0"/>
        <w:jc w:val="center"/>
      </w:pPr>
      <w:r>
        <w:rPr>
          <w:rFonts w:ascii="Arial" w:cs="Arial" w:eastAsia="Arial" w:hAnsi="Arial"/>
          <w:color w:val="666666"/>
          <w:sz w:val="20"/>
          <w:szCs w:val="20"/>
        </w:rPr>
        <w:t xml:space="preserve">Adopted May 3, 2026</w:t>
      </w:r>
    </w:p>
    <w:p>
      <w:pPr>
        <w:pBdr>
          <w:bottom w:val="single" w:color="2E5FA3" w:sz="8" w:space="4"/>
        </w:pBdr>
        <w:spacing w:after="480" w:before="0"/>
      </w:pPr>
      <w:r>
        <w:rPr>
          <w:sz w:val="20"/>
          <w:szCs w:val="20"/>
        </w:rPr>
        <w:t xml:space="preserve"/>
      </w:r>
    </w:p>
    <w:p>
      <w:pPr>
        <w:pBdr>
          <w:bottom w:val="single" w:color="2E5FA3" w:sz="4" w:space="4"/>
        </w:pBdr>
        <w:spacing w:after="120" w:before="360"/>
      </w:pPr>
      <w:r>
        <w:rPr>
          <w:rFonts w:ascii="Arial" w:cs="Arial" w:eastAsia="Arial" w:hAnsi="Arial"/>
          <w:b/>
          <w:bCs/>
          <w:color w:val="1a3a5c"/>
          <w:sz w:val="26"/>
          <w:szCs w:val="26"/>
        </w:rPr>
        <w:t xml:space="preserve">ARTICLE I — NAME AND PURPOSE</w:t>
      </w:r>
    </w:p>
    <w:p>
      <w:pPr>
        <w:spacing w:after="60" w:before="60"/>
      </w:pPr>
      <w:r>
        <w:rPr>
          <w:rFonts w:ascii="Arial" w:cs="Arial" w:eastAsia="Arial" w:hAnsi="Arial"/>
          <w:sz w:val="20"/>
          <w:szCs w:val="20"/>
        </w:rPr>
        <w:t xml:space="preserve">The name of this corporation is AmpliFi. AmpliFi is organized exclusively for charitable and educational purposes, specifically to support independent singer-songwriters through community infrastructure, touring networks, studio access, and educational resources — all in service of sustaining the creative and economic life of working artists.</w:t>
      </w:r>
    </w:p>
    <w:p>
      <w:pPr>
        <w:pBdr>
          <w:bottom w:val="single" w:color="2E5FA3" w:sz="4" w:space="4"/>
        </w:pBdr>
        <w:spacing w:after="120" w:before="360"/>
      </w:pPr>
      <w:r>
        <w:rPr>
          <w:rFonts w:ascii="Arial" w:cs="Arial" w:eastAsia="Arial" w:hAnsi="Arial"/>
          <w:b/>
          <w:bCs/>
          <w:color w:val="1a3a5c"/>
          <w:sz w:val="26"/>
          <w:szCs w:val="26"/>
        </w:rPr>
        <w:t xml:space="preserve">ARTICLE II — BOARD OF DIRECTORS</w:t>
      </w:r>
    </w:p>
    <w:p>
      <w:pPr>
        <w:spacing w:after="80" w:before="240"/>
      </w:pPr>
      <w:r>
        <w:rPr>
          <w:rFonts w:ascii="Arial" w:cs="Arial" w:eastAsia="Arial" w:hAnsi="Arial"/>
          <w:b/>
          <w:bCs/>
          <w:color w:val="1a3a5c"/>
          <w:sz w:val="22"/>
          <w:szCs w:val="22"/>
        </w:rPr>
        <w:t xml:space="preserve">Section 2.1 — Composition</w:t>
      </w:r>
    </w:p>
    <w:p>
      <w:pPr>
        <w:spacing w:after="60" w:before="60"/>
      </w:pPr>
      <w:r>
        <w:rPr>
          <w:rFonts w:ascii="Arial" w:cs="Arial" w:eastAsia="Arial" w:hAnsi="Arial"/>
          <w:sz w:val="20"/>
          <w:szCs w:val="20"/>
        </w:rPr>
        <w:t xml:space="preserve">The Board of Directors shall consist of no fewer than three (3) and no more than nine (9) directors. The initial Board consists of three directors:</w:t>
      </w:r>
    </w:p>
    <w:p>
      <w:pPr>
        <w:spacing w:after="60" w:before="60"/>
        <w:ind w:left="360"/>
      </w:pPr>
      <w:r>
        <w:rPr>
          <w:rFonts w:ascii="Arial" w:cs="Arial" w:eastAsia="Arial" w:hAnsi="Arial"/>
          <w:sz w:val="20"/>
          <w:szCs w:val="20"/>
        </w:rPr>
        <w:t xml:space="preserve">Joseph C. Grigsby — Western Springs, IL</w:t>
      </w:r>
    </w:p>
    <w:p>
      <w:pPr>
        <w:spacing w:after="60" w:before="60"/>
        <w:ind w:left="360"/>
      </w:pPr>
      <w:r>
        <w:rPr>
          <w:rFonts w:ascii="Arial" w:cs="Arial" w:eastAsia="Arial" w:hAnsi="Arial"/>
          <w:sz w:val="20"/>
          <w:szCs w:val="20"/>
        </w:rPr>
        <w:t xml:space="preserve">Nathan Young — Eudora, KS</w:t>
      </w:r>
    </w:p>
    <w:p>
      <w:pPr>
        <w:spacing w:after="60" w:before="60"/>
        <w:ind w:left="360"/>
      </w:pPr>
      <w:r>
        <w:rPr>
          <w:rFonts w:ascii="Arial" w:cs="Arial" w:eastAsia="Arial" w:hAnsi="Arial"/>
          <w:sz w:val="20"/>
          <w:szCs w:val="20"/>
        </w:rPr>
        <w:t xml:space="preserve">Timothy Eavenson — Western Springs, IL</w:t>
      </w:r>
    </w:p>
    <w:p>
      <w:pPr>
        <w:spacing w:after="60" w:before="60"/>
      </w:pPr>
      <w:r>
        <w:rPr>
          <w:rFonts w:ascii="Arial" w:cs="Arial" w:eastAsia="Arial" w:hAnsi="Arial"/>
          <w:sz w:val="20"/>
          <w:szCs w:val="20"/>
        </w:rPr>
        <w:t xml:space="preserve">Current Board (as of July 18, 2026):</w:t>
      </w:r>
    </w:p>
    <w:p>
      <w:pPr>
        <w:spacing w:after="60" w:before="60"/>
        <w:ind w:left="360"/>
      </w:pPr>
      <w:r>
        <w:rPr>
          <w:rFonts w:ascii="Arial" w:cs="Arial" w:eastAsia="Arial" w:hAnsi="Arial"/>
          <w:sz w:val="20"/>
          <w:szCs w:val="20"/>
        </w:rPr>
        <w:t xml:space="preserve">Joseph C. Grigsby — Western Springs, IL</w:t>
      </w:r>
    </w:p>
    <w:p>
      <w:pPr>
        <w:spacing w:after="60" w:before="60"/>
        <w:ind w:left="360"/>
      </w:pPr>
      <w:r>
        <w:rPr>
          <w:rFonts w:ascii="Arial" w:cs="Arial" w:eastAsia="Arial" w:hAnsi="Arial"/>
          <w:sz w:val="20"/>
          <w:szCs w:val="20"/>
        </w:rPr>
        <w:t xml:space="preserve">Nathan Young — Eudora, KS</w:t>
      </w:r>
    </w:p>
    <w:p>
      <w:pPr>
        <w:spacing w:after="60" w:before="60"/>
        <w:ind w:left="360"/>
      </w:pPr>
      <w:r>
        <w:rPr>
          <w:rFonts w:ascii="Arial" w:cs="Arial" w:eastAsia="Arial" w:hAnsi="Arial"/>
          <w:sz w:val="20"/>
          <w:szCs w:val="20"/>
        </w:rPr>
        <w:t xml:space="preserve">Timothy Eavenson — Western Springs, IL</w:t>
      </w:r>
    </w:p>
    <w:p>
      <w:pPr>
        <w:spacing w:after="60" w:before="60"/>
        <w:ind w:left="360"/>
      </w:pPr>
      <w:r>
        <w:rPr>
          <w:rFonts w:ascii="Arial" w:cs="Arial" w:eastAsia="Arial" w:hAnsi="Arial"/>
          <w:sz w:val="20"/>
          <w:szCs w:val="20"/>
        </w:rPr>
        <w:t xml:space="preserve">Bill Krecji</w:t>
      </w:r>
    </w:p>
    <w:p>
      <w:pPr>
        <w:spacing w:after="60" w:before="60"/>
        <w:ind w:left="360"/>
      </w:pPr>
      <w:r>
        <w:rPr>
          <w:rFonts w:ascii="Arial" w:cs="Arial" w:eastAsia="Arial" w:hAnsi="Arial"/>
          <w:sz w:val="20"/>
          <w:szCs w:val="20"/>
        </w:rPr>
        <w:t xml:space="preserve">Matt Fairchild</w:t>
      </w:r>
    </w:p>
    <w:p>
      <w:pPr>
        <w:spacing w:after="80" w:before="240"/>
      </w:pPr>
      <w:r>
        <w:rPr>
          <w:rFonts w:ascii="Arial" w:cs="Arial" w:eastAsia="Arial" w:hAnsi="Arial"/>
          <w:b/>
          <w:bCs/>
          <w:color w:val="1a3a5c"/>
          <w:sz w:val="22"/>
          <w:szCs w:val="22"/>
        </w:rPr>
        <w:t xml:space="preserve">Section 2.2 — Terms</w:t>
      </w:r>
    </w:p>
    <w:p>
      <w:pPr>
        <w:spacing w:after="60" w:before="60"/>
      </w:pPr>
      <w:r>
        <w:rPr>
          <w:rFonts w:ascii="Arial" w:cs="Arial" w:eastAsia="Arial" w:hAnsi="Arial"/>
          <w:sz w:val="20"/>
          <w:szCs w:val="20"/>
        </w:rPr>
        <w:t xml:space="preserve">Directors serve two-year terms and may be re-elected without limit.</w:t>
      </w:r>
    </w:p>
    <w:p>
      <w:pPr>
        <w:spacing w:after="80" w:before="240"/>
      </w:pPr>
      <w:r>
        <w:rPr>
          <w:rFonts w:ascii="Arial" w:cs="Arial" w:eastAsia="Arial" w:hAnsi="Arial"/>
          <w:b/>
          <w:bCs/>
          <w:color w:val="1a3a5c"/>
          <w:sz w:val="22"/>
          <w:szCs w:val="22"/>
        </w:rPr>
        <w:t xml:space="preserve">Section 2.3 — Meeting Frequency</w:t>
      </w:r>
    </w:p>
    <w:p>
      <w:pPr>
        <w:spacing w:after="60" w:before="60"/>
      </w:pPr>
      <w:r>
        <w:rPr>
          <w:rFonts w:ascii="Arial" w:cs="Arial" w:eastAsia="Arial" w:hAnsi="Arial"/>
          <w:sz w:val="20"/>
          <w:szCs w:val="20"/>
        </w:rPr>
        <w:t xml:space="preserve">The Board shall meet no fewer than four (4) times per year — once per calendar quarter. Meetings may be held in person, by phone, or by video conference. Special meetings may be called by the President or any two directors with 72 hours notice.</w:t>
      </w:r>
    </w:p>
    <w:p>
      <w:pPr>
        <w:spacing w:after="80" w:before="240"/>
      </w:pPr>
      <w:r>
        <w:rPr>
          <w:rFonts w:ascii="Arial" w:cs="Arial" w:eastAsia="Arial" w:hAnsi="Arial"/>
          <w:b/>
          <w:bCs/>
          <w:color w:val="1a3a5c"/>
          <w:sz w:val="22"/>
          <w:szCs w:val="22"/>
        </w:rPr>
        <w:t xml:space="preserve">Section 2.4 — Quorum</w:t>
      </w:r>
    </w:p>
    <w:p>
      <w:pPr>
        <w:spacing w:after="60" w:before="60"/>
      </w:pPr>
      <w:r>
        <w:rPr>
          <w:rFonts w:ascii="Arial" w:cs="Arial" w:eastAsia="Arial" w:hAnsi="Arial"/>
          <w:sz w:val="20"/>
          <w:szCs w:val="20"/>
        </w:rPr>
        <w:t xml:space="preserve">A majority of directors then in office constitutes a quorum. Actions require a majority vote of directors present at a meeting at which a quorum exists.</w:t>
      </w:r>
    </w:p>
    <w:p>
      <w:pPr>
        <w:spacing w:after="80" w:before="240"/>
      </w:pPr>
      <w:r>
        <w:rPr>
          <w:rFonts w:ascii="Arial" w:cs="Arial" w:eastAsia="Arial" w:hAnsi="Arial"/>
          <w:b/>
          <w:bCs/>
          <w:color w:val="1a3a5c"/>
          <w:sz w:val="22"/>
          <w:szCs w:val="22"/>
        </w:rPr>
        <w:t xml:space="preserve">Section 2.5 — Annual Meeting</w:t>
      </w:r>
    </w:p>
    <w:p>
      <w:pPr>
        <w:spacing w:after="60" w:before="60"/>
      </w:pPr>
      <w:r>
        <w:rPr>
          <w:rFonts w:ascii="Arial" w:cs="Arial" w:eastAsia="Arial" w:hAnsi="Arial"/>
          <w:sz w:val="20"/>
          <w:szCs w:val="20"/>
        </w:rPr>
        <w:t xml:space="preserve">The Board shall hold an annual meeting each January to review financials, elect officers, and set organizational priorities for the coming year.</w:t>
      </w:r>
    </w:p>
    <w:p>
      <w:pPr>
        <w:pBdr>
          <w:bottom w:val="single" w:color="2E5FA3" w:sz="4" w:space="4"/>
        </w:pBdr>
        <w:spacing w:after="120" w:before="360"/>
      </w:pPr>
      <w:r>
        <w:rPr>
          <w:rFonts w:ascii="Arial" w:cs="Arial" w:eastAsia="Arial" w:hAnsi="Arial"/>
          <w:b/>
          <w:bCs/>
          <w:color w:val="1a3a5c"/>
          <w:sz w:val="26"/>
          <w:szCs w:val="26"/>
        </w:rPr>
        <w:t xml:space="preserve">ARTICLE III — OFFICERS</w:t>
      </w:r>
    </w:p>
    <w:p>
      <w:pPr>
        <w:spacing w:after="80" w:before="240"/>
      </w:pPr>
      <w:r>
        <w:rPr>
          <w:rFonts w:ascii="Arial" w:cs="Arial" w:eastAsia="Arial" w:hAnsi="Arial"/>
          <w:b/>
          <w:bCs/>
          <w:color w:val="1a3a5c"/>
          <w:sz w:val="22"/>
          <w:szCs w:val="22"/>
        </w:rPr>
        <w:t xml:space="preserve">Section 3.1 — Officers</w:t>
      </w:r>
    </w:p>
    <w:p>
      <w:pPr>
        <w:spacing w:after="60" w:before="60"/>
      </w:pPr>
      <w:r>
        <w:rPr>
          <w:rFonts w:ascii="Arial" w:cs="Arial" w:eastAsia="Arial" w:hAnsi="Arial"/>
          <w:sz w:val="20"/>
          <w:szCs w:val="20"/>
        </w:rPr>
        <w:t xml:space="preserve">The officers of AmpliFi shall be a President, a Secretary, and a Treasurer. Officers are elected annually by the Board at the January annual meeting and serve one-year terms. The same person may not simultaneously hold more than one officer position.</w:t>
      </w:r>
    </w:p>
    <w:p>
      <w:pPr>
        <w:spacing w:after="80" w:before="240"/>
      </w:pPr>
      <w:r>
        <w:rPr>
          <w:rFonts w:ascii="Arial" w:cs="Arial" w:eastAsia="Arial" w:hAnsi="Arial"/>
          <w:b/>
          <w:bCs/>
          <w:color w:val="1a3a5c"/>
          <w:sz w:val="22"/>
          <w:szCs w:val="22"/>
        </w:rPr>
        <w:t xml:space="preserve">Section 3.2 — President  |  Joseph C. Grigsby</w:t>
      </w:r>
    </w:p>
    <w:p>
      <w:pPr>
        <w:spacing w:after="60" w:before="60"/>
      </w:pPr>
      <w:r>
        <w:rPr>
          <w:rFonts w:ascii="Arial" w:cs="Arial" w:eastAsia="Arial" w:hAnsi="Arial"/>
          <w:sz w:val="20"/>
          <w:szCs w:val="20"/>
        </w:rPr>
        <w:t xml:space="preserve">The President serves as the chief executive of the organization, presides over all Board and organizational meetings, serves as the primary external representative of AmpliFi, and oversees execution of Board-approved strategy and programs.</w:t>
      </w:r>
    </w:p>
    <w:p>
      <w:pPr>
        <w:spacing w:after="80" w:before="240"/>
      </w:pPr>
      <w:r>
        <w:rPr>
          <w:rFonts w:ascii="Arial" w:cs="Arial" w:eastAsia="Arial" w:hAnsi="Arial"/>
          <w:b/>
          <w:bCs/>
          <w:color w:val="1a3a5c"/>
          <w:sz w:val="22"/>
          <w:szCs w:val="22"/>
        </w:rPr>
        <w:t xml:space="preserve">Section 3.3 — Secretary  |  Timothy Eavenson</w:t>
      </w:r>
    </w:p>
    <w:p>
      <w:pPr>
        <w:spacing w:after="60" w:before="60"/>
      </w:pPr>
      <w:r>
        <w:rPr>
          <w:rFonts w:ascii="Arial" w:cs="Arial" w:eastAsia="Arial" w:hAnsi="Arial"/>
          <w:sz w:val="20"/>
          <w:szCs w:val="20"/>
        </w:rPr>
        <w:t xml:space="preserve">The Secretary maintains all corporate records, prepares and distributes meeting agendas and minutes, manages official correspondence, and ensures timely filing of all state and federal reports including the Illinois Annual Report (Form NFP 114.05).</w:t>
      </w:r>
    </w:p>
    <w:p>
      <w:pPr>
        <w:spacing w:after="80" w:before="240"/>
      </w:pPr>
      <w:r>
        <w:rPr>
          <w:rFonts w:ascii="Arial" w:cs="Arial" w:eastAsia="Arial" w:hAnsi="Arial"/>
          <w:b/>
          <w:bCs/>
          <w:color w:val="1a3a5c"/>
          <w:sz w:val="22"/>
          <w:szCs w:val="22"/>
        </w:rPr>
        <w:t xml:space="preserve">Section 3.4 — Treasurer  |  Nathan Young</w:t>
      </w:r>
    </w:p>
    <w:p>
      <w:pPr>
        <w:spacing w:after="60" w:before="60"/>
      </w:pPr>
      <w:r>
        <w:rPr>
          <w:rFonts w:ascii="Arial" w:cs="Arial" w:eastAsia="Arial" w:hAnsi="Arial"/>
          <w:sz w:val="20"/>
          <w:szCs w:val="20"/>
        </w:rPr>
        <w:t xml:space="preserve">The Treasurer oversees all financial matters, maintains accurate financial records, prepares annual financial reports for the Board, manages the operating bank account, and ensures timely filing of all required IRS returns including the annual Form 990.</w:t>
      </w:r>
    </w:p>
    <w:p>
      <w:pPr>
        <w:pBdr>
          <w:bottom w:val="single" w:color="2E5FA3" w:sz="4" w:space="4"/>
        </w:pBdr>
        <w:spacing w:after="120" w:before="360"/>
      </w:pPr>
      <w:r>
        <w:rPr>
          <w:rFonts w:ascii="Arial" w:cs="Arial" w:eastAsia="Arial" w:hAnsi="Arial"/>
          <w:b/>
          <w:bCs/>
          <w:color w:val="1a3a5c"/>
          <w:sz w:val="26"/>
          <w:szCs w:val="26"/>
        </w:rPr>
        <w:t xml:space="preserve">ARTICLE IV — CONFLICT OF INTEREST POLICY</w:t>
      </w:r>
    </w:p>
    <w:p>
      <w:pPr>
        <w:spacing w:after="80" w:before="240"/>
      </w:pPr>
      <w:r>
        <w:rPr>
          <w:rFonts w:ascii="Arial" w:cs="Arial" w:eastAsia="Arial" w:hAnsi="Arial"/>
          <w:b/>
          <w:bCs/>
          <w:color w:val="1a3a5c"/>
          <w:sz w:val="22"/>
          <w:szCs w:val="22"/>
        </w:rPr>
        <w:t xml:space="preserve">Section 4.1 — Purpose</w:t>
      </w:r>
    </w:p>
    <w:p>
      <w:pPr>
        <w:spacing w:after="60" w:before="60"/>
      </w:pPr>
      <w:r>
        <w:rPr>
          <w:rFonts w:ascii="Arial" w:cs="Arial" w:eastAsia="Arial" w:hAnsi="Arial"/>
          <w:sz w:val="20"/>
          <w:szCs w:val="20"/>
        </w:rPr>
        <w:t xml:space="preserve">This policy protects AmpliFi's interests when it contemplates entering into a transaction or arrangement that might benefit the private interests of an officer, director, or key employee.</w:t>
      </w:r>
    </w:p>
    <w:p>
      <w:pPr>
        <w:spacing w:after="80" w:before="240"/>
      </w:pPr>
      <w:r>
        <w:rPr>
          <w:rFonts w:ascii="Arial" w:cs="Arial" w:eastAsia="Arial" w:hAnsi="Arial"/>
          <w:b/>
          <w:bCs/>
          <w:color w:val="1a3a5c"/>
          <w:sz w:val="22"/>
          <w:szCs w:val="22"/>
        </w:rPr>
        <w:t xml:space="preserve">Section 4.2 — Disclosure</w:t>
      </w:r>
    </w:p>
    <w:p>
      <w:pPr>
        <w:spacing w:after="60" w:before="60"/>
      </w:pPr>
      <w:r>
        <w:rPr>
          <w:rFonts w:ascii="Arial" w:cs="Arial" w:eastAsia="Arial" w:hAnsi="Arial"/>
          <w:sz w:val="20"/>
          <w:szCs w:val="20"/>
        </w:rPr>
        <w:t xml:space="preserve">Any director, officer, or committee member who has a direct or indirect financial interest in a proposed transaction must disclose the existence and nature of that interest to the Board before any vote on the matter.</w:t>
      </w:r>
    </w:p>
    <w:p>
      <w:pPr>
        <w:spacing w:after="80" w:before="240"/>
      </w:pPr>
      <w:r>
        <w:rPr>
          <w:rFonts w:ascii="Arial" w:cs="Arial" w:eastAsia="Arial" w:hAnsi="Arial"/>
          <w:b/>
          <w:bCs/>
          <w:color w:val="1a3a5c"/>
          <w:sz w:val="22"/>
          <w:szCs w:val="22"/>
        </w:rPr>
        <w:t xml:space="preserve">Section 4.3 — Recusal</w:t>
      </w:r>
    </w:p>
    <w:p>
      <w:pPr>
        <w:spacing w:after="60" w:before="60"/>
      </w:pPr>
      <w:r>
        <w:rPr>
          <w:rFonts w:ascii="Arial" w:cs="Arial" w:eastAsia="Arial" w:hAnsi="Arial"/>
          <w:sz w:val="20"/>
          <w:szCs w:val="20"/>
        </w:rPr>
        <w:t xml:space="preserve">After disclosure, the interested person shall leave the meeting room during discussion and voting on the matter. The remaining Board members shall determine whether a conflict exists and, if so, whether the transaction is nonetheless in AmpliFi's best interest.</w:t>
      </w:r>
    </w:p>
    <w:p>
      <w:pPr>
        <w:spacing w:after="80" w:before="240"/>
      </w:pPr>
      <w:r>
        <w:rPr>
          <w:rFonts w:ascii="Arial" w:cs="Arial" w:eastAsia="Arial" w:hAnsi="Arial"/>
          <w:b/>
          <w:bCs/>
          <w:color w:val="1a3a5c"/>
          <w:sz w:val="22"/>
          <w:szCs w:val="22"/>
        </w:rPr>
        <w:t xml:space="preserve">Section 4.4 — Documentation</w:t>
      </w:r>
    </w:p>
    <w:p>
      <w:pPr>
        <w:spacing w:after="60" w:before="60"/>
      </w:pPr>
      <w:r>
        <w:rPr>
          <w:rFonts w:ascii="Arial" w:cs="Arial" w:eastAsia="Arial" w:hAnsi="Arial"/>
          <w:sz w:val="20"/>
          <w:szCs w:val="20"/>
        </w:rPr>
        <w:t xml:space="preserve">All conflict disclosures and recusals shall be recorded in the meeting minutes. Each director and officer shall annually sign a written statement affirming they have read and agree to comply with this policy.</w:t>
      </w:r>
    </w:p>
    <w:p>
      <w:pPr>
        <w:spacing w:after="80" w:before="240"/>
      </w:pPr>
      <w:r>
        <w:rPr>
          <w:rFonts w:ascii="Arial" w:cs="Arial" w:eastAsia="Arial" w:hAnsi="Arial"/>
          <w:b/>
          <w:bCs/>
          <w:color w:val="1a3a5c"/>
          <w:sz w:val="22"/>
          <w:szCs w:val="22"/>
        </w:rPr>
        <w:t xml:space="preserve">Section 4.5 — No Loans</w:t>
      </w:r>
    </w:p>
    <w:p>
      <w:pPr>
        <w:spacing w:after="60" w:before="60"/>
      </w:pPr>
      <w:r>
        <w:rPr>
          <w:rFonts w:ascii="Arial" w:cs="Arial" w:eastAsia="Arial" w:hAnsi="Arial"/>
          <w:sz w:val="20"/>
          <w:szCs w:val="20"/>
        </w:rPr>
        <w:t xml:space="preserve">AmpliFi shall not make loans to any director, officer, or employee.</w:t>
      </w:r>
    </w:p>
    <w:p>
      <w:pPr>
        <w:pBdr>
          <w:bottom w:val="single" w:color="2E5FA3" w:sz="4" w:space="4"/>
        </w:pBdr>
        <w:spacing w:after="120" w:before="360"/>
      </w:pPr>
      <w:r>
        <w:rPr>
          <w:rFonts w:ascii="Arial" w:cs="Arial" w:eastAsia="Arial" w:hAnsi="Arial"/>
          <w:b/>
          <w:bCs/>
          <w:color w:val="1a3a5c"/>
          <w:sz w:val="26"/>
          <w:szCs w:val="26"/>
        </w:rPr>
        <w:t xml:space="preserve">ARTICLE V — FINANCIAL MATTERS</w:t>
      </w:r>
    </w:p>
    <w:p>
      <w:pPr>
        <w:spacing w:after="80" w:before="240"/>
      </w:pPr>
      <w:r>
        <w:rPr>
          <w:rFonts w:ascii="Arial" w:cs="Arial" w:eastAsia="Arial" w:hAnsi="Arial"/>
          <w:b/>
          <w:bCs/>
          <w:color w:val="1a3a5c"/>
          <w:sz w:val="22"/>
          <w:szCs w:val="22"/>
        </w:rPr>
        <w:t xml:space="preserve">Section 5.1 — Fiscal Year</w:t>
      </w:r>
    </w:p>
    <w:p>
      <w:pPr>
        <w:spacing w:after="60" w:before="60"/>
      </w:pPr>
      <w:r>
        <w:rPr>
          <w:rFonts w:ascii="Arial" w:cs="Arial" w:eastAsia="Arial" w:hAnsi="Arial"/>
          <w:sz w:val="20"/>
          <w:szCs w:val="20"/>
        </w:rPr>
        <w:t xml:space="preserve">AmpliFi's fiscal year runs January 1 through December 31.</w:t>
      </w:r>
    </w:p>
    <w:p>
      <w:pPr>
        <w:spacing w:after="80" w:before="240"/>
      </w:pPr>
      <w:r>
        <w:rPr>
          <w:rFonts w:ascii="Arial" w:cs="Arial" w:eastAsia="Arial" w:hAnsi="Arial"/>
          <w:b/>
          <w:bCs/>
          <w:color w:val="1a3a5c"/>
          <w:sz w:val="22"/>
          <w:szCs w:val="22"/>
        </w:rPr>
        <w:t xml:space="preserve">Section 5.2 — Bank Accounts</w:t>
      </w:r>
    </w:p>
    <w:p>
      <w:pPr>
        <w:spacing w:after="60" w:before="60"/>
      </w:pPr>
      <w:r>
        <w:rPr>
          <w:rFonts w:ascii="Arial" w:cs="Arial" w:eastAsia="Arial" w:hAnsi="Arial"/>
          <w:sz w:val="20"/>
          <w:szCs w:val="20"/>
        </w:rPr>
        <w:t xml:space="preserve">The Treasurer shall maintain all organizational funds in a federally insured financial institution. Disbursements over $1,000 require the signature of any two officers.</w:t>
      </w:r>
    </w:p>
    <w:p>
      <w:pPr>
        <w:spacing w:after="80" w:before="240"/>
      </w:pPr>
      <w:r>
        <w:rPr>
          <w:rFonts w:ascii="Arial" w:cs="Arial" w:eastAsia="Arial" w:hAnsi="Arial"/>
          <w:b/>
          <w:bCs/>
          <w:color w:val="1a3a5c"/>
          <w:sz w:val="22"/>
          <w:szCs w:val="22"/>
        </w:rPr>
        <w:t xml:space="preserve">Section 5.3 — No Private Inurement</w:t>
      </w:r>
    </w:p>
    <w:p>
      <w:pPr>
        <w:spacing w:after="60" w:before="60"/>
      </w:pPr>
      <w:r>
        <w:rPr>
          <w:rFonts w:ascii="Arial" w:cs="Arial" w:eastAsia="Arial" w:hAnsi="Arial"/>
          <w:sz w:val="20"/>
          <w:szCs w:val="20"/>
        </w:rPr>
        <w:t xml:space="preserve">No part of the net earnings of AmpliFi shall inure to the benefit of, or be distributable to, its directors, officers, or any private individual, except for reasonable compensation for services rendered.</w:t>
      </w:r>
    </w:p>
    <w:p>
      <w:pPr>
        <w:pBdr>
          <w:bottom w:val="single" w:color="2E5FA3" w:sz="4" w:space="4"/>
        </w:pBdr>
        <w:spacing w:after="120" w:before="360"/>
      </w:pPr>
      <w:r>
        <w:rPr>
          <w:rFonts w:ascii="Arial" w:cs="Arial" w:eastAsia="Arial" w:hAnsi="Arial"/>
          <w:b/>
          <w:bCs/>
          <w:color w:val="1a3a5c"/>
          <w:sz w:val="26"/>
          <w:szCs w:val="26"/>
        </w:rPr>
        <w:t xml:space="preserve">ARTICLE VI — DISSOLUTION</w:t>
      </w:r>
    </w:p>
    <w:p>
      <w:pPr>
        <w:spacing w:after="80" w:before="240"/>
      </w:pPr>
      <w:r>
        <w:rPr>
          <w:rFonts w:ascii="Arial" w:cs="Arial" w:eastAsia="Arial" w:hAnsi="Arial"/>
          <w:b/>
          <w:bCs/>
          <w:color w:val="1a3a5c"/>
          <w:sz w:val="22"/>
          <w:szCs w:val="22"/>
        </w:rPr>
        <w:t xml:space="preserve">Section 6.1 — Procedure</w:t>
      </w:r>
    </w:p>
    <w:p>
      <w:pPr>
        <w:spacing w:after="60" w:before="60"/>
      </w:pPr>
      <w:r>
        <w:rPr>
          <w:rFonts w:ascii="Arial" w:cs="Arial" w:eastAsia="Arial" w:hAnsi="Arial"/>
          <w:sz w:val="20"/>
          <w:szCs w:val="20"/>
        </w:rPr>
        <w:t xml:space="preserve">AmpliFi may be dissolved by a two-thirds (2/3) vote of the full Board of Directors at a meeting duly called for that purpose, with at least 14 days written notice to all directors.</w:t>
      </w:r>
    </w:p>
    <w:p>
      <w:pPr>
        <w:spacing w:after="80" w:before="240"/>
      </w:pPr>
      <w:r>
        <w:rPr>
          <w:rFonts w:ascii="Arial" w:cs="Arial" w:eastAsia="Arial" w:hAnsi="Arial"/>
          <w:b/>
          <w:bCs/>
          <w:color w:val="1a3a5c"/>
          <w:sz w:val="22"/>
          <w:szCs w:val="22"/>
        </w:rPr>
        <w:t xml:space="preserve">Section 6.2 — Distribution of Assets</w:t>
      </w:r>
    </w:p>
    <w:p>
      <w:pPr>
        <w:spacing w:after="60" w:before="60"/>
      </w:pPr>
      <w:r>
        <w:rPr>
          <w:rFonts w:ascii="Arial" w:cs="Arial" w:eastAsia="Arial" w:hAnsi="Arial"/>
          <w:sz w:val="20"/>
          <w:szCs w:val="20"/>
        </w:rPr>
        <w:t xml:space="preserve">Upon dissolution, after payment of or provision for all liabilities, the remaining assets of AmpliFi shall be distributed to one or more organizations that are organized and operated exclusively for charitable or educational purposes and that qualify as tax-exempt under Section 501(c)(3) of the Internal Revenue Code, as selected by the Board. No assets shall be distributed to any director, officer, member, or private individual.</w:t>
      </w:r>
    </w:p>
    <w:p>
      <w:pPr>
        <w:spacing w:after="60" w:before="60"/>
      </w:pPr>
      <w:r>
        <w:rPr>
          <w:rFonts w:ascii="Arial" w:cs="Arial" w:eastAsia="Arial" w:hAnsi="Arial"/>
          <w:i/>
          <w:iCs/>
          <w:color w:val="555555"/>
          <w:sz w:val="20"/>
          <w:szCs w:val="20"/>
        </w:rPr>
        <w:t xml:space="preserve">Assumed successor organization: The Gruene Songwriters Collective or a comparable music-focused 501(c)(3) to be designated by the Board at time of dissolution.</w:t>
      </w:r>
    </w:p>
    <w:p>
      <w:pPr>
        <w:pBdr>
          <w:bottom w:val="single" w:color="2E5FA3" w:sz="4" w:space="4"/>
        </w:pBdr>
        <w:spacing w:after="120" w:before="360"/>
      </w:pPr>
      <w:r>
        <w:rPr>
          <w:rFonts w:ascii="Arial" w:cs="Arial" w:eastAsia="Arial" w:hAnsi="Arial"/>
          <w:b/>
          <w:bCs/>
          <w:color w:val="1a3a5c"/>
          <w:sz w:val="26"/>
          <w:szCs w:val="26"/>
        </w:rPr>
        <w:t xml:space="preserve">ARTICLE VII — AMENDMENTS</w:t>
      </w:r>
    </w:p>
    <w:p>
      <w:pPr>
        <w:spacing w:after="60" w:before="60"/>
      </w:pPr>
      <w:r>
        <w:rPr>
          <w:rFonts w:ascii="Arial" w:cs="Arial" w:eastAsia="Arial" w:hAnsi="Arial"/>
          <w:sz w:val="20"/>
          <w:szCs w:val="20"/>
        </w:rPr>
        <w:t xml:space="preserve">These bylaws may be amended by a two-thirds (2/3) vote of the full Board at any duly noticed meeting, provided that the proposed amendment was circulated in writing to all directors at least seven (7) days prior to the vote.</w:t>
      </w:r>
    </w:p>
    <w:p>
      <w:pPr>
        <w:pBdr>
          <w:bottom w:val="single" w:color="2E5FA3" w:sz="4" w:space="4"/>
        </w:pBdr>
        <w:spacing w:after="120" w:before="360"/>
      </w:pPr>
      <w:r>
        <w:rPr>
          <w:rFonts w:ascii="Arial" w:cs="Arial" w:eastAsia="Arial" w:hAnsi="Arial"/>
          <w:b/>
          <w:bCs/>
          <w:color w:val="1a3a5c"/>
          <w:sz w:val="26"/>
          <w:szCs w:val="26"/>
        </w:rPr>
        <w:t xml:space="preserve">ARTICLE VIII — PARLIAMENTARY AUTHORITY</w:t>
      </w:r>
    </w:p>
    <w:p>
      <w:pPr>
        <w:spacing w:after="60" w:before="60"/>
      </w:pPr>
      <w:r>
        <w:rPr>
          <w:rFonts w:ascii="Arial" w:cs="Arial" w:eastAsia="Arial" w:hAnsi="Arial"/>
          <w:sz w:val="20"/>
          <w:szCs w:val="20"/>
        </w:rPr>
        <w:t xml:space="preserve">In matters not covered by these bylaws, the current edition of Robert's Rules of Order shall govern.</w:t>
      </w:r>
    </w:p>
    <w:p>
      <w:pPr>
        <w:spacing w:after="0" w:before="480"/>
      </w:pPr>
      <w:r>
        <w:t xml:space="preserve"/>
      </w:r>
    </w:p>
    <w:p>
      <w:pPr>
        <w:pBdr>
          <w:bottom w:val="single" w:color="CCCCCC" w:sz="4" w:space="4"/>
        </w:pBdr>
        <w:spacing w:after="240" w:before="0"/>
      </w:pPr>
      <w:r>
        <w:rPr>
          <w:sz w:val="20"/>
          <w:szCs w:val="20"/>
        </w:rPr>
        <w:t xml:space="preserve"/>
      </w:r>
    </w:p>
    <w:p>
      <w:pPr>
        <w:spacing w:after="120" w:before="240"/>
      </w:pPr>
      <w:r>
        <w:rPr>
          <w:rFonts w:ascii="Arial" w:cs="Arial" w:eastAsia="Arial" w:hAnsi="Arial"/>
          <w:b/>
          <w:bCs/>
          <w:color w:val="1a3a5c"/>
          <w:sz w:val="24"/>
          <w:szCs w:val="24"/>
        </w:rPr>
        <w:t xml:space="preserve">ATTESTATION</w:t>
      </w:r>
    </w:p>
    <w:p>
      <w:pPr>
        <w:spacing w:after="60" w:before="60"/>
      </w:pPr>
      <w:r>
        <w:rPr>
          <w:rFonts w:ascii="Arial" w:cs="Arial" w:eastAsia="Arial" w:hAnsi="Arial"/>
          <w:sz w:val="20"/>
          <w:szCs w:val="20"/>
        </w:rPr>
        <w:t xml:space="preserve">These bylaws were adopted by the initial Board of Directors of AmpliFi on May 3, 2026.</w:t>
      </w:r>
    </w:p>
    <w:p>
      <w:pPr>
        <w:spacing w:after="60" w:before="360"/>
      </w:pPr>
      <w:r>
        <w:rPr>
          <w:rFonts w:ascii="Arial" w:cs="Arial" w:eastAsia="Arial" w:hAnsi="Arial"/>
          <w:sz w:val="20"/>
          <w:szCs w:val="20"/>
        </w:rPr>
        <w:t xml:space="preserve">___________________________</w:t>
      </w:r>
    </w:p>
    <w:p>
      <w:pPr>
        <w:spacing w:after="40" w:before="0"/>
      </w:pPr>
      <w:r>
        <w:rPr>
          <w:rFonts w:ascii="Arial" w:cs="Arial" w:eastAsia="Arial" w:hAnsi="Arial"/>
          <w:b/>
          <w:bCs/>
          <w:sz w:val="20"/>
          <w:szCs w:val="20"/>
        </w:rPr>
        <w:t xml:space="preserve">Joseph C. Grigsby</w:t>
      </w:r>
    </w:p>
    <w:p>
      <w:pPr>
        <w:spacing w:after="0" w:before="0"/>
      </w:pPr>
      <w:r>
        <w:rPr>
          <w:rFonts w:ascii="Arial" w:cs="Arial" w:eastAsia="Arial" w:hAnsi="Arial"/>
          <w:color w:val="555555"/>
          <w:sz w:val="20"/>
          <w:szCs w:val="20"/>
        </w:rPr>
        <w:t xml:space="preserve">President</w:t>
      </w:r>
    </w:p>
    <w:p>
      <w:pPr>
        <w:spacing w:after="60" w:before="360"/>
      </w:pPr>
      <w:r>
        <w:rPr>
          <w:rFonts w:ascii="Arial" w:cs="Arial" w:eastAsia="Arial" w:hAnsi="Arial"/>
          <w:sz w:val="20"/>
          <w:szCs w:val="20"/>
        </w:rPr>
        <w:t xml:space="preserve">___________________________</w:t>
      </w:r>
    </w:p>
    <w:p>
      <w:pPr>
        <w:spacing w:after="40" w:before="0"/>
      </w:pPr>
      <w:r>
        <w:rPr>
          <w:rFonts w:ascii="Arial" w:cs="Arial" w:eastAsia="Arial" w:hAnsi="Arial"/>
          <w:b/>
          <w:bCs/>
          <w:sz w:val="20"/>
          <w:szCs w:val="20"/>
        </w:rPr>
        <w:t xml:space="preserve">Timothy Eavenson</w:t>
      </w:r>
    </w:p>
    <w:p>
      <w:pPr>
        <w:spacing w:after="0" w:before="0"/>
      </w:pPr>
      <w:r>
        <w:rPr>
          <w:rFonts w:ascii="Arial" w:cs="Arial" w:eastAsia="Arial" w:hAnsi="Arial"/>
          <w:color w:val="555555"/>
          <w:sz w:val="20"/>
          <w:szCs w:val="20"/>
        </w:rPr>
        <w:t xml:space="preserve">Secretary</w:t>
      </w:r>
    </w:p>
    <w:p>
      <w:pPr>
        <w:spacing w:after="60" w:before="360"/>
      </w:pPr>
      <w:r>
        <w:rPr>
          <w:rFonts w:ascii="Arial" w:cs="Arial" w:eastAsia="Arial" w:hAnsi="Arial"/>
          <w:sz w:val="20"/>
          <w:szCs w:val="20"/>
        </w:rPr>
        <w:t xml:space="preserve">___________________________</w:t>
      </w:r>
    </w:p>
    <w:p>
      <w:pPr>
        <w:spacing w:after="40" w:before="0"/>
      </w:pPr>
      <w:r>
        <w:rPr>
          <w:rFonts w:ascii="Arial" w:cs="Arial" w:eastAsia="Arial" w:hAnsi="Arial"/>
          <w:b/>
          <w:bCs/>
          <w:sz w:val="20"/>
          <w:szCs w:val="20"/>
        </w:rPr>
        <w:t xml:space="preserve">Nathan Young</w:t>
      </w:r>
    </w:p>
    <w:p>
      <w:pPr>
        <w:spacing w:after="0" w:before="0"/>
      </w:pPr>
      <w:r>
        <w:rPr>
          <w:rFonts w:ascii="Arial" w:cs="Arial" w:eastAsia="Arial" w:hAnsi="Arial"/>
          <w:color w:val="555555"/>
          <w:sz w:val="20"/>
          <w:szCs w:val="20"/>
        </w:rPr>
        <w:t xml:space="preserve">Treasurer</w:t>
      </w:r>
    </w:p>
    <w:p>
      <w:pPr>
        <w:spacing w:after="0" w:before="24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6"/>
        <w:szCs w:val="16"/>
      </w:rPr>
      <w:t xml:space="preserve">Adopted May 3, 2026  |  AmpliFi, an Illinois Not-for-Profit Corporation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spacing w:after="0"/>
      <w:jc w:val="right"/>
    </w:pPr>
    <w:r>
      <w:rPr>
        <w:rFonts w:ascii="Arial" w:cs="Arial" w:eastAsia="Arial" w:hAnsi="Arial"/>
        <w:color w:val="888888"/>
        <w:sz w:val="18"/>
        <w:szCs w:val="18"/>
      </w:rPr>
      <w:t xml:space="preserve">AMPLIFI  |  BYLAWS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2026-05-03T19:19:48.853Z</dcterms:created>
  <dcterms:modified xsi:type="dcterms:W3CDTF">2026-05-03T19:19:48.853Z</dcterms:modified>
</cp:coreProperties>
</file>

<file path=docProps/custom.xml><?xml version="1.0" encoding="utf-8"?>
<Properties xmlns="http://schemas.openxmlformats.org/officeDocument/2006/custom-properties" xmlns:vt="http://schemas.openxmlformats.org/officeDocument/2006/docPropsVTypes"/>
</file>