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CDA New Joiners Training</w:t>
      </w:r>
    </w:p>
    <w:p>
      <w:pPr>
        <w:spacing w:after="400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Credit Risk — Notes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1. What is Credit Risk?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Credit Risk = the potential for economic loss due to a non-performance of contractual obligations by a counterparty (a "default event").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Often thought of as just settlement/non-payment risk, but the definition is broader — it covers both purchases and sales.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Two types of credit risk: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Performance Risk: </w:t>
      </w:r>
      <w:r>
        <w:rPr>
          <w:rFonts w:ascii="Calibri" w:cs="Calibri" w:eastAsia="Calibri" w:hAnsi="Calibri"/>
          <w:sz w:val="22"/>
          <w:szCs w:val="22"/>
        </w:rPr>
        <w:t xml:space="preserve">Performance Risk — loss caused by a counterparty breaching or walking away from a contract before delivery. No payment has been made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Payment Risk: </w:t>
      </w:r>
      <w:r>
        <w:rPr>
          <w:rFonts w:ascii="Calibri" w:cs="Calibri" w:eastAsia="Calibri" w:hAnsi="Calibri"/>
          <w:sz w:val="22"/>
          <w:szCs w:val="22"/>
        </w:rPr>
        <w:t xml:space="preserve">Payment Risk (Settlement Risk) — the counterparty must pay but defaults on that payment. Goods have already been delivered.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2. Components of Credit Exposure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Gross Exposure − Collateral = Net Exposure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Gross Exposure 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Accounts Receivable (AR) — money owed to Shell for commodity already delivered but not yet paid.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If product has not been received → Performance Risk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If product has been received but not paid → Settlement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Accounts Payable (AP) — money Shell owes to the counterparty for commodity received.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If product not yet received → Performance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Unbilled Receivable (UR) — period until title transfer happens; becomes AR once billed.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If product not received → Performance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Unbilled Payable (UP) — Shell obligated to pay counterparty after title transfer.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Current Month Undelivered (CMU) — applicable for pipeline gas. Current month volume yet to be delivered to counterparty.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Forward Mark to Market (FMTM) — (Market Price − Contract Price) × Volume. Value of open forward positions.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Collateral types: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Cash Collateral — highly liquid assets (cash, deposit accounts).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Secured Collateral (Bank Guarantee / LoC) — a legal commitment from a bank to pay if the counterparty fails to meet certain documents. Known as Letter of Credit (LoC).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Other Collateral — lien-based; legal right against assets. Includes bonds, Parent/Counterparty Guarantees.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3. Credit Risk Metrics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"Although it's impossible to know exactly who will default, properly assessing and managing credit risk can lessen the severity of a loss."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Net Exposure: </w:t>
      </w:r>
      <w:r>
        <w:rPr>
          <w:rFonts w:ascii="Calibri" w:cs="Calibri" w:eastAsia="Calibri" w:hAnsi="Calibri"/>
          <w:sz w:val="22"/>
          <w:szCs w:val="22"/>
        </w:rPr>
        <w:t xml:space="preserve">Net Exposure — Gross Exposure adjusted with collateral.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ECL: </w:t>
      </w:r>
      <w:r>
        <w:rPr>
          <w:rFonts w:ascii="Calibri" w:cs="Calibri" w:eastAsia="Calibri" w:hAnsi="Calibri"/>
          <w:sz w:val="22"/>
          <w:szCs w:val="22"/>
        </w:rPr>
        <w:t xml:space="preserve">Expected Credit Loss (ECL) — required by IFRS 9. Considers past events, current conditions and forecast information. Forward-looking approach. Updated at each reporting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Credit Reserves: </w:t>
      </w:r>
      <w:r>
        <w:rPr>
          <w:rFonts w:ascii="Calibri" w:cs="Calibri" w:eastAsia="Calibri" w:hAnsi="Calibri"/>
          <w:sz w:val="22"/>
          <w:szCs w:val="22"/>
        </w:rPr>
        <w:t xml:space="preserve">Credit Reserves — provides a credit adjustment to the ECL (adjustment a normal market participant would make to credit exposure of a contract).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4. Expected Credit Losses (ECL) — Detail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Short Term ECL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 by IFRS 9 for transactions &lt;1 year. Includes short-term trade receivables and goods issued but not invoiced. Note: Mark-to-Market is excluded.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Long Term ECL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Financing transactions — reserve-based lending facilities, loans to customers, offtakes, other long-term financing. Note: MtM excluded.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Credit Reserves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Expected loss from an adverse credit event by a counterparty. Reflects the adjustment a normal market participant would make to MtM value of the portfolio.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ECL Formula: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Net Exposure (Netted Gross Exposure +/- Risk Adjustments +/- Trade Fees − Collateral)  ×  Default Rate  ×  Loss Given Default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Net Exposure — exposure at counterparty level for a contract or portfolio of contracts.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Risk Adjustments — market risk reserves (e.g. Price Uncertainty Reserve).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Trade Fees — fees associated with the trade.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Default Rate — probability of default published by S&amp;P, associated with the counterparty's credit rating. Prorated with tenor.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Loss Given Default (LGD) — S&amp;P published Non-Recovery Rate.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P&amp;L Impact: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Short Term ECL — no impact on scorecard.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Long Term ECL — impacts scorecard.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Credit Reserves — impacts scorecard.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5. Credit Exposure — AR/UR Worked Example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Example: parcel to be delivered 30th April, CIF delivery term, NOR+5 payment term.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CIF: </w:t>
      </w:r>
      <w:r>
        <w:rPr>
          <w:rFonts w:ascii="Calibri" w:cs="Calibri" w:eastAsia="Calibri" w:hAnsi="Calibri"/>
          <w:sz w:val="22"/>
          <w:szCs w:val="22"/>
        </w:rPr>
        <w:t xml:space="preserve">Incoterm — CIF (Cost, Insurance and Freight). Risk and usually title passes at port of loading. Seller pays transport cost and insurance.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B/L: </w:t>
      </w:r>
      <w:r>
        <w:rPr>
          <w:rFonts w:ascii="Calibri" w:cs="Calibri" w:eastAsia="Calibri" w:hAnsi="Calibri"/>
          <w:sz w:val="22"/>
          <w:szCs w:val="22"/>
        </w:rPr>
        <w:t xml:space="preserve">Bill of Lading (B/L) — main document describing cargo loaded onto a ship (quantity, quality, loading date). B/L date = reference for pricing. B/L dates specify the loading window (e.g. 1st April–30th April).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NOR: </w:t>
      </w:r>
      <w:r>
        <w:rPr>
          <w:rFonts w:ascii="Calibri" w:cs="Calibri" w:eastAsia="Calibri" w:hAnsi="Calibri"/>
          <w:sz w:val="22"/>
          <w:szCs w:val="22"/>
        </w:rPr>
        <w:t xml:space="preserve">Notice of Readiness (NOR) — document from ship captain confirming ship is ready to load/unload. NOR dates specify the discharge window (e.g. 1st May–6th May).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Payment Terms: </w:t>
      </w:r>
      <w:r>
        <w:rPr>
          <w:rFonts w:ascii="Calibri" w:cs="Calibri" w:eastAsia="Calibri" w:hAnsi="Calibri"/>
          <w:sz w:val="22"/>
          <w:szCs w:val="22"/>
        </w:rPr>
        <w:t xml:space="preserve">Payment Terms — BL+XX (e.g. BL+30). Payment occurs after the specified number of days since loading. BL+30 is the standard payment term.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Timeline for the example: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Earliest start of exposure: 1st April 2024 (start of loading window) → Forward MtM exposure starts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Loading window: 1st–30th April → Unbilled Receivable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Invoice raised: 1st May → becomes Accounts Receivable.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NOR date range / delivery window: 1st–6th May.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Max payment date: 6th May 2024 (NOR+5).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Exposure clears once Shell receives payment on or before 6th May.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6. GCAP — Global Credit Analytics Portal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GCAP is a SQL Server-based MI reporting platform developed by the T&amp;S Risk Management org, managed by Shell IT.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Calculates and reports credit risk metrics for Shell T&amp;S worldwide.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Highly automated — pulls data from SAP systems, ETRMs, Data Warehouses and Energy Credit.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Produces 50+ drillable daily reports measuring and monitoring T&amp;S credit risk across industry and risk profiles.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Used for: Credit Exposures, Credit Reserves, ECL, Limit Availability, Receivables &amp; Overdues.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GCAP Data Flow (4 steps):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Data extraction from trading systems (ETRM).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Data transformation and exposure calculation.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Consolidating exposures to produce Global Credit Exposure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Using global credit exposure data for ECL and Exceeds calculation and reporting.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Key source systems feeding GCAP: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PDW, CDW, SYNAPSE, NUCLEUS, CREDITMART, ALIGINE, PMO, TRAP (replaced by Endur 14 since Sep'22), SAP HANA, SAPIP, Energy Credit, S&amp;P Default Rates.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Key reports from GCAP: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Credit Exposure 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Shows net &amp; gross credit exposure with components (AR, AP, Unbilled, MtM, Collateral). Regional, business, and T&amp;S level.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LAR (Limit Availability Report)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Shows how much of the credit line has been used, available, and how far the deal length can go. Used pre-trade.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Daily Transaction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Used by credit risk managers to verify trades entered are in accordance with the Limit Available to Trade for a given counterparty.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Aging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Shows overdue and current aged receivable balances.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Exceed 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Shows where Net Exposure for a counterparty is greater than the credit limit allocated by T&amp;S Underwriting.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Reserves &amp; ECL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Quarterly process. Short-term ECL calculated on positive receivables net of collateral. Credit reserves calculated on net positive MtM net of collateral.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7. GCAP Reports Insight — Daily Commentary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team shares a daily commentary email explaining the main drivers of credit exposure changes. Key activities: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Sharing daily commentary on main drivers for credit exposure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Ensuring completeness and accuracy of GCAP — working with T&amp;S Credit Managers to ensure exposure calculation is up to date and logic gaps are filled.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Enhancing GCAP logic based on crisis learning — GCAP data was used extensively for key decisions during the Russia-Ukraine crisis.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8. T&amp;S Net Credit Exposure — Key Historical Trends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Q2 2020 — Covid-19 impact. Brent fell to ~$19/bbl. Exposure dropped significantly.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Q4 2021 — Start of European Gas &amp; Power price spike.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Q1 2022 — Russia-Ukraine conflict. All-time high T&amp;S exposure. Natural gas and Brent prices surged (~$123/bbl).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Q3 2020 — ECL dropped due to introduction of new Short Term ECL policy based on IFRS 9 guidelines.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Global Crude is the main driver of the credit exposure weighted rating for the T&amp;S portfolio.</w:t>
      </w:r>
    </w:p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Shell Trading &amp; Supply  |  CDA New Joiners Training  |  Notes May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2026-05-29T11:21:41.511Z</dcterms:created>
  <dcterms:modified xsi:type="dcterms:W3CDTF">2026-05-29T11:21:41.524Z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