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CDA Onboarding — Monthly Recap</w:t>
      </w:r>
    </w:p>
    <w:p>
      <w:pPr>
        <w:spacing w:after="400"/>
      </w:pPr>
      <w:r>
        <w:rPr>
          <w:rFonts w:ascii="Calibri" w:cs="Calibri" w:eastAsia="Calibri" w:hAnsi="Calibri"/>
          <w:color w:val="666666"/>
          <w:sz w:val="22"/>
          <w:szCs w:val="22"/>
        </w:rPr>
        <w:t xml:space="preserve">Joseph Hyland  |  Credit Rotation, CDA, STASCO  |  June 2026</w:t>
      </w:r>
    </w:p>
    <w:p>
      <w:pPr>
        <w:spacing w:after="100"/>
      </w:pPr>
      <w:r>
        <w:rPr>
          <w:rFonts w:ascii="Calibri" w:cs="Calibri" w:eastAsia="Calibri" w:hAnsi="Calibri"/>
          <w:sz w:val="22"/>
          <w:szCs w:val="22"/>
        </w:rPr>
        <w:t xml:space="preserve">This document summarises everything covered across the five CDA New Joiners Training sessions, the 1:1 onboarding call with Nanditha, and progress made so far on the first assigned project — the GCAP/Automate jobs monitoring dashboard.</w:t>
      </w:r>
    </w:p>
    <w:p>
      <w:pPr>
        <w:spacing w:after="100"/>
      </w:pPr>
      <w:r>
        <w:t xml:space="preserve"/>
      </w:r>
    </w:p>
    <w:p>
      <w:pPr>
        <w:pBdr>
          <w:bottom w:val="single" w:color="AAAAAA" w:sz="4" w:space="1"/>
        </w:pBdr>
        <w:spacing w:after="160" w:before="160"/>
      </w:pPr>
      <w:r>
        <w:t xml:space="preserve"/>
      </w:r>
    </w:p>
    <w:p>
      <w:pPr>
        <w:spacing w:after="40"/>
      </w:pPr>
      <w:r>
        <w:rPr>
          <w:rFonts w:ascii="Calibri" w:cs="Calibri" w:eastAsia="Calibri" w:hAnsi="Calibri"/>
          <w:b/>
          <w:bCs/>
          <w:sz w:val="32"/>
          <w:szCs w:val="32"/>
        </w:rPr>
        <w:t xml:space="preserve">Session 1</w:t>
      </w:r>
    </w:p>
    <w:p>
      <w:pPr>
        <w:spacing w:after="300"/>
      </w:pPr>
      <w:r>
        <w:rPr>
          <w:rFonts w:ascii="Calibri" w:cs="Calibri" w:eastAsia="Calibri" w:hAnsi="Calibri"/>
          <w:b/>
          <w:bCs/>
          <w:color w:val="404040"/>
          <w:sz w:val="26"/>
          <w:szCs w:val="26"/>
        </w:rPr>
        <w:t xml:space="preserve">Trading Entities Overview</w:t>
      </w:r>
    </w:p>
    <w:p>
      <w:pPr>
        <w:pStyle w:val="Heading2"/>
        <w:spacing w:after="80" w:before="200"/>
      </w:pPr>
      <w:r>
        <w:rPr>
          <w:rFonts w:ascii="Calibri" w:cs="Calibri" w:eastAsia="Calibri" w:hAnsi="Calibri"/>
          <w:b/>
          <w:bCs/>
          <w:sz w:val="24"/>
          <w:szCs w:val="24"/>
        </w:rPr>
        <w:t xml:space="preserve">Shell's business structure</w:t>
      </w:r>
    </w:p>
    <w:p>
      <w:pPr>
        <w:pStyle w:val="ListParagraph"/>
        <w:numPr>
          <w:ilvl w:val="0"/>
          <w:numId w:val="2"/>
        </w:numPr>
        <w:spacing w:after="80"/>
      </w:pPr>
      <w:r>
        <w:rPr>
          <w:rFonts w:ascii="Calibri" w:cs="Calibri" w:eastAsia="Calibri" w:hAnsi="Calibri"/>
          <w:sz w:val="22"/>
          <w:szCs w:val="22"/>
        </w:rPr>
        <w:t xml:space="preserve">Shell splits into Upstream (exploration and drilling) and Downstream (trading, marketing, retail, lubricants, refining).</w:t>
      </w:r>
    </w:p>
    <w:p>
      <w:pPr>
        <w:pStyle w:val="ListParagraph"/>
        <w:numPr>
          <w:ilvl w:val="0"/>
          <w:numId w:val="2"/>
        </w:numPr>
        <w:spacing w:after="80"/>
      </w:pPr>
      <w:r>
        <w:rPr>
          <w:rFonts w:ascii="Calibri" w:cs="Calibri" w:eastAsia="Calibri" w:hAnsi="Calibri"/>
          <w:sz w:val="22"/>
          <w:szCs w:val="22"/>
        </w:rPr>
        <w:t xml:space="preserve">Trading &amp; Supply (T&amp;S) sits within Downstream.</w:t>
      </w:r>
    </w:p>
    <w:p>
      <w:pPr>
        <w:spacing w:after="100"/>
      </w:pPr>
      <w:r>
        <w:t xml:space="preserve"/>
      </w:r>
    </w:p>
    <w:p>
      <w:pPr>
        <w:pStyle w:val="Heading2"/>
        <w:spacing w:after="80" w:before="200"/>
      </w:pPr>
      <w:r>
        <w:rPr>
          <w:rFonts w:ascii="Calibri" w:cs="Calibri" w:eastAsia="Calibri" w:hAnsi="Calibri"/>
          <w:b/>
          <w:bCs/>
          <w:sz w:val="24"/>
          <w:szCs w:val="24"/>
        </w:rPr>
        <w:t xml:space="preserve">Lines of business</w:t>
      </w:r>
    </w:p>
    <w:p>
      <w:pPr>
        <w:pStyle w:val="ListParagraph"/>
        <w:numPr>
          <w:ilvl w:val="0"/>
          <w:numId w:val="2"/>
        </w:numPr>
        <w:spacing w:after="80"/>
      </w:pPr>
      <w:r>
        <w:rPr>
          <w:rFonts w:ascii="Calibri" w:cs="Calibri" w:eastAsia="Calibri" w:hAnsi="Calibri"/>
          <w:sz w:val="22"/>
          <w:szCs w:val="22"/>
        </w:rPr>
        <w:t xml:space="preserve">Crude — raw oil. Key grades: Brent (North Sea), WTI (US), Basra (Iraq), Arab Light (Middle East), Urals (Russia).</w:t>
      </w:r>
    </w:p>
    <w:p>
      <w:pPr>
        <w:pStyle w:val="ListParagraph"/>
        <w:numPr>
          <w:ilvl w:val="0"/>
          <w:numId w:val="2"/>
        </w:numPr>
        <w:spacing w:after="80"/>
      </w:pPr>
      <w:r>
        <w:rPr>
          <w:rFonts w:ascii="Calibri" w:cs="Calibri" w:eastAsia="Calibri" w:hAnsi="Calibri"/>
          <w:sz w:val="22"/>
          <w:szCs w:val="22"/>
        </w:rPr>
        <w:t xml:space="preserve">Products — refined from crude: Naphtha, Kerosene/Jet Fuel, Gasoline, Diesel, Fuel Oil, LPG.</w:t>
      </w:r>
    </w:p>
    <w:p>
      <w:pPr>
        <w:pStyle w:val="ListParagraph"/>
        <w:numPr>
          <w:ilvl w:val="0"/>
          <w:numId w:val="2"/>
        </w:numPr>
        <w:spacing w:after="80"/>
      </w:pPr>
      <w:r>
        <w:rPr>
          <w:rFonts w:ascii="Calibri" w:cs="Calibri" w:eastAsia="Calibri" w:hAnsi="Calibri"/>
          <w:sz w:val="22"/>
          <w:szCs w:val="22"/>
        </w:rPr>
        <w:t xml:space="preserve">Gas — pipeline transport. LNG — liquefied, shipped by tanker, regasified at destination.</w:t>
      </w:r>
    </w:p>
    <w:p>
      <w:pPr>
        <w:pStyle w:val="ListParagraph"/>
        <w:numPr>
          <w:ilvl w:val="0"/>
          <w:numId w:val="2"/>
        </w:numPr>
        <w:spacing w:after="80"/>
      </w:pPr>
      <w:r>
        <w:rPr>
          <w:rFonts w:ascii="Calibri" w:cs="Calibri" w:eastAsia="Calibri" w:hAnsi="Calibri"/>
          <w:sz w:val="22"/>
          <w:szCs w:val="22"/>
        </w:rPr>
        <w:t xml:space="preserve">Power — Generation, Transmission, Distribution. Contracts use on-peak/off-peak terminology.</w:t>
      </w:r>
    </w:p>
    <w:p>
      <w:pPr>
        <w:pStyle w:val="ListParagraph"/>
        <w:numPr>
          <w:ilvl w:val="0"/>
          <w:numId w:val="2"/>
        </w:numPr>
        <w:spacing w:after="80"/>
      </w:pPr>
      <w:r>
        <w:rPr>
          <w:rFonts w:ascii="Calibri" w:cs="Calibri" w:eastAsia="Calibri" w:hAnsi="Calibri"/>
          <w:sz w:val="22"/>
          <w:szCs w:val="22"/>
        </w:rPr>
        <w:t xml:space="preserve">Renewables &amp; Emissions — wind/solar, and carbon credit trading.</w:t>
      </w:r>
    </w:p>
    <w:p>
      <w:pPr>
        <w:pStyle w:val="ListParagraph"/>
        <w:numPr>
          <w:ilvl w:val="0"/>
          <w:numId w:val="2"/>
        </w:numPr>
        <w:spacing w:after="80"/>
      </w:pPr>
      <w:r>
        <w:rPr>
          <w:rFonts w:ascii="Calibri" w:cs="Calibri" w:eastAsia="Calibri" w:hAnsi="Calibri"/>
          <w:sz w:val="22"/>
          <w:szCs w:val="22"/>
        </w:rPr>
        <w:t xml:space="preserve">Commercial Products — Supply &amp; Distribution (truck/rail) and Commercial Fuels.</w:t>
      </w:r>
    </w:p>
    <w:p>
      <w:pPr>
        <w:pStyle w:val="ListParagraph"/>
        <w:numPr>
          <w:ilvl w:val="0"/>
          <w:numId w:val="2"/>
        </w:numPr>
        <w:spacing w:after="80"/>
      </w:pPr>
      <w:r>
        <w:rPr>
          <w:rFonts w:ascii="Calibri" w:cs="Calibri" w:eastAsia="Calibri" w:hAnsi="Calibri"/>
          <w:sz w:val="22"/>
          <w:szCs w:val="22"/>
        </w:rPr>
        <w:t xml:space="preserve">STRM (Shell Trading Risk Management) — separate entity for paper (cash-settled) trades only, required by post-2008 US regulation.</w:t>
      </w:r>
    </w:p>
    <w:p>
      <w:pPr>
        <w:spacing w:after="100"/>
      </w:pPr>
      <w:r>
        <w:t xml:space="preserve"/>
      </w:r>
    </w:p>
    <w:p>
      <w:pPr>
        <w:pStyle w:val="Heading2"/>
        <w:spacing w:after="80" w:before="200"/>
      </w:pPr>
      <w:r>
        <w:rPr>
          <w:rFonts w:ascii="Calibri" w:cs="Calibri" w:eastAsia="Calibri" w:hAnsi="Calibri"/>
          <w:b/>
          <w:bCs/>
          <w:sz w:val="24"/>
          <w:szCs w:val="24"/>
        </w:rPr>
        <w:t xml:space="preserve">Regions and entities</w:t>
      </w:r>
    </w:p>
    <w:p>
      <w:pPr>
        <w:pStyle w:val="ListParagraph"/>
        <w:numPr>
          <w:ilvl w:val="0"/>
          <w:numId w:val="2"/>
        </w:numPr>
        <w:spacing w:after="80"/>
      </w:pPr>
      <w:r>
        <w:rPr>
          <w:rFonts w:ascii="Calibri" w:cs="Calibri" w:eastAsia="Calibri" w:hAnsi="Calibri"/>
          <w:sz w:val="22"/>
          <w:szCs w:val="22"/>
        </w:rPr>
        <w:t xml:space="preserve">NA (North America) and WONA (World Outside North America).</w:t>
      </w:r>
    </w:p>
    <w:p>
      <w:pPr>
        <w:pStyle w:val="ListParagraph"/>
        <w:numPr>
          <w:ilvl w:val="0"/>
          <w:numId w:val="2"/>
        </w:numPr>
        <w:spacing w:after="80"/>
      </w:pPr>
      <w:r>
        <w:rPr>
          <w:rFonts w:ascii="Calibri" w:cs="Calibri" w:eastAsia="Calibri" w:hAnsi="Calibri"/>
          <w:sz w:val="22"/>
          <w:szCs w:val="22"/>
        </w:rPr>
        <w:t xml:space="preserve">Each trading entity is specific to both a region AND a line of business, e.g. STUSCO = US Crude, STASCO = UK Crude, SIETCO = Singapore Crude/Gas hub.</w:t>
      </w:r>
    </w:p>
    <w:p>
      <w:pPr>
        <w:spacing w:after="100"/>
      </w:pPr>
      <w:r>
        <w:t xml:space="preserve"/>
      </w:r>
    </w:p>
    <w:p>
      <w:pPr>
        <w:pBdr>
          <w:bottom w:val="single" w:color="AAAAAA" w:sz="4" w:space="1"/>
        </w:pBdr>
        <w:spacing w:after="160" w:before="160"/>
      </w:pPr>
      <w:r>
        <w:t xml:space="preserve"/>
      </w:r>
    </w:p>
    <w:p>
      <w:pPr>
        <w:spacing w:after="40"/>
      </w:pPr>
      <w:r>
        <w:rPr>
          <w:rFonts w:ascii="Calibri" w:cs="Calibri" w:eastAsia="Calibri" w:hAnsi="Calibri"/>
          <w:b/>
          <w:bCs/>
          <w:sz w:val="32"/>
          <w:szCs w:val="32"/>
        </w:rPr>
        <w:t xml:space="preserve">Session 2</w:t>
      </w:r>
    </w:p>
    <w:p>
      <w:pPr>
        <w:spacing w:after="300"/>
      </w:pPr>
      <w:r>
        <w:rPr>
          <w:rFonts w:ascii="Calibri" w:cs="Calibri" w:eastAsia="Calibri" w:hAnsi="Calibri"/>
          <w:b/>
          <w:bCs/>
          <w:color w:val="404040"/>
          <w:sz w:val="26"/>
          <w:szCs w:val="26"/>
        </w:rPr>
        <w:t xml:space="preserve">Understanding Credit Exposure</w:t>
      </w:r>
    </w:p>
    <w:p>
      <w:pPr>
        <w:pStyle w:val="Heading2"/>
        <w:spacing w:after="80" w:before="200"/>
      </w:pPr>
      <w:r>
        <w:rPr>
          <w:rFonts w:ascii="Calibri" w:cs="Calibri" w:eastAsia="Calibri" w:hAnsi="Calibri"/>
          <w:b/>
          <w:bCs/>
          <w:sz w:val="24"/>
          <w:szCs w:val="24"/>
        </w:rPr>
        <w:t xml:space="preserve">Core formula</w:t>
      </w:r>
    </w:p>
    <w:p>
      <w:pPr>
        <w:spacing w:after="100"/>
      </w:pPr>
      <w:r>
        <w:rPr>
          <w:rFonts w:ascii="Calibri" w:cs="Calibri" w:eastAsia="Calibri" w:hAnsi="Calibri"/>
          <w:sz w:val="22"/>
          <w:szCs w:val="22"/>
        </w:rPr>
        <w:t xml:space="preserve">Net Exposure = Gross Exposure − Collateral</w:t>
      </w:r>
    </w:p>
    <w:p>
      <w:pPr>
        <w:spacing w:after="100"/>
      </w:pPr>
      <w:r>
        <w:rPr>
          <w:rFonts w:ascii="Calibri" w:cs="Calibri" w:eastAsia="Calibri" w:hAnsi="Calibri"/>
          <w:sz w:val="22"/>
          <w:szCs w:val="22"/>
        </w:rPr>
        <w:t xml:space="preserve">Gross Exposure = AR + UR − AP − UP + CMU + FMTM</w:t>
      </w:r>
    </w:p>
    <w:p>
      <w:pPr>
        <w:spacing w:after="100"/>
      </w:pPr>
      <w:r>
        <w:t xml:space="preserve"/>
      </w:r>
    </w:p>
    <w:p>
      <w:pPr>
        <w:pStyle w:val="Heading2"/>
        <w:spacing w:after="80" w:before="200"/>
      </w:pPr>
      <w:r>
        <w:rPr>
          <w:rFonts w:ascii="Calibri" w:cs="Calibri" w:eastAsia="Calibri" w:hAnsi="Calibri"/>
          <w:b/>
          <w:bCs/>
          <w:sz w:val="24"/>
          <w:szCs w:val="24"/>
        </w:rPr>
        <w:t xml:space="preserve">Two types of credit risk</w:t>
      </w:r>
    </w:p>
    <w:p>
      <w:pPr>
        <w:pStyle w:val="ListParagraph"/>
        <w:numPr>
          <w:ilvl w:val="0"/>
          <w:numId w:val="2"/>
        </w:numPr>
        <w:spacing w:after="80"/>
      </w:pPr>
      <w:r>
        <w:rPr>
          <w:rFonts w:ascii="Calibri" w:cs="Calibri" w:eastAsia="Calibri" w:hAnsi="Calibri"/>
          <w:sz w:val="22"/>
          <w:szCs w:val="22"/>
        </w:rPr>
        <w:t xml:space="preserve">Performance Risk — price not yet fixed, counterparty walks away before delivery.</w:t>
      </w:r>
    </w:p>
    <w:p>
      <w:pPr>
        <w:pStyle w:val="ListParagraph"/>
        <w:numPr>
          <w:ilvl w:val="0"/>
          <w:numId w:val="2"/>
        </w:numPr>
        <w:spacing w:after="80"/>
      </w:pPr>
      <w:r>
        <w:rPr>
          <w:rFonts w:ascii="Calibri" w:cs="Calibri" w:eastAsia="Calibri" w:hAnsi="Calibri"/>
          <w:sz w:val="22"/>
          <w:szCs w:val="22"/>
        </w:rPr>
        <w:t xml:space="preserve">Payment / Settlement Risk — price fixed, counterparty fails to pay the invoice.</w:t>
      </w:r>
    </w:p>
    <w:p>
      <w:pPr>
        <w:spacing w:after="100"/>
      </w:pPr>
      <w:r>
        <w:t xml:space="preserve"/>
      </w:r>
    </w:p>
    <w:p>
      <w:pPr>
        <w:pStyle w:val="Heading2"/>
        <w:spacing w:after="80" w:before="200"/>
      </w:pPr>
      <w:r>
        <w:rPr>
          <w:rFonts w:ascii="Calibri" w:cs="Calibri" w:eastAsia="Calibri" w:hAnsi="Calibri"/>
          <w:b/>
          <w:bCs/>
          <w:sz w:val="24"/>
          <w:szCs w:val="24"/>
        </w:rPr>
        <w:t xml:space="preserve">Exposure components</w:t>
      </w:r>
    </w:p>
    <w:p>
      <w:pPr>
        <w:pStyle w:val="ListParagraph"/>
        <w:numPr>
          <w:ilvl w:val="0"/>
          <w:numId w:val="2"/>
        </w:numPr>
        <w:spacing w:after="80"/>
      </w:pPr>
      <w:r>
        <w:rPr>
          <w:rFonts w:ascii="Calibri" w:cs="Calibri" w:eastAsia="Calibri" w:hAnsi="Calibri"/>
          <w:sz w:val="22"/>
          <w:szCs w:val="22"/>
        </w:rPr>
        <w:t xml:space="preserve">AR (Accounts Receivable) — invoiced amount owed to Shell.</w:t>
      </w:r>
    </w:p>
    <w:p>
      <w:pPr>
        <w:pStyle w:val="ListParagraph"/>
        <w:numPr>
          <w:ilvl w:val="0"/>
          <w:numId w:val="2"/>
        </w:numPr>
        <w:spacing w:after="80"/>
      </w:pPr>
      <w:r>
        <w:rPr>
          <w:rFonts w:ascii="Calibri" w:cs="Calibri" w:eastAsia="Calibri" w:hAnsi="Calibri"/>
          <w:sz w:val="22"/>
          <w:szCs w:val="22"/>
        </w:rPr>
        <w:t xml:space="preserve">AP (Accounts Payable) — invoiced amount Shell owes.</w:t>
      </w:r>
    </w:p>
    <w:p>
      <w:pPr>
        <w:pStyle w:val="ListParagraph"/>
        <w:numPr>
          <w:ilvl w:val="0"/>
          <w:numId w:val="2"/>
        </w:numPr>
        <w:spacing w:after="80"/>
      </w:pPr>
      <w:r>
        <w:rPr>
          <w:rFonts w:ascii="Calibri" w:cs="Calibri" w:eastAsia="Calibri" w:hAnsi="Calibri"/>
          <w:sz w:val="22"/>
          <w:szCs w:val="22"/>
        </w:rPr>
        <w:t xml:space="preserve">UR (Unbilled Receivable) — delivered but not yet invoiced.</w:t>
      </w:r>
    </w:p>
    <w:p>
      <w:pPr>
        <w:pStyle w:val="ListParagraph"/>
        <w:numPr>
          <w:ilvl w:val="0"/>
          <w:numId w:val="2"/>
        </w:numPr>
        <w:spacing w:after="80"/>
      </w:pPr>
      <w:r>
        <w:rPr>
          <w:rFonts w:ascii="Calibri" w:cs="Calibri" w:eastAsia="Calibri" w:hAnsi="Calibri"/>
          <w:sz w:val="22"/>
          <w:szCs w:val="22"/>
        </w:rPr>
        <w:t xml:space="preserve">UP (Unbilled Payable) — received but not yet invoiced.</w:t>
      </w:r>
    </w:p>
    <w:p>
      <w:pPr>
        <w:pStyle w:val="ListParagraph"/>
        <w:numPr>
          <w:ilvl w:val="0"/>
          <w:numId w:val="2"/>
        </w:numPr>
        <w:spacing w:after="80"/>
      </w:pPr>
      <w:r>
        <w:rPr>
          <w:rFonts w:ascii="Calibri" w:cs="Calibri" w:eastAsia="Calibri" w:hAnsi="Calibri"/>
          <w:sz w:val="22"/>
          <w:szCs w:val="22"/>
        </w:rPr>
        <w:t xml:space="preserve">CMU (Current Month Undelivered) — pipeline gas, current month volume not yet delivered.</w:t>
      </w:r>
    </w:p>
    <w:p>
      <w:pPr>
        <w:pStyle w:val="ListParagraph"/>
        <w:numPr>
          <w:ilvl w:val="0"/>
          <w:numId w:val="2"/>
        </w:numPr>
        <w:spacing w:after="80"/>
      </w:pPr>
      <w:r>
        <w:rPr>
          <w:rFonts w:ascii="Calibri" w:cs="Calibri" w:eastAsia="Calibri" w:hAnsi="Calibri"/>
          <w:sz w:val="22"/>
          <w:szCs w:val="22"/>
        </w:rPr>
        <w:t xml:space="preserve">FMTM (Forward Mark to Market) — value of open forward positions, (Market Price − Contract Price) × Volume.</w:t>
      </w:r>
    </w:p>
    <w:p>
      <w:pPr>
        <w:spacing w:after="100"/>
      </w:pPr>
      <w:r>
        <w:t xml:space="preserve"/>
      </w:r>
    </w:p>
    <w:p>
      <w:pPr>
        <w:pStyle w:val="Heading2"/>
        <w:spacing w:after="80" w:before="200"/>
      </w:pPr>
      <w:r>
        <w:rPr>
          <w:rFonts w:ascii="Calibri" w:cs="Calibri" w:eastAsia="Calibri" w:hAnsi="Calibri"/>
          <w:b/>
          <w:bCs/>
          <w:sz w:val="24"/>
          <w:szCs w:val="24"/>
        </w:rPr>
        <w:t xml:space="preserve">Mark to Market (MtM)</w:t>
      </w:r>
    </w:p>
    <w:p>
      <w:pPr>
        <w:pStyle w:val="ListParagraph"/>
        <w:numPr>
          <w:ilvl w:val="0"/>
          <w:numId w:val="2"/>
        </w:numPr>
        <w:spacing w:after="80"/>
      </w:pPr>
      <w:r>
        <w:rPr>
          <w:rFonts w:ascii="Calibri" w:cs="Calibri" w:eastAsia="Calibri" w:hAnsi="Calibri"/>
          <w:sz w:val="22"/>
          <w:szCs w:val="22"/>
        </w:rPr>
        <w:t xml:space="preserve">Always zero on trade date. Floating MtM until contract price is fixed, then crystallised MtM until payment.</w:t>
      </w:r>
    </w:p>
    <w:p>
      <w:pPr>
        <w:pStyle w:val="ListParagraph"/>
        <w:numPr>
          <w:ilvl w:val="0"/>
          <w:numId w:val="2"/>
        </w:numPr>
        <w:spacing w:after="80"/>
      </w:pPr>
      <w:r>
        <w:rPr>
          <w:rFonts w:ascii="Calibri" w:cs="Calibri" w:eastAsia="Calibri" w:hAnsi="Calibri"/>
          <w:sz w:val="22"/>
          <w:szCs w:val="22"/>
        </w:rPr>
        <w:t xml:space="preserve">In the money = Shell would receive money = credit risk to Shell.</w:t>
      </w:r>
    </w:p>
    <w:p>
      <w:pPr>
        <w:pStyle w:val="ListParagraph"/>
        <w:numPr>
          <w:ilvl w:val="0"/>
          <w:numId w:val="2"/>
        </w:numPr>
        <w:spacing w:after="80"/>
      </w:pPr>
      <w:r>
        <w:rPr>
          <w:rFonts w:ascii="Calibri" w:cs="Calibri" w:eastAsia="Calibri" w:hAnsi="Calibri"/>
          <w:sz w:val="22"/>
          <w:szCs w:val="22"/>
        </w:rPr>
        <w:t xml:space="preserve">Out of the money = Shell would owe money = performance risk to the counterparty.</w:t>
      </w:r>
    </w:p>
    <w:p>
      <w:pPr>
        <w:spacing w:after="100"/>
      </w:pPr>
      <w:r>
        <w:t xml:space="preserve"/>
      </w:r>
    </w:p>
    <w:p>
      <w:pPr>
        <w:pStyle w:val="Heading2"/>
        <w:spacing w:after="80" w:before="200"/>
      </w:pPr>
      <w:r>
        <w:rPr>
          <w:rFonts w:ascii="Calibri" w:cs="Calibri" w:eastAsia="Calibri" w:hAnsi="Calibri"/>
          <w:b/>
          <w:bCs/>
          <w:sz w:val="24"/>
          <w:szCs w:val="24"/>
        </w:rPr>
        <w:t xml:space="preserve">Collateral types</w:t>
      </w:r>
    </w:p>
    <w:p>
      <w:pPr>
        <w:pStyle w:val="ListParagraph"/>
        <w:numPr>
          <w:ilvl w:val="0"/>
          <w:numId w:val="2"/>
        </w:numPr>
        <w:spacing w:after="80"/>
      </w:pPr>
      <w:r>
        <w:rPr>
          <w:rFonts w:ascii="Calibri" w:cs="Calibri" w:eastAsia="Calibri" w:hAnsi="Calibri"/>
          <w:sz w:val="22"/>
          <w:szCs w:val="22"/>
        </w:rPr>
        <w:t xml:space="preserve">Cash Collateral, Letter of Credit / Bank Guarantee, Other (bonds, parent guarantees).</w:t>
      </w:r>
    </w:p>
    <w:p>
      <w:pPr>
        <w:spacing w:after="100"/>
      </w:pPr>
      <w:r>
        <w:t xml:space="preserve"/>
      </w:r>
    </w:p>
    <w:p>
      <w:pPr>
        <w:pStyle w:val="Heading2"/>
        <w:spacing w:after="80" w:before="200"/>
      </w:pPr>
      <w:r>
        <w:rPr>
          <w:rFonts w:ascii="Calibri" w:cs="Calibri" w:eastAsia="Calibri" w:hAnsi="Calibri"/>
          <w:b/>
          <w:bCs/>
          <w:sz w:val="24"/>
          <w:szCs w:val="24"/>
        </w:rPr>
        <w:t xml:space="preserve">Credit metrics</w:t>
      </w:r>
    </w:p>
    <w:p>
      <w:pPr>
        <w:pStyle w:val="ListParagraph"/>
        <w:numPr>
          <w:ilvl w:val="0"/>
          <w:numId w:val="2"/>
        </w:numPr>
        <w:spacing w:after="80"/>
      </w:pPr>
      <w:r>
        <w:rPr>
          <w:rFonts w:ascii="Calibri" w:cs="Calibri" w:eastAsia="Calibri" w:hAnsi="Calibri"/>
          <w:sz w:val="22"/>
          <w:szCs w:val="22"/>
        </w:rPr>
        <w:t xml:space="preserve">ECL (Expected Credit Loss) = Net Exposure × Default Rate × Loss Given Default (LGD). LGD fixed at 60% at Shell. Required by IFRS 9.</w:t>
      </w:r>
    </w:p>
    <w:p>
      <w:pPr>
        <w:pStyle w:val="ListParagraph"/>
        <w:numPr>
          <w:ilvl w:val="0"/>
          <w:numId w:val="2"/>
        </w:numPr>
        <w:spacing w:after="80"/>
      </w:pPr>
      <w:r>
        <w:rPr>
          <w:rFonts w:ascii="Calibri" w:cs="Calibri" w:eastAsia="Calibri" w:hAnsi="Calibri"/>
          <w:sz w:val="22"/>
          <w:szCs w:val="22"/>
        </w:rPr>
        <w:t xml:space="preserve">Credit Reserves — adjustment applied to Mark-to-Market value to reflect counterparty credit risk.</w:t>
      </w:r>
    </w:p>
    <w:p>
      <w:pPr>
        <w:spacing w:after="100"/>
      </w:pPr>
      <w:r>
        <w:t xml:space="preserve"/>
      </w:r>
    </w:p>
    <w:p>
      <w:pPr>
        <w:pBdr>
          <w:bottom w:val="single" w:color="AAAAAA" w:sz="4" w:space="1"/>
        </w:pBdr>
        <w:spacing w:after="160" w:before="160"/>
      </w:pPr>
      <w:r>
        <w:t xml:space="preserve"/>
      </w:r>
    </w:p>
    <w:p>
      <w:pPr>
        <w:spacing w:after="40"/>
      </w:pPr>
      <w:r>
        <w:rPr>
          <w:rFonts w:ascii="Calibri" w:cs="Calibri" w:eastAsia="Calibri" w:hAnsi="Calibri"/>
          <w:b/>
          <w:bCs/>
          <w:sz w:val="32"/>
          <w:szCs w:val="32"/>
        </w:rPr>
        <w:t xml:space="preserve">Session 3</w:t>
      </w:r>
    </w:p>
    <w:p>
      <w:pPr>
        <w:spacing w:after="300"/>
      </w:pPr>
      <w:r>
        <w:rPr>
          <w:rFonts w:ascii="Calibri" w:cs="Calibri" w:eastAsia="Calibri" w:hAnsi="Calibri"/>
          <w:b/>
          <w:bCs/>
          <w:color w:val="404040"/>
          <w:sz w:val="26"/>
          <w:szCs w:val="26"/>
        </w:rPr>
        <w:t xml:space="preserve">Overview of GCAP Architecture</w:t>
      </w:r>
    </w:p>
    <w:p>
      <w:pPr>
        <w:pStyle w:val="Heading2"/>
        <w:spacing w:after="80" w:before="200"/>
      </w:pPr>
      <w:r>
        <w:rPr>
          <w:rFonts w:ascii="Calibri" w:cs="Calibri" w:eastAsia="Calibri" w:hAnsi="Calibri"/>
          <w:b/>
          <w:bCs/>
          <w:sz w:val="24"/>
          <w:szCs w:val="24"/>
        </w:rPr>
        <w:t xml:space="preserve">Credit limits vs exposure</w:t>
      </w:r>
    </w:p>
    <w:p>
      <w:pPr>
        <w:pStyle w:val="ListParagraph"/>
        <w:numPr>
          <w:ilvl w:val="0"/>
          <w:numId w:val="2"/>
        </w:numPr>
        <w:spacing w:after="80"/>
      </w:pPr>
      <w:r>
        <w:rPr>
          <w:rFonts w:ascii="Calibri" w:cs="Calibri" w:eastAsia="Calibri" w:hAnsi="Calibri"/>
          <w:sz w:val="22"/>
          <w:szCs w:val="22"/>
        </w:rPr>
        <w:t xml:space="preserve">Limit Availability = Credit Limit − Net Exposure. Tells traders how much room they have for new deals.</w:t>
      </w:r>
    </w:p>
    <w:p>
      <w:pPr>
        <w:pStyle w:val="ListParagraph"/>
        <w:numPr>
          <w:ilvl w:val="0"/>
          <w:numId w:val="2"/>
        </w:numPr>
        <w:spacing w:after="80"/>
      </w:pPr>
      <w:r>
        <w:rPr>
          <w:rFonts w:ascii="Calibri" w:cs="Calibri" w:eastAsia="Calibri" w:hAnsi="Calibri"/>
          <w:sz w:val="22"/>
          <w:szCs w:val="22"/>
        </w:rPr>
        <w:t xml:space="preserve">LAR (Limit Availability Report) — produced daily, checked every morning by traders.</w:t>
      </w:r>
    </w:p>
    <w:p>
      <w:pPr>
        <w:spacing w:after="100"/>
      </w:pPr>
      <w:r>
        <w:t xml:space="preserve"/>
      </w:r>
    </w:p>
    <w:p>
      <w:pPr>
        <w:pStyle w:val="Heading2"/>
        <w:spacing w:after="80" w:before="200"/>
      </w:pPr>
      <w:r>
        <w:rPr>
          <w:rFonts w:ascii="Calibri" w:cs="Calibri" w:eastAsia="Calibri" w:hAnsi="Calibri"/>
          <w:b/>
          <w:bCs/>
          <w:sz w:val="24"/>
          <w:szCs w:val="24"/>
        </w:rPr>
        <w:t xml:space="preserve">What GCAP is</w:t>
      </w:r>
    </w:p>
    <w:p>
      <w:pPr>
        <w:pStyle w:val="ListParagraph"/>
        <w:numPr>
          <w:ilvl w:val="0"/>
          <w:numId w:val="2"/>
        </w:numPr>
        <w:spacing w:after="80"/>
      </w:pPr>
      <w:r>
        <w:rPr>
          <w:rFonts w:ascii="Calibri" w:cs="Calibri" w:eastAsia="Calibri" w:hAnsi="Calibri"/>
          <w:sz w:val="22"/>
          <w:szCs w:val="22"/>
        </w:rPr>
        <w:t xml:space="preserve">GCAP = Global Credit Analytics Platform. Replaced the old on-premise GEMS system in 2020.</w:t>
      </w:r>
    </w:p>
    <w:p>
      <w:pPr>
        <w:pStyle w:val="ListParagraph"/>
        <w:numPr>
          <w:ilvl w:val="0"/>
          <w:numId w:val="2"/>
        </w:numPr>
        <w:spacing w:after="80"/>
      </w:pPr>
      <w:r>
        <w:rPr>
          <w:rFonts w:ascii="Calibri" w:cs="Calibri" w:eastAsia="Calibri" w:hAnsi="Calibri"/>
          <w:sz w:val="22"/>
          <w:szCs w:val="22"/>
        </w:rPr>
        <w:t xml:space="preserve">GCAP is a downstream recipient of data — it does not create any trade or invoice data itself.</w:t>
      </w:r>
    </w:p>
    <w:p>
      <w:pPr>
        <w:pStyle w:val="ListParagraph"/>
        <w:numPr>
          <w:ilvl w:val="0"/>
          <w:numId w:val="2"/>
        </w:numPr>
        <w:spacing w:after="80"/>
      </w:pPr>
      <w:r>
        <w:rPr>
          <w:rFonts w:ascii="Calibri" w:cs="Calibri" w:eastAsia="Calibri" w:hAnsi="Calibri"/>
          <w:sz w:val="22"/>
          <w:szCs w:val="22"/>
        </w:rPr>
        <w:t xml:space="preserve">Three environments: DEV (build), UAT (test), PROD (live — IT deploys, but CDA owns the logic and is responsible for accuracy).</w:t>
      </w:r>
    </w:p>
    <w:p>
      <w:pPr>
        <w:pStyle w:val="ListParagraph"/>
        <w:numPr>
          <w:ilvl w:val="0"/>
          <w:numId w:val="2"/>
        </w:numPr>
        <w:spacing w:after="80"/>
      </w:pPr>
      <w:r>
        <w:rPr>
          <w:rFonts w:ascii="Calibri" w:cs="Calibri" w:eastAsia="Calibri" w:hAnsi="Calibri"/>
          <w:sz w:val="22"/>
          <w:szCs w:val="22"/>
        </w:rPr>
        <w:t xml:space="preserve">Reporting runs T+1, not live. On a good day the global report is ready by ~9pm India / 9:30am Houston / 3-4pm UK.</w:t>
      </w:r>
    </w:p>
    <w:p>
      <w:pPr>
        <w:spacing w:after="100"/>
      </w:pPr>
      <w:r>
        <w:t xml:space="preserve"/>
      </w:r>
    </w:p>
    <w:p>
      <w:pPr>
        <w:pStyle w:val="Heading2"/>
        <w:spacing w:after="80" w:before="200"/>
      </w:pPr>
      <w:r>
        <w:rPr>
          <w:rFonts w:ascii="Calibri" w:cs="Calibri" w:eastAsia="Calibri" w:hAnsi="Calibri"/>
          <w:b/>
          <w:bCs/>
          <w:sz w:val="24"/>
          <w:szCs w:val="24"/>
        </w:rPr>
        <w:t xml:space="preserve">GCAP's four steps</w:t>
      </w:r>
    </w:p>
    <w:p>
      <w:pPr>
        <w:pStyle w:val="ListParagraph"/>
        <w:numPr>
          <w:ilvl w:val="0"/>
          <w:numId w:val="2"/>
        </w:numPr>
        <w:spacing w:after="80"/>
      </w:pPr>
      <w:r>
        <w:rPr>
          <w:rFonts w:ascii="Calibri" w:cs="Calibri" w:eastAsia="Calibri" w:hAnsi="Calibri"/>
          <w:b/>
          <w:bCs/>
          <w:sz w:val="22"/>
          <w:szCs w:val="22"/>
        </w:rPr>
        <w:t xml:space="preserve">Step 1: </w:t>
      </w:r>
      <w:r>
        <w:rPr>
          <w:rFonts w:ascii="Calibri" w:cs="Calibri" w:eastAsia="Calibri" w:hAnsi="Calibri"/>
          <w:sz w:val="22"/>
          <w:szCs w:val="22"/>
        </w:rPr>
        <w:t xml:space="preserve">Step 1 — Extract data from source systems.</w:t>
      </w:r>
    </w:p>
    <w:p>
      <w:pPr>
        <w:pStyle w:val="ListParagraph"/>
        <w:numPr>
          <w:ilvl w:val="0"/>
          <w:numId w:val="2"/>
        </w:numPr>
        <w:spacing w:after="80"/>
      </w:pPr>
      <w:r>
        <w:rPr>
          <w:rFonts w:ascii="Calibri" w:cs="Calibri" w:eastAsia="Calibri" w:hAnsi="Calibri"/>
          <w:b/>
          <w:bCs/>
          <w:sz w:val="22"/>
          <w:szCs w:val="22"/>
        </w:rPr>
        <w:t xml:space="preserve">Step 2: </w:t>
      </w:r>
      <w:r>
        <w:rPr>
          <w:rFonts w:ascii="Calibri" w:cs="Calibri" w:eastAsia="Calibri" w:hAnsi="Calibri"/>
          <w:sz w:val="22"/>
          <w:szCs w:val="22"/>
        </w:rPr>
        <w:t xml:space="preserve">Step 2 — Transform and calculate exposure per line of business.</w:t>
      </w:r>
    </w:p>
    <w:p>
      <w:pPr>
        <w:pStyle w:val="ListParagraph"/>
        <w:numPr>
          <w:ilvl w:val="0"/>
          <w:numId w:val="2"/>
        </w:numPr>
        <w:spacing w:after="80"/>
      </w:pPr>
      <w:r>
        <w:rPr>
          <w:rFonts w:ascii="Calibri" w:cs="Calibri" w:eastAsia="Calibri" w:hAnsi="Calibri"/>
          <w:b/>
          <w:bCs/>
          <w:sz w:val="22"/>
          <w:szCs w:val="22"/>
        </w:rPr>
        <w:t xml:space="preserve">Step 3: </w:t>
      </w:r>
      <w:r>
        <w:rPr>
          <w:rFonts w:ascii="Calibri" w:cs="Calibri" w:eastAsia="Calibri" w:hAnsi="Calibri"/>
          <w:sz w:val="22"/>
          <w:szCs w:val="22"/>
        </w:rPr>
        <w:t xml:space="preserve">Step 3 — Consolidate into one global view.</w:t>
      </w:r>
    </w:p>
    <w:p>
      <w:pPr>
        <w:pStyle w:val="ListParagraph"/>
        <w:numPr>
          <w:ilvl w:val="0"/>
          <w:numId w:val="2"/>
        </w:numPr>
        <w:spacing w:after="80"/>
      </w:pPr>
      <w:r>
        <w:rPr>
          <w:rFonts w:ascii="Calibri" w:cs="Calibri" w:eastAsia="Calibri" w:hAnsi="Calibri"/>
          <w:b/>
          <w:bCs/>
          <w:sz w:val="22"/>
          <w:szCs w:val="22"/>
        </w:rPr>
        <w:t xml:space="preserve">Step 4: </w:t>
      </w:r>
      <w:r>
        <w:rPr>
          <w:rFonts w:ascii="Calibri" w:cs="Calibri" w:eastAsia="Calibri" w:hAnsi="Calibri"/>
          <w:sz w:val="22"/>
          <w:szCs w:val="22"/>
        </w:rPr>
        <w:t xml:space="preserve">Step 4 — Calculate credit metrics (ECL, Reserves, Limit Availability).</w:t>
      </w:r>
    </w:p>
    <w:p>
      <w:pPr>
        <w:spacing w:after="100"/>
      </w:pPr>
      <w:r>
        <w:t xml:space="preserve"/>
      </w:r>
    </w:p>
    <w:p>
      <w:pPr>
        <w:pStyle w:val="Heading2"/>
        <w:spacing w:after="80" w:before="200"/>
      </w:pPr>
      <w:r>
        <w:rPr>
          <w:rFonts w:ascii="Calibri" w:cs="Calibri" w:eastAsia="Calibri" w:hAnsi="Calibri"/>
          <w:b/>
          <w:bCs/>
          <w:sz w:val="24"/>
          <w:szCs w:val="24"/>
        </w:rPr>
        <w:t xml:space="preserve">Source systems by line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Line of Business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Source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NA Crude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v11 → ODW (Oil Data Warehouse)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NA &amp; Canada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v14 → PDW (Products Data Warehouse)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WONA Crude &amp;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DEX (legacy mainframe) → Energy Credit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LNG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v18 → Energy Credit (future: EDW via Project ARC)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SENA Gas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 Synapse → Credit Mart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SENA Power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Nucleus → Credit Mart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WONA Gas &amp; Power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Align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Commercial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GSAP / P-94</w:t>
            </w:r>
          </w:p>
        </w:tc>
      </w:tr>
    </w:tbl>
    <w:p>
      <w:pPr>
        <w:spacing w:after="100"/>
      </w:pPr>
      <w:r>
        <w:t xml:space="preserve"/>
      </w:r>
    </w:p>
    <w:p>
      <w:pPr>
        <w:pStyle w:val="ListParagraph"/>
        <w:numPr>
          <w:ilvl w:val="0"/>
          <w:numId w:val="2"/>
        </w:numPr>
        <w:spacing w:after="80"/>
      </w:pPr>
      <w:r>
        <w:rPr>
          <w:rFonts w:ascii="Calibri" w:cs="Calibri" w:eastAsia="Calibri" w:hAnsi="Calibri"/>
          <w:sz w:val="22"/>
          <w:szCs w:val="22"/>
        </w:rPr>
        <w:t xml:space="preserve">SAP instances for invoice data: PAT/P-80 (WONA + Americas Gas &amp; Power), P-81 (NA Crude &amp; Products), GSAP/P-94 (Commercial Products).</w:t>
      </w:r>
    </w:p>
    <w:p>
      <w:pPr>
        <w:pStyle w:val="ListParagraph"/>
        <w:numPr>
          <w:ilvl w:val="0"/>
          <w:numId w:val="2"/>
        </w:numPr>
        <w:spacing w:after="80"/>
      </w:pPr>
      <w:r>
        <w:rPr>
          <w:rFonts w:ascii="Calibri" w:cs="Calibri" w:eastAsia="Calibri" w:hAnsi="Calibri"/>
          <w:sz w:val="22"/>
          <w:szCs w:val="22"/>
        </w:rPr>
        <w:t xml:space="preserve">Future state — GCS (Global Credit Solution) will replace Energy Credit with Cube Logic, targeting mid/late 2025. ~90% of GCAP logic will migrate across.</w:t>
      </w:r>
    </w:p>
    <w:p>
      <w:pPr>
        <w:spacing w:after="100"/>
      </w:pPr>
      <w:r>
        <w:t xml:space="preserve"/>
      </w:r>
    </w:p>
    <w:p>
      <w:pPr>
        <w:pBdr>
          <w:bottom w:val="single" w:color="AAAAAA" w:sz="4" w:space="1"/>
        </w:pBdr>
        <w:spacing w:after="160" w:before="160"/>
      </w:pPr>
      <w:r>
        <w:t xml:space="preserve"/>
      </w:r>
    </w:p>
    <w:p>
      <w:pPr>
        <w:spacing w:after="40"/>
      </w:pPr>
      <w:r>
        <w:rPr>
          <w:rFonts w:ascii="Calibri" w:cs="Calibri" w:eastAsia="Calibri" w:hAnsi="Calibri"/>
          <w:b/>
          <w:bCs/>
          <w:sz w:val="32"/>
          <w:szCs w:val="32"/>
        </w:rPr>
        <w:t xml:space="preserve">Session 4</w:t>
      </w:r>
    </w:p>
    <w:p>
      <w:pPr>
        <w:spacing w:after="300"/>
      </w:pPr>
      <w:r>
        <w:rPr>
          <w:rFonts w:ascii="Calibri" w:cs="Calibri" w:eastAsia="Calibri" w:hAnsi="Calibri"/>
          <w:b/>
          <w:bCs/>
          <w:color w:val="404040"/>
          <w:sz w:val="26"/>
          <w:szCs w:val="26"/>
        </w:rPr>
        <w:t xml:space="preserve">Overview of GCAP Reports &amp; Daily Operations</w:t>
      </w:r>
    </w:p>
    <w:p>
      <w:pPr>
        <w:pStyle w:val="Heading2"/>
        <w:spacing w:after="80" w:before="200"/>
      </w:pPr>
      <w:r>
        <w:rPr>
          <w:rFonts w:ascii="Calibri" w:cs="Calibri" w:eastAsia="Calibri" w:hAnsi="Calibri"/>
          <w:b/>
          <w:bCs/>
          <w:sz w:val="24"/>
          <w:szCs w:val="24"/>
        </w:rPr>
        <w:t xml:space="preserve">GCAP job structure</w:t>
      </w:r>
    </w:p>
    <w:p>
      <w:pPr>
        <w:pStyle w:val="ListParagraph"/>
        <w:numPr>
          <w:ilvl w:val="0"/>
          <w:numId w:val="2"/>
        </w:numPr>
        <w:spacing w:after="80"/>
      </w:pPr>
      <w:r>
        <w:rPr>
          <w:rFonts w:ascii="Calibri" w:cs="Calibri" w:eastAsia="Calibri" w:hAnsi="Calibri"/>
          <w:b/>
          <w:bCs/>
          <w:sz w:val="22"/>
          <w:szCs w:val="22"/>
        </w:rPr>
        <w:t xml:space="preserve">Type A: </w:t>
      </w:r>
      <w:r>
        <w:rPr>
          <w:rFonts w:ascii="Calibri" w:cs="Calibri" w:eastAsia="Calibri" w:hAnsi="Calibri"/>
          <w:sz w:val="22"/>
          <w:szCs w:val="22"/>
        </w:rPr>
        <w:t xml:space="preserve">Type A — Source Data Load. Pulls raw data into GCAP. If delayed, everything downstream is delayed.</w:t>
      </w:r>
    </w:p>
    <w:p>
      <w:pPr>
        <w:pStyle w:val="ListParagraph"/>
        <w:numPr>
          <w:ilvl w:val="0"/>
          <w:numId w:val="2"/>
        </w:numPr>
        <w:spacing w:after="80"/>
      </w:pPr>
      <w:r>
        <w:rPr>
          <w:rFonts w:ascii="Calibri" w:cs="Calibri" w:eastAsia="Calibri" w:hAnsi="Calibri"/>
          <w:b/>
          <w:bCs/>
          <w:sz w:val="22"/>
          <w:szCs w:val="22"/>
        </w:rPr>
        <w:t xml:space="preserve">Type B: </w:t>
      </w:r>
      <w:r>
        <w:rPr>
          <w:rFonts w:ascii="Calibri" w:cs="Calibri" w:eastAsia="Calibri" w:hAnsi="Calibri"/>
          <w:sz w:val="22"/>
          <w:szCs w:val="22"/>
        </w:rPr>
        <w:t xml:space="preserve">Type B — Daily Data Load. Transforms data and calculates exposure per line of business, producing a Credit Review table.</w:t>
      </w:r>
    </w:p>
    <w:p>
      <w:pPr>
        <w:pStyle w:val="ListParagraph"/>
        <w:numPr>
          <w:ilvl w:val="0"/>
          <w:numId w:val="2"/>
        </w:numPr>
        <w:spacing w:after="80"/>
      </w:pPr>
      <w:r>
        <w:rPr>
          <w:rFonts w:ascii="Calibri" w:cs="Calibri" w:eastAsia="Calibri" w:hAnsi="Calibri"/>
          <w:b/>
          <w:bCs/>
          <w:sz w:val="22"/>
          <w:szCs w:val="22"/>
        </w:rPr>
        <w:t xml:space="preserve">Type C: </w:t>
      </w:r>
      <w:r>
        <w:rPr>
          <w:rFonts w:ascii="Calibri" w:cs="Calibri" w:eastAsia="Calibri" w:hAnsi="Calibri"/>
          <w:sz w:val="22"/>
          <w:szCs w:val="22"/>
        </w:rPr>
        <w:t xml:space="preserve">Type C — Consolidated Job. One job that combines every Type B output into the global exposure table feeding the daily Spotfire/Power BI report.</w:t>
      </w:r>
    </w:p>
    <w:p>
      <w:pPr>
        <w:spacing w:after="100"/>
      </w:pPr>
      <w:r>
        <w:t xml:space="preserve"/>
      </w:r>
    </w:p>
    <w:p>
      <w:pPr>
        <w:pStyle w:val="Heading2"/>
        <w:spacing w:after="80" w:before="200"/>
      </w:pPr>
      <w:r>
        <w:rPr>
          <w:rFonts w:ascii="Calibri" w:cs="Calibri" w:eastAsia="Calibri" w:hAnsi="Calibri"/>
          <w:b/>
          <w:bCs/>
          <w:sz w:val="24"/>
          <w:szCs w:val="24"/>
        </w:rPr>
        <w:t xml:space="preserve">Energy Credit Source Data Load</w:t>
      </w:r>
    </w:p>
    <w:p>
      <w:pPr>
        <w:pStyle w:val="ListParagraph"/>
        <w:numPr>
          <w:ilvl w:val="0"/>
          <w:numId w:val="2"/>
        </w:numPr>
        <w:spacing w:after="80"/>
      </w:pPr>
      <w:r>
        <w:rPr>
          <w:rFonts w:ascii="Calibri" w:cs="Calibri" w:eastAsia="Calibri" w:hAnsi="Calibri"/>
          <w:sz w:val="22"/>
          <w:szCs w:val="22"/>
        </w:rPr>
        <w:t xml:space="preserve">Separate critical job that loads counterparty master data (ratings, limits, parent hierarchy, collateral) into every line-of-business database.</w:t>
      </w:r>
    </w:p>
    <w:p>
      <w:pPr>
        <w:spacing w:after="100"/>
      </w:pPr>
      <w:r>
        <w:t xml:space="preserve"/>
      </w:r>
    </w:p>
    <w:p>
      <w:pPr>
        <w:pStyle w:val="Heading2"/>
        <w:spacing w:after="80" w:before="200"/>
      </w:pPr>
      <w:r>
        <w:rPr>
          <w:rFonts w:ascii="Calibri" w:cs="Calibri" w:eastAsia="Calibri" w:hAnsi="Calibri"/>
          <w:b/>
          <w:bCs/>
          <w:sz w:val="24"/>
          <w:szCs w:val="24"/>
        </w:rPr>
        <w:t xml:space="preserve">Change process for code changes</w:t>
      </w:r>
    </w:p>
    <w:p>
      <w:pPr>
        <w:pStyle w:val="ListParagraph"/>
        <w:numPr>
          <w:ilvl w:val="0"/>
          <w:numId w:val="2"/>
        </w:numPr>
        <w:spacing w:after="80"/>
      </w:pPr>
      <w:r>
        <w:rPr>
          <w:rFonts w:ascii="Calibri" w:cs="Calibri" w:eastAsia="Calibri" w:hAnsi="Calibri"/>
          <w:sz w:val="22"/>
          <w:szCs w:val="22"/>
        </w:rPr>
        <w:t xml:space="preserve">Analyse requirement → Develop in DEV → Test in UAT → Sign-off → Deploy to PROD via Change List ticket. IT deploys scripts but does not validate logic.</w:t>
      </w:r>
    </w:p>
    <w:p>
      <w:pPr>
        <w:spacing w:after="100"/>
      </w:pPr>
      <w:r>
        <w:t xml:space="preserve"/>
      </w:r>
    </w:p>
    <w:p>
      <w:pPr>
        <w:pStyle w:val="Heading2"/>
        <w:spacing w:after="80" w:before="200"/>
      </w:pPr>
      <w:r>
        <w:rPr>
          <w:rFonts w:ascii="Calibri" w:cs="Calibri" w:eastAsia="Calibri" w:hAnsi="Calibri"/>
          <w:b/>
          <w:bCs/>
          <w:sz w:val="24"/>
          <w:szCs w:val="24"/>
        </w:rPr>
        <w:t xml:space="preserve">Cascade effect of delays</w:t>
      </w:r>
    </w:p>
    <w:p>
      <w:pPr>
        <w:pStyle w:val="ListParagraph"/>
        <w:numPr>
          <w:ilvl w:val="0"/>
          <w:numId w:val="2"/>
        </w:numPr>
        <w:spacing w:after="80"/>
      </w:pPr>
      <w:r>
        <w:rPr>
          <w:rFonts w:ascii="Calibri" w:cs="Calibri" w:eastAsia="Calibri" w:hAnsi="Calibri"/>
          <w:sz w:val="22"/>
          <w:szCs w:val="22"/>
        </w:rPr>
        <w:t xml:space="preserve">Type A delay → Type B delay → Type C delay → late global report.</w:t>
      </w:r>
    </w:p>
    <w:p>
      <w:pPr>
        <w:pStyle w:val="ListParagraph"/>
        <w:numPr>
          <w:ilvl w:val="0"/>
          <w:numId w:val="2"/>
        </w:numPr>
        <w:spacing w:after="80"/>
      </w:pPr>
      <w:r>
        <w:rPr>
          <w:rFonts w:ascii="Calibri" w:cs="Calibri" w:eastAsia="Calibri" w:hAnsi="Calibri"/>
          <w:sz w:val="22"/>
          <w:szCs w:val="22"/>
        </w:rPr>
        <w:t xml:space="preserve">Most common cause: ODW (NA Crude) running late, sometimes taking 5-9 hours on a bad day.</w:t>
      </w:r>
    </w:p>
    <w:p>
      <w:pPr>
        <w:pStyle w:val="ListParagraph"/>
        <w:numPr>
          <w:ilvl w:val="0"/>
          <w:numId w:val="2"/>
        </w:numPr>
        <w:spacing w:after="80"/>
      </w:pPr>
      <w:r>
        <w:rPr>
          <w:rFonts w:ascii="Calibri" w:cs="Calibri" w:eastAsia="Calibri" w:hAnsi="Calibri"/>
          <w:sz w:val="22"/>
          <w:szCs w:val="22"/>
        </w:rPr>
        <w:t xml:space="preserve">Automate is the tool used to publish reports once GCAP data is ready.</w:t>
      </w:r>
    </w:p>
    <w:p>
      <w:pPr>
        <w:spacing w:after="100"/>
      </w:pPr>
      <w:r>
        <w:t xml:space="preserve"/>
      </w:r>
    </w:p>
    <w:p>
      <w:pPr>
        <w:pBdr>
          <w:bottom w:val="single" w:color="AAAAAA" w:sz="4" w:space="1"/>
        </w:pBdr>
        <w:spacing w:after="160" w:before="160"/>
      </w:pPr>
      <w:r>
        <w:t xml:space="preserve"/>
      </w:r>
    </w:p>
    <w:p>
      <w:pPr>
        <w:spacing w:after="40"/>
      </w:pPr>
      <w:r>
        <w:rPr>
          <w:rFonts w:ascii="Calibri" w:cs="Calibri" w:eastAsia="Calibri" w:hAnsi="Calibri"/>
          <w:b/>
          <w:bCs/>
          <w:sz w:val="32"/>
          <w:szCs w:val="32"/>
        </w:rPr>
        <w:t xml:space="preserve">Session 5</w:t>
      </w:r>
    </w:p>
    <w:p>
      <w:pPr>
        <w:spacing w:after="300"/>
      </w:pPr>
      <w:r>
        <w:rPr>
          <w:rFonts w:ascii="Calibri" w:cs="Calibri" w:eastAsia="Calibri" w:hAnsi="Calibri"/>
          <w:b/>
          <w:bCs/>
          <w:color w:val="404040"/>
          <w:sz w:val="26"/>
          <w:szCs w:val="26"/>
        </w:rPr>
        <w:t xml:space="preserve">Overview of GCAP Operations &amp; Reports</w:t>
      </w:r>
    </w:p>
    <w:p>
      <w:pPr>
        <w:pStyle w:val="Heading2"/>
        <w:spacing w:after="80" w:before="200"/>
      </w:pPr>
      <w:r>
        <w:rPr>
          <w:rFonts w:ascii="Calibri" w:cs="Calibri" w:eastAsia="Calibri" w:hAnsi="Calibri"/>
          <w:b/>
          <w:bCs/>
          <w:sz w:val="24"/>
          <w:szCs w:val="24"/>
        </w:rPr>
        <w:t xml:space="preserve">Automate</w:t>
      </w:r>
    </w:p>
    <w:p>
      <w:pPr>
        <w:pStyle w:val="ListParagraph"/>
        <w:numPr>
          <w:ilvl w:val="0"/>
          <w:numId w:val="2"/>
        </w:numPr>
        <w:spacing w:after="80"/>
      </w:pPr>
      <w:r>
        <w:rPr>
          <w:rFonts w:ascii="Calibri" w:cs="Calibri" w:eastAsia="Calibri" w:hAnsi="Calibri"/>
          <w:sz w:val="22"/>
          <w:szCs w:val="22"/>
        </w:rPr>
        <w:t xml:space="preserve">RPA tool that schedules and runs report publishing. ~60-70% of reports are Excel-based, the rest via Power BI (Spotfire has since been decommissioned).</w:t>
      </w:r>
    </w:p>
    <w:p>
      <w:pPr>
        <w:pStyle w:val="ListParagraph"/>
        <w:numPr>
          <w:ilvl w:val="0"/>
          <w:numId w:val="2"/>
        </w:numPr>
        <w:spacing w:after="80"/>
      </w:pPr>
      <w:r>
        <w:rPr>
          <w:rFonts w:ascii="Calibri" w:cs="Calibri" w:eastAsia="Calibri" w:hAnsi="Calibri"/>
          <w:sz w:val="22"/>
          <w:szCs w:val="22"/>
        </w:rPr>
        <w:t xml:space="preserve">To find report logic: Automate job → template file location → Data/Queries/Connections → SQL query → GCAP table → stored procedure.</w:t>
      </w:r>
    </w:p>
    <w:p>
      <w:pPr>
        <w:spacing w:after="100"/>
      </w:pPr>
      <w:r>
        <w:t xml:space="preserve"/>
      </w:r>
    </w:p>
    <w:p>
      <w:pPr>
        <w:pStyle w:val="Heading2"/>
        <w:spacing w:after="80" w:before="200"/>
      </w:pPr>
      <w:r>
        <w:rPr>
          <w:rFonts w:ascii="Calibri" w:cs="Calibri" w:eastAsia="Calibri" w:hAnsi="Calibri"/>
          <w:b/>
          <w:bCs/>
          <w:sz w:val="24"/>
          <w:szCs w:val="24"/>
        </w:rPr>
        <w:t xml:space="preserve">The 7 GCAP report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Limit Availability (LAR)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Credit limit minus net exposure. Most time-critical report, published by 8am Houston.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Mandates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Limits expressed in volume terms (mainly Gas &amp; Power).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Exposure (Credit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Full exposure breakdown per counterparty — the core Type B 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Ageing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Overdue receivables/payables bucketed by days. 180+ days = bad debt.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Exceeds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Where net exposure is greater than the approved credit limit.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Reserves / ECL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Expected Credit Loss and Credit Reserves, calculated quarterly.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Exception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 quality reports — flags failed joins between source systems.</w:t>
            </w:r>
          </w:p>
        </w:tc>
      </w:tr>
    </w:tbl>
    <w:p>
      <w:pPr>
        <w:spacing w:after="100"/>
      </w:pPr>
      <w:r>
        <w:t xml:space="preserve"/>
      </w:r>
    </w:p>
    <w:p>
      <w:pPr>
        <w:pStyle w:val="Heading2"/>
        <w:spacing w:after="80" w:before="200"/>
      </w:pPr>
      <w:r>
        <w:rPr>
          <w:rFonts w:ascii="Calibri" w:cs="Calibri" w:eastAsia="Calibri" w:hAnsi="Calibri"/>
          <w:b/>
          <w:bCs/>
          <w:sz w:val="24"/>
          <w:szCs w:val="24"/>
        </w:rPr>
        <w:t xml:space="preserve">Daily commentary &amp; Spotfire</w:t>
      </w:r>
    </w:p>
    <w:p>
      <w:pPr>
        <w:pStyle w:val="ListParagraph"/>
        <w:numPr>
          <w:ilvl w:val="0"/>
          <w:numId w:val="2"/>
        </w:numPr>
        <w:spacing w:after="80"/>
      </w:pPr>
      <w:r>
        <w:rPr>
          <w:rFonts w:ascii="Calibri" w:cs="Calibri" w:eastAsia="Calibri" w:hAnsi="Calibri"/>
          <w:sz w:val="22"/>
          <w:szCs w:val="22"/>
        </w:rPr>
        <w:t xml:space="preserve">CDA proactively sends a daily commentary explaining drivers behind exposure changes, to catch errors early.</w:t>
      </w:r>
    </w:p>
    <w:p>
      <w:pPr>
        <w:pStyle w:val="ListParagraph"/>
        <w:numPr>
          <w:ilvl w:val="0"/>
          <w:numId w:val="2"/>
        </w:numPr>
        <w:spacing w:after="80"/>
      </w:pPr>
      <w:r>
        <w:rPr>
          <w:rFonts w:ascii="Calibri" w:cs="Calibri" w:eastAsia="Calibri" w:hAnsi="Calibri"/>
          <w:sz w:val="22"/>
          <w:szCs w:val="22"/>
        </w:rPr>
        <w:t xml:space="preserve">Spotfire (now mostly replaced by Power BI) is the end-user dashboard tool traders and credit managers use to view exposure data.</w:t>
      </w:r>
    </w:p>
    <w:p>
      <w:pPr>
        <w:spacing w:after="100"/>
      </w:pPr>
      <w:r>
        <w:t xml:space="preserve"/>
      </w:r>
    </w:p>
    <w:p>
      <w:pPr>
        <w:pStyle w:val="Heading2"/>
        <w:spacing w:after="80" w:before="200"/>
      </w:pPr>
      <w:r>
        <w:rPr>
          <w:rFonts w:ascii="Calibri" w:cs="Calibri" w:eastAsia="Calibri" w:hAnsi="Calibri"/>
          <w:b/>
          <w:bCs/>
          <w:sz w:val="24"/>
          <w:szCs w:val="24"/>
        </w:rPr>
        <w:t xml:space="preserve">How GCAP evolved</w:t>
      </w:r>
    </w:p>
    <w:p>
      <w:pPr>
        <w:pStyle w:val="ListParagraph"/>
        <w:numPr>
          <w:ilvl w:val="0"/>
          <w:numId w:val="2"/>
        </w:numPr>
        <w:spacing w:after="80"/>
      </w:pPr>
      <w:r>
        <w:rPr>
          <w:rFonts w:ascii="Calibri" w:cs="Calibri" w:eastAsia="Calibri" w:hAnsi="Calibri"/>
          <w:sz w:val="22"/>
          <w:szCs w:val="22"/>
        </w:rPr>
        <w:t xml:space="preserve">Originally built purely as an MI tool to aggregate exposure data. ECL calculation was added later, then governance/controls as it became business-critical (SOX-controlled).</w:t>
      </w:r>
    </w:p>
    <w:p>
      <w:pPr>
        <w:pStyle w:val="ListParagraph"/>
        <w:numPr>
          <w:ilvl w:val="0"/>
          <w:numId w:val="2"/>
        </w:numPr>
        <w:spacing w:after="80"/>
      </w:pPr>
      <w:r>
        <w:rPr>
          <w:rFonts w:ascii="Calibri" w:cs="Calibri" w:eastAsia="Calibri" w:hAnsi="Calibri"/>
          <w:sz w:val="22"/>
          <w:szCs w:val="22"/>
        </w:rPr>
        <w:t xml:space="preserve">LGD fixed at 60% by Shell leadership.</w:t>
      </w:r>
    </w:p>
    <w:p>
      <w:pPr>
        <w:spacing w:after="10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1:1 Onboarding Call with Nanditha</w:t>
      </w:r>
    </w:p>
    <w:p>
      <w:pPr>
        <w:pStyle w:val="Heading2"/>
        <w:spacing w:after="80" w:before="200"/>
      </w:pPr>
      <w:r>
        <w:rPr>
          <w:rFonts w:ascii="Calibri" w:cs="Calibri" w:eastAsia="Calibri" w:hAnsi="Calibri"/>
          <w:b/>
          <w:bCs/>
          <w:sz w:val="24"/>
          <w:szCs w:val="24"/>
        </w:rPr>
        <w:t xml:space="preserve">Key roles</w:t>
      </w:r>
    </w:p>
    <w:p>
      <w:pPr>
        <w:pStyle w:val="ListParagraph"/>
        <w:numPr>
          <w:ilvl w:val="0"/>
          <w:numId w:val="2"/>
        </w:numPr>
        <w:spacing w:after="80"/>
      </w:pPr>
      <w:r>
        <w:rPr>
          <w:rFonts w:ascii="Calibri" w:cs="Calibri" w:eastAsia="Calibri" w:hAnsi="Calibri"/>
          <w:sz w:val="22"/>
          <w:szCs w:val="22"/>
        </w:rPr>
        <w:t xml:space="preserve">Manager: Nanditha (SBOBNG-FO/AMAR). Daily operations: Kishore. Approving line manager: Jack. Dean (apprenticeship friend) previously did this rotation.</w:t>
      </w:r>
    </w:p>
    <w:p>
      <w:pPr>
        <w:spacing w:after="100"/>
      </w:pPr>
      <w:r>
        <w:t xml:space="preserve"/>
      </w:r>
    </w:p>
    <w:p>
      <w:pPr>
        <w:pStyle w:val="Heading2"/>
        <w:spacing w:after="80" w:before="200"/>
      </w:pPr>
      <w:r>
        <w:rPr>
          <w:rFonts w:ascii="Calibri" w:cs="Calibri" w:eastAsia="Calibri" w:hAnsi="Calibri"/>
          <w:b/>
          <w:bCs/>
          <w:sz w:val="24"/>
          <w:szCs w:val="24"/>
        </w:rPr>
        <w:t xml:space="preserve">GCAP databases</w:t>
      </w:r>
    </w:p>
    <w:p>
      <w:pPr>
        <w:pStyle w:val="ListParagraph"/>
        <w:numPr>
          <w:ilvl w:val="0"/>
          <w:numId w:val="2"/>
        </w:numPr>
        <w:spacing w:after="80"/>
      </w:pPr>
      <w:r>
        <w:rPr>
          <w:rFonts w:ascii="Calibri" w:cs="Calibri" w:eastAsia="Calibri" w:hAnsi="Calibri"/>
          <w:sz w:val="22"/>
          <w:szCs w:val="22"/>
        </w:rPr>
        <w:t xml:space="preserve">Source Data Repo — raw data pulled from trading systems.</w:t>
      </w:r>
    </w:p>
    <w:p>
      <w:pPr>
        <w:pStyle w:val="ListParagraph"/>
        <w:numPr>
          <w:ilvl w:val="0"/>
          <w:numId w:val="2"/>
        </w:numPr>
        <w:spacing w:after="80"/>
      </w:pPr>
      <w:r>
        <w:rPr>
          <w:rFonts w:ascii="Calibri" w:cs="Calibri" w:eastAsia="Calibri" w:hAnsi="Calibri"/>
          <w:sz w:val="22"/>
          <w:szCs w:val="22"/>
        </w:rPr>
        <w:t xml:space="preserve">Reference Data Repo — fixed counterparty info (company codes, ULP names) used for joins.</w:t>
      </w:r>
    </w:p>
    <w:p>
      <w:pPr>
        <w:pStyle w:val="ListParagraph"/>
        <w:numPr>
          <w:ilvl w:val="0"/>
          <w:numId w:val="2"/>
        </w:numPr>
        <w:spacing w:after="80"/>
      </w:pPr>
      <w:r>
        <w:rPr>
          <w:rFonts w:ascii="Calibri" w:cs="Calibri" w:eastAsia="Calibri" w:hAnsi="Calibri"/>
          <w:sz w:val="22"/>
          <w:szCs w:val="22"/>
        </w:rPr>
        <w:t xml:space="preserve">Two ways data enters GCAP: pulled via Open Query (SQL method to query a remote database directly), or pushed/dispatched by GCS, which loads tables directly and sends an email notification.</w:t>
      </w:r>
    </w:p>
    <w:p>
      <w:pPr>
        <w:pStyle w:val="ListParagraph"/>
        <w:numPr>
          <w:ilvl w:val="0"/>
          <w:numId w:val="2"/>
        </w:numPr>
        <w:spacing w:after="80"/>
      </w:pPr>
      <w:r>
        <w:rPr>
          <w:rFonts w:ascii="Calibri" w:cs="Calibri" w:eastAsia="Calibri" w:hAnsi="Calibri"/>
          <w:sz w:val="22"/>
          <w:szCs w:val="22"/>
        </w:rPr>
        <w:t xml:space="preserve">GCS now live for Americas and NA Commercial Products — data is pre-transformed and pushed rather than pulled raw.</w:t>
      </w:r>
    </w:p>
    <w:p>
      <w:pPr>
        <w:spacing w:after="100"/>
      </w:pPr>
      <w:r>
        <w:t xml:space="preserve"/>
      </w:r>
    </w:p>
    <w:p>
      <w:pPr>
        <w:pStyle w:val="Heading2"/>
        <w:spacing w:after="80" w:before="200"/>
      </w:pPr>
      <w:r>
        <w:rPr>
          <w:rFonts w:ascii="Calibri" w:cs="Calibri" w:eastAsia="Calibri" w:hAnsi="Calibri"/>
          <w:b/>
          <w:bCs/>
          <w:sz w:val="24"/>
          <w:szCs w:val="24"/>
        </w:rPr>
        <w:t xml:space="preserve">Stored procedures and job monitoring</w:t>
      </w:r>
    </w:p>
    <w:p>
      <w:pPr>
        <w:pStyle w:val="ListParagraph"/>
        <w:numPr>
          <w:ilvl w:val="0"/>
          <w:numId w:val="2"/>
        </w:numPr>
        <w:spacing w:after="80"/>
      </w:pPr>
      <w:r>
        <w:rPr>
          <w:rFonts w:ascii="Calibri" w:cs="Calibri" w:eastAsia="Calibri" w:hAnsi="Calibri"/>
          <w:sz w:val="22"/>
          <w:szCs w:val="22"/>
        </w:rPr>
        <w:t xml:space="preserve">A stored procedure is a saved block of SQL that auto-executes when triggered.</w:t>
      </w:r>
    </w:p>
    <w:p>
      <w:pPr>
        <w:pStyle w:val="ListParagraph"/>
        <w:numPr>
          <w:ilvl w:val="0"/>
          <w:numId w:val="2"/>
        </w:numPr>
        <w:spacing w:after="80"/>
      </w:pPr>
      <w:r>
        <w:rPr>
          <w:rFonts w:ascii="Calibri" w:cs="Calibri" w:eastAsia="Calibri" w:hAnsi="Calibri"/>
          <w:sz w:val="22"/>
          <w:szCs w:val="22"/>
        </w:rPr>
        <w:t xml:space="preserve">Jobs are scheduled in SQL Server Agent Job Monitor. Right-click a job → Properties → Steps to see which stored procedures run.</w:t>
      </w:r>
    </w:p>
    <w:p>
      <w:pPr>
        <w:pStyle w:val="ListParagraph"/>
        <w:numPr>
          <w:ilvl w:val="0"/>
          <w:numId w:val="2"/>
        </w:numPr>
        <w:spacing w:after="80"/>
      </w:pPr>
      <w:r>
        <w:rPr>
          <w:rFonts w:ascii="Calibri" w:cs="Calibri" w:eastAsia="Calibri" w:hAnsi="Calibri"/>
          <w:sz w:val="22"/>
          <w:szCs w:val="22"/>
        </w:rPr>
        <w:t xml:space="preserve">Type A jobs contain Open Query calls; Type B jobs do not — they only use data already in the source repo.</w:t>
      </w:r>
    </w:p>
    <w:p>
      <w:pPr>
        <w:spacing w:after="100"/>
      </w:pPr>
      <w:r>
        <w:t xml:space="preserve"/>
      </w:r>
    </w:p>
    <w:p>
      <w:pPr>
        <w:pStyle w:val="Heading2"/>
        <w:spacing w:after="80" w:before="200"/>
      </w:pPr>
      <w:r>
        <w:rPr>
          <w:rFonts w:ascii="Calibri" w:cs="Calibri" w:eastAsia="Calibri" w:hAnsi="Calibri"/>
          <w:b/>
          <w:bCs/>
          <w:sz w:val="24"/>
          <w:szCs w:val="24"/>
        </w:rPr>
        <w:t xml:space="preserve">Manual intervention</w:t>
      </w:r>
    </w:p>
    <w:p>
      <w:pPr>
        <w:pStyle w:val="ListParagraph"/>
        <w:numPr>
          <w:ilvl w:val="0"/>
          <w:numId w:val="2"/>
        </w:numPr>
        <w:spacing w:after="80"/>
      </w:pPr>
      <w:r>
        <w:rPr>
          <w:rFonts w:ascii="Calibri" w:cs="Calibri" w:eastAsia="Calibri" w:hAnsi="Calibri"/>
          <w:sz w:val="22"/>
          <w:szCs w:val="22"/>
        </w:rPr>
        <w:t xml:space="preserve">Job fails — check the failure log for which stored procedure failed and why.</w:t>
      </w:r>
    </w:p>
    <w:p>
      <w:pPr>
        <w:pStyle w:val="ListParagraph"/>
        <w:numPr>
          <w:ilvl w:val="0"/>
          <w:numId w:val="2"/>
        </w:numPr>
        <w:spacing w:after="80"/>
      </w:pPr>
      <w:r>
        <w:rPr>
          <w:rFonts w:ascii="Calibri" w:cs="Calibri" w:eastAsia="Calibri" w:hAnsi="Calibri"/>
          <w:sz w:val="22"/>
          <w:szCs w:val="22"/>
        </w:rPr>
        <w:t xml:space="preserve">Source data delayed — the job won't fail, it will silently pull stale prior-day data. Requires manually disabling downstream jobs and sending a delay comms email.</w:t>
      </w:r>
    </w:p>
    <w:p>
      <w:pPr>
        <w:spacing w:after="100"/>
      </w:pPr>
      <w:r>
        <w:t xml:space="preserve"/>
      </w:r>
    </w:p>
    <w:p>
      <w:pPr>
        <w:pStyle w:val="Heading2"/>
        <w:spacing w:after="80" w:before="200"/>
      </w:pPr>
      <w:r>
        <w:rPr>
          <w:rFonts w:ascii="Calibri" w:cs="Calibri" w:eastAsia="Calibri" w:hAnsi="Calibri"/>
          <w:b/>
          <w:bCs/>
          <w:sz w:val="24"/>
          <w:szCs w:val="24"/>
        </w:rPr>
        <w:t xml:space="preserve">LOB naming conventions</w:t>
      </w:r>
    </w:p>
    <w:p>
      <w:pPr>
        <w:pStyle w:val="ListParagraph"/>
        <w:numPr>
          <w:ilvl w:val="0"/>
          <w:numId w:val="2"/>
        </w:numPr>
        <w:spacing w:after="80"/>
      </w:pPr>
      <w:r>
        <w:rPr>
          <w:rFonts w:ascii="Calibri" w:cs="Calibri" w:eastAsia="Calibri" w:hAnsi="Calibri"/>
          <w:sz w:val="22"/>
          <w:szCs w:val="22"/>
        </w:rPr>
        <w:t xml:space="preserve">WONA CP / NACP = WONA / NA Commercial Products. Global CP = both combined.</w:t>
      </w:r>
    </w:p>
    <w:p>
      <w:pPr>
        <w:pStyle w:val="ListParagraph"/>
        <w:numPr>
          <w:ilvl w:val="0"/>
          <w:numId w:val="2"/>
        </w:numPr>
        <w:spacing w:after="80"/>
      </w:pPr>
      <w:r>
        <w:rPr>
          <w:rFonts w:ascii="Calibri" w:cs="Calibri" w:eastAsia="Calibri" w:hAnsi="Calibri"/>
          <w:sz w:val="22"/>
          <w:szCs w:val="22"/>
        </w:rPr>
        <w:t xml:space="preserve">WONA GP / ONA GP = WONA Gas &amp; Power. Global Crude / Global Products = NA + WONA combined.</w:t>
      </w:r>
    </w:p>
    <w:p>
      <w:pPr>
        <w:pStyle w:val="ListParagraph"/>
        <w:numPr>
          <w:ilvl w:val="0"/>
          <w:numId w:val="2"/>
        </w:numPr>
        <w:spacing w:after="80"/>
      </w:pPr>
      <w:r>
        <w:rPr>
          <w:rFonts w:ascii="Calibri" w:cs="Calibri" w:eastAsia="Calibri" w:hAnsi="Calibri"/>
          <w:sz w:val="22"/>
          <w:szCs w:val="22"/>
        </w:rPr>
        <w:t xml:space="preserve">"Not Defined" = data quality check category, should always be zero.</w:t>
      </w:r>
    </w:p>
    <w:p>
      <w:pPr>
        <w:spacing w:after="100"/>
      </w:pPr>
      <w:r>
        <w:t xml:space="preserve"/>
      </w:r>
    </w:p>
    <w:p>
      <w:pPr>
        <w:pStyle w:val="Heading2"/>
        <w:spacing w:after="80" w:before="200"/>
      </w:pPr>
      <w:r>
        <w:rPr>
          <w:rFonts w:ascii="Calibri" w:cs="Calibri" w:eastAsia="Calibri" w:hAnsi="Calibri"/>
          <w:b/>
          <w:bCs/>
          <w:sz w:val="24"/>
          <w:szCs w:val="24"/>
        </w:rPr>
        <w:t xml:space="preserve">Reporting setup</w:t>
      </w:r>
    </w:p>
    <w:p>
      <w:pPr>
        <w:pStyle w:val="ListParagraph"/>
        <w:numPr>
          <w:ilvl w:val="0"/>
          <w:numId w:val="2"/>
        </w:numPr>
        <w:spacing w:after="80"/>
      </w:pPr>
      <w:r>
        <w:rPr>
          <w:rFonts w:ascii="Calibri" w:cs="Calibri" w:eastAsia="Calibri" w:hAnsi="Calibri"/>
          <w:sz w:val="22"/>
          <w:szCs w:val="22"/>
        </w:rPr>
        <w:t xml:space="preserve">110 reports published daily. Excel templates have embedded SQL queries; VBA macros automate refresh and distribution; Automate schedules when macros run.</w:t>
      </w:r>
    </w:p>
    <w:p>
      <w:pPr>
        <w:pStyle w:val="ListParagraph"/>
        <w:numPr>
          <w:ilvl w:val="0"/>
          <w:numId w:val="2"/>
        </w:numPr>
        <w:spacing w:after="80"/>
      </w:pPr>
      <w:r>
        <w:rPr>
          <w:rFonts w:ascii="Calibri" w:cs="Calibri" w:eastAsia="Calibri" w:hAnsi="Calibri"/>
          <w:sz w:val="22"/>
          <w:szCs w:val="22"/>
        </w:rPr>
        <w:t xml:space="preserve">Automate runs on a Houston remote desktop — only one person logged in at a time.</w:t>
      </w:r>
    </w:p>
    <w:p>
      <w:pPr>
        <w:pStyle w:val="ListParagraph"/>
        <w:numPr>
          <w:ilvl w:val="0"/>
          <w:numId w:val="2"/>
        </w:numPr>
        <w:spacing w:after="80"/>
      </w:pPr>
      <w:r>
        <w:rPr>
          <w:rFonts w:ascii="Calibri" w:cs="Calibri" w:eastAsia="Calibri" w:hAnsi="Calibri"/>
          <w:sz w:val="22"/>
          <w:szCs w:val="22"/>
        </w:rPr>
        <w:t xml:space="preserve">Accesses in progress: SQL Server Management Studio (pending approval from Jack, ticket RITM8919717), GCAP non-prod access, Automate password, Global Protect VPN set to Asia Pac portal.</w:t>
      </w:r>
    </w:p>
    <w:p>
      <w:pPr>
        <w:spacing w:after="10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First Project — Jobs Monitoring Dashboard</w:t>
      </w:r>
    </w:p>
    <w:p>
      <w:pPr>
        <w:pStyle w:val="Heading2"/>
        <w:spacing w:after="80" w:before="200"/>
      </w:pPr>
      <w:r>
        <w:rPr>
          <w:rFonts w:ascii="Calibri" w:cs="Calibri" w:eastAsia="Calibri" w:hAnsi="Calibri"/>
          <w:b/>
          <w:bCs/>
          <w:sz w:val="24"/>
          <w:szCs w:val="24"/>
        </w:rPr>
        <w:t xml:space="preserve">Brief</w:t>
      </w:r>
    </w:p>
    <w:p>
      <w:pPr>
        <w:spacing w:after="100"/>
      </w:pPr>
      <w:r>
        <w:rPr>
          <w:rFonts w:ascii="Calibri" w:cs="Calibri" w:eastAsia="Calibri" w:hAnsi="Calibri"/>
          <w:sz w:val="22"/>
          <w:szCs w:val="22"/>
        </w:rPr>
        <w:t xml:space="preserve">Build a Power BI dashboard showing all scheduled jobs (GCAP SQL and Automate) used for credit risk reporting, with scheduled time vs actual run time for each, clearly flagging anything delayed or not run — to give the team a central place to review job performance at the end of each day.</w:t>
      </w:r>
    </w:p>
    <w:p>
      <w:pPr>
        <w:spacing w:after="100"/>
      </w:pPr>
      <w:r>
        <w:t xml:space="preserve"/>
      </w:r>
    </w:p>
    <w:p>
      <w:pPr>
        <w:pStyle w:val="Heading2"/>
        <w:spacing w:after="80" w:before="200"/>
      </w:pPr>
      <w:r>
        <w:rPr>
          <w:rFonts w:ascii="Calibri" w:cs="Calibri" w:eastAsia="Calibri" w:hAnsi="Calibri"/>
          <w:b/>
          <w:bCs/>
          <w:sz w:val="24"/>
          <w:szCs w:val="24"/>
        </w:rPr>
        <w:t xml:space="preserve">Progress so far</w:t>
      </w:r>
    </w:p>
    <w:p>
      <w:pPr>
        <w:pStyle w:val="ListParagraph"/>
        <w:numPr>
          <w:ilvl w:val="0"/>
          <w:numId w:val="2"/>
        </w:numPr>
        <w:spacing w:after="80"/>
      </w:pPr>
      <w:r>
        <w:rPr>
          <w:rFonts w:ascii="Calibri" w:cs="Calibri" w:eastAsia="Calibri" w:hAnsi="Calibri"/>
          <w:sz w:val="22"/>
          <w:szCs w:val="22"/>
        </w:rPr>
        <w:t xml:space="preserve">Reviewed example GCAP job log — confirmed fields: Job_type, Entity, Job_name, Job_description, Job_run_count, Job_status (Y/N), EOD_date, Run_date, Archived_date.</w:t>
      </w:r>
    </w:p>
    <w:p>
      <w:pPr>
        <w:pStyle w:val="ListParagraph"/>
        <w:numPr>
          <w:ilvl w:val="0"/>
          <w:numId w:val="2"/>
        </w:numPr>
        <w:spacing w:after="80"/>
      </w:pPr>
      <w:r>
        <w:rPr>
          <w:rFonts w:ascii="Calibri" w:cs="Calibri" w:eastAsia="Calibri" w:hAnsi="Calibri"/>
          <w:sz w:val="22"/>
          <w:szCs w:val="22"/>
        </w:rPr>
        <w:t xml:space="preserve">Reviewed example Automate log — confirmed fields: DateTime, Machine Name, Task Name, Event (mostly "Log on workstation").</w:t>
      </w:r>
    </w:p>
    <w:p>
      <w:pPr>
        <w:pStyle w:val="ListParagraph"/>
        <w:numPr>
          <w:ilvl w:val="0"/>
          <w:numId w:val="2"/>
        </w:numPr>
        <w:spacing w:after="80"/>
      </w:pPr>
      <w:r>
        <w:rPr>
          <w:rFonts w:ascii="Calibri" w:cs="Calibri" w:eastAsia="Calibri" w:hAnsi="Calibri"/>
          <w:sz w:val="22"/>
          <w:szCs w:val="22"/>
        </w:rPr>
        <w:t xml:space="preserve">Confirmed with Shishir that the Excel exports of these logs are sufficient to begin building, rather than requiring full live SQL access.</w:t>
      </w:r>
    </w:p>
    <w:p>
      <w:pPr>
        <w:pStyle w:val="ListParagraph"/>
        <w:numPr>
          <w:ilvl w:val="0"/>
          <w:numId w:val="2"/>
        </w:numPr>
        <w:spacing w:after="80"/>
      </w:pPr>
      <w:r>
        <w:rPr>
          <w:rFonts w:ascii="Calibri" w:cs="Calibri" w:eastAsia="Calibri" w:hAnsi="Calibri"/>
          <w:sz w:val="22"/>
          <w:szCs w:val="22"/>
        </w:rPr>
        <w:t xml:space="preserve">Confirmed with Nanditha that both logs do contain a time value, though the live/active version would require SQL access to be installed.</w:t>
      </w:r>
    </w:p>
    <w:p>
      <w:pPr>
        <w:spacing w:after="100"/>
      </w:pPr>
      <w:r>
        <w:t xml:space="preserve"/>
      </w:r>
    </w:p>
    <w:p>
      <w:pPr>
        <w:pStyle w:val="Heading2"/>
        <w:spacing w:after="80" w:before="200"/>
      </w:pPr>
      <w:r>
        <w:rPr>
          <w:rFonts w:ascii="Calibri" w:cs="Calibri" w:eastAsia="Calibri" w:hAnsi="Calibri"/>
          <w:b/>
          <w:bCs/>
          <w:sz w:val="24"/>
          <w:szCs w:val="24"/>
        </w:rPr>
        <w:t xml:space="preserve">Open questions for today's meeting</w:t>
      </w:r>
    </w:p>
    <w:p>
      <w:pPr>
        <w:pStyle w:val="ListParagraph"/>
        <w:numPr>
          <w:ilvl w:val="0"/>
          <w:numId w:val="2"/>
        </w:numPr>
        <w:spacing w:after="80"/>
      </w:pPr>
      <w:r>
        <w:rPr>
          <w:rFonts w:ascii="Calibri" w:cs="Calibri" w:eastAsia="Calibri" w:hAnsi="Calibri"/>
          <w:sz w:val="22"/>
          <w:szCs w:val="22"/>
        </w:rPr>
        <w:t xml:space="preserve">Where is the scheduled time for each job — is that in the Excel log, or only in the SQL Server Agent Job Monitor itself?</w:t>
      </w:r>
    </w:p>
    <w:p>
      <w:pPr>
        <w:pStyle w:val="ListParagraph"/>
        <w:numPr>
          <w:ilvl w:val="0"/>
          <w:numId w:val="2"/>
        </w:numPr>
        <w:spacing w:after="80"/>
      </w:pPr>
      <w:r>
        <w:rPr>
          <w:rFonts w:ascii="Calibri" w:cs="Calibri" w:eastAsia="Calibri" w:hAnsi="Calibri"/>
          <w:sz w:val="22"/>
          <w:szCs w:val="22"/>
        </w:rPr>
        <w:t xml:space="preserve">Is Run_date in the GCAP log purely a date, or is there a hidden time component?</w:t>
      </w:r>
    </w:p>
    <w:p>
      <w:pPr>
        <w:pStyle w:val="ListParagraph"/>
        <w:numPr>
          <w:ilvl w:val="0"/>
          <w:numId w:val="2"/>
        </w:numPr>
        <w:spacing w:after="80"/>
      </w:pPr>
      <w:r>
        <w:rPr>
          <w:rFonts w:ascii="Calibri" w:cs="Calibri" w:eastAsia="Calibri" w:hAnsi="Calibri"/>
          <w:sz w:val="22"/>
          <w:szCs w:val="22"/>
        </w:rPr>
        <w:t xml:space="preserve">Does Automate log anywhere whether a task actually completed successfully, or only that it started?</w:t>
      </w:r>
    </w:p>
    <w:p>
      <w:pPr>
        <w:pStyle w:val="ListParagraph"/>
        <w:numPr>
          <w:ilvl w:val="0"/>
          <w:numId w:val="2"/>
        </w:numPr>
        <w:spacing w:after="80"/>
      </w:pPr>
      <w:r>
        <w:rPr>
          <w:rFonts w:ascii="Calibri" w:cs="Calibri" w:eastAsia="Calibri" w:hAnsi="Calibri"/>
          <w:sz w:val="22"/>
          <w:szCs w:val="22"/>
        </w:rPr>
        <w:t xml:space="preserve">What is the expected/target time for each job — is there a fixed deadline per job, or does this vary by line of business?</w:t>
      </w:r>
    </w:p>
    <w:p>
      <w:pPr>
        <w:pStyle w:val="ListParagraph"/>
        <w:numPr>
          <w:ilvl w:val="0"/>
          <w:numId w:val="2"/>
        </w:numPr>
        <w:spacing w:after="80"/>
      </w:pPr>
      <w:r>
        <w:rPr>
          <w:rFonts w:ascii="Calibri" w:cs="Calibri" w:eastAsia="Calibri" w:hAnsi="Calibri"/>
          <w:sz w:val="22"/>
          <w:szCs w:val="22"/>
        </w:rPr>
        <w:t xml:space="preserve">Is the SQL Server Management Studio access (RITM8919717) still needed eventually, or does the Excel-based approach mean it won't be required?</w:t>
      </w:r>
    </w:p>
    <w:p>
      <w:pPr>
        <w:spacing w:after="100"/>
      </w:pPr>
      <w:r>
        <w:t xml:space="preserve"/>
      </w:r>
    </w:p>
    <w:p>
      <w:pPr>
        <w:spacing w:before="400"/>
        <w:jc w:val="center"/>
      </w:pPr>
      <w:r>
        <w:rPr>
          <w:rFonts w:ascii="Calibri" w:cs="Calibri" w:eastAsia="Calibri" w:hAnsi="Calibri"/>
          <w:i/>
          <w:iCs/>
          <w:color w:val="999999"/>
          <w:sz w:val="18"/>
          <w:szCs w:val="18"/>
        </w:rPr>
        <w:t xml:space="preserve">Shell Trading &amp; Supply  |  CDA  |  Monthly Recap,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sz w:val="30"/>
      <w:szCs w:val="30"/>
    </w:rPr>
  </w:style>
  <w:style w:type="paragraph" w:styleId="Heading2">
    <w:name w:val="Heading 2"/>
    <w:basedOn w:val="Normal"/>
    <w:next w:val="Normal"/>
    <w:qFormat/>
    <w:pPr>
      <w:spacing w:after="8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2026-06-29T06:30:22.946Z</dcterms:created>
  <dcterms:modified xsi:type="dcterms:W3CDTF">2026-06-29T06:30:22.958Z</dcterms:modified>
</cp:coreProperties>
</file>

<file path=docProps/custom.xml><?xml version="1.0" encoding="utf-8"?>
<Properties xmlns="http://schemas.openxmlformats.org/officeDocument/2006/custom-properties" xmlns:vt="http://schemas.openxmlformats.org/officeDocument/2006/docPropsVTypes"/>
</file>