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Session 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Trading Entities Overview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Presenter: Shishir Jogani (STASCO-FST/LCD)  |  January 2023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Shell's Business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Upstream: </w:t>
      </w:r>
      <w:r>
        <w:rPr>
          <w:rFonts w:ascii="Calibri" w:cs="Calibri" w:eastAsia="Calibri" w:hAnsi="Calibri"/>
          <w:sz w:val="22"/>
          <w:szCs w:val="22"/>
        </w:rPr>
        <w:t xml:space="preserve">Upstream — exploration and drilling (extracting raw oil/gas from the ground).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Downstream: </w:t>
      </w:r>
      <w:r>
        <w:rPr>
          <w:rFonts w:ascii="Calibri" w:cs="Calibri" w:eastAsia="Calibri" w:hAnsi="Calibri"/>
          <w:sz w:val="22"/>
          <w:szCs w:val="22"/>
        </w:rPr>
        <w:t xml:space="preserve">Downstream — trading, marketing, retail (petrol pumps), lubricants, refining.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Trading &amp; Supply (T&amp;S / TNS) sits within the downstream business.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Lines of Business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Raw oil extracted onshore or offshore (e.g. Gulf of Mexico).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Grade varies by region and affects price and refinery yield.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 benchmark grades: Brent (North Sea), WTI (US — highest quality), Basra (Iraq), Arab Light (Middle East), Urals (Russia).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 producing regions: North Sea, Gulf of Mexico, Middle East, Nigeria, Malaysia, Latin America.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Higher quality grades extract more refined products per barrel but cost more to produce.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Products (Refined)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Derived from heating crude — different products emerge at different temperatures.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 distillates (~50–100°C): Naphtha (plastics feedstock).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Middle distillates (~150–200°C): Kerosene, Jet Fuel (ATF).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Middle distillates (~200–250°C): Gasoline, Diesel.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 distillates (~250–300°C): Fuel Oil (shipping fuel).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~400–500°C: LPG.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Oil = Crude + Products combined.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Natural gas transported via pipeline = Gas business.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Liquefied and shipped by tanker = LNG business (regasified at destination).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Biggest LNG sources: Qatar, USA, Australia.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 stages: Generation → Transmission →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Contracts use on-peak and off-peak terminology (e.g. ERCOT 16x5 = Texas grid, 16 hours across 5 days).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Renewables &amp; Emissions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Renewables (RES) — wind, solar etc. Growing fast; Shell investing heavily.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Emissions / Carbon — companies buy/sell carbon credits if they exceed pollution limits.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Commercial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Supply &amp; Distribution — small volumes by truck or 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Commercial Fuels — fuel supply to commercial customers.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STRM — Shell Trading Risk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Separate legal entity that only conducts paper (cash-settled) trades.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Required by US regulation post-2008 to keep physical and paper trading separate.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Physical trade = commodity is actually delivered. Paper trade = cash-settled, no physical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Shell uses paper trades via STRM to hedge physical exposure.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Regional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NA: </w:t>
      </w:r>
      <w:r>
        <w:rPr>
          <w:rFonts w:ascii="Calibri" w:cs="Calibri" w:eastAsia="Calibri" w:hAnsi="Calibri"/>
          <w:sz w:val="22"/>
          <w:szCs w:val="22"/>
        </w:rPr>
        <w:t xml:space="preserve">NA (North America) — US, Canada, Mexico, Brazil, Latin America.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WONA: </w:t>
      </w:r>
      <w:r>
        <w:rPr>
          <w:rFonts w:ascii="Calibri" w:cs="Calibri" w:eastAsia="Calibri" w:hAnsi="Calibri"/>
          <w:sz w:val="22"/>
          <w:szCs w:val="22"/>
        </w:rPr>
        <w:t xml:space="preserve">WONA (World Outside North America) — Europe, Africa, Middle East, East (Singapore, Australia, Japan, India, China).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Key Trading Entities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Each entity is specific to both a region AND a line of business.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Crude &amp;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STUSCO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 — Crude &amp;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Shell Trading Canada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Canada — Crude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STASCO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UK / London — Crude (main UK entity)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UK — minor variations from STASCO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SIETCO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Singapore — Crude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SITME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Middle East — Crude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SWSC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Latin America (Brazil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Rotterdam — Products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Gas &amp;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SENA / SEAM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 + Latin America — Gas &amp; Power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CSEE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Europe (non-UK) — Gas, Power &amp; Carbon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CBV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UK — Gas &amp; Power (post-Brexit entity)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SIETCO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Singapore — Gas &amp; Power 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 / SEJP / SEAU / SEI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China / Japan / Australia / India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Singapore — main LNG 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SITME 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SNALNG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North America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Next Session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Source systems feeding GCAP: SAP (P80, P81, GSAP), ETRMS, Energy Credit.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Components of credit exposure: receivables, unbilled, mark-to-market, collateral.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Counterparty data: credit ratings, parent/subsidiary relationships, collateral.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Session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Understanding Credit Exposure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Presenter: Shishir Jogani &amp; Daisy (STASCO)  |  January 2023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Net Exposure — the Core Formula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Net Exposure = Gross Exposure − Collateral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Gross Exposure = AR − AP + UR − UP + CMU + FMTM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AR: </w:t>
      </w:r>
      <w:r>
        <w:rPr>
          <w:rFonts w:ascii="Calibri" w:cs="Calibri" w:eastAsia="Calibri" w:hAnsi="Calibri"/>
          <w:sz w:val="22"/>
          <w:szCs w:val="22"/>
        </w:rPr>
        <w:t xml:space="preserve">AR — Accounts Receivable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AP: </w:t>
      </w:r>
      <w:r>
        <w:rPr>
          <w:rFonts w:ascii="Calibri" w:cs="Calibri" w:eastAsia="Calibri" w:hAnsi="Calibri"/>
          <w:sz w:val="22"/>
          <w:szCs w:val="22"/>
        </w:rPr>
        <w:t xml:space="preserve">AP — Accounts Payable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UR: </w:t>
      </w:r>
      <w:r>
        <w:rPr>
          <w:rFonts w:ascii="Calibri" w:cs="Calibri" w:eastAsia="Calibri" w:hAnsi="Calibri"/>
          <w:sz w:val="22"/>
          <w:szCs w:val="22"/>
        </w:rPr>
        <w:t xml:space="preserve">UR — Unbilled Receivable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UP: </w:t>
      </w:r>
      <w:r>
        <w:rPr>
          <w:rFonts w:ascii="Calibri" w:cs="Calibri" w:eastAsia="Calibri" w:hAnsi="Calibri"/>
          <w:sz w:val="22"/>
          <w:szCs w:val="22"/>
        </w:rPr>
        <w:t xml:space="preserve">UP — Unbilled Payable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CMU: </w:t>
      </w:r>
      <w:r>
        <w:rPr>
          <w:rFonts w:ascii="Calibri" w:cs="Calibri" w:eastAsia="Calibri" w:hAnsi="Calibri"/>
          <w:sz w:val="22"/>
          <w:szCs w:val="22"/>
        </w:rPr>
        <w:t xml:space="preserve">CMU — Current Month Undelivered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FMTM: </w:t>
      </w:r>
      <w:r>
        <w:rPr>
          <w:rFonts w:ascii="Calibri" w:cs="Calibri" w:eastAsia="Calibri" w:hAnsi="Calibri"/>
          <w:sz w:val="22"/>
          <w:szCs w:val="22"/>
        </w:rPr>
        <w:t xml:space="preserve">FMTM — Forward Mark to Market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GCAP is a downstream recipient — it receives data from various ETRMs, ERPs and credit systems. To understand what is driving an exposure you need to know which source system is providing the data.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Performance Risk vs Payment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Payment Risk: </w:t>
      </w:r>
      <w:r>
        <w:rPr>
          <w:rFonts w:ascii="Calibri" w:cs="Calibri" w:eastAsia="Calibri" w:hAnsi="Calibri"/>
          <w:sz w:val="22"/>
          <w:szCs w:val="22"/>
        </w:rPr>
        <w:t xml:space="preserve">Payment Risk (Settlement Risk) — price is fixed, invoice raised, counterparty just needs to pay. Risk = they don't pay. Like a bank mortgage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Risk: </w:t>
      </w:r>
      <w:r>
        <w:rPr>
          <w:rFonts w:ascii="Calibri" w:cs="Calibri" w:eastAsia="Calibri" w:hAnsi="Calibri"/>
          <w:sz w:val="22"/>
          <w:szCs w:val="22"/>
        </w:rPr>
        <w:t xml:space="preserve">Performance Risk — price is not yet fixed. Counterparty walks away from the contract before delivery. You still carry a risk of losing money even if nothing has been delivered yet.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Example: Shell buys oil at $75/bbl on a long-term deal. Market price is now $80. If counterparty walks away, Shell loses the $5/bbl advantage — that's performance risk. The key difference is price uncertainty: performance risk = price not fixed; settlement risk = price fixed.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Exposure Components in Detail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Accounts Receivable (AR)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Shell has sold and delivered a commodity to a counterparty.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Invoice has been raised. Price and quantity are fixed.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Waiting for counterparty to settle — this is pure settlement risk.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Accounts Payable (AP)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Reverse of AR — Shell has an obligation to pay a counterparty.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Shell bought a commodity, counterparty has raised an invoice, Shell needs to pay.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Unbilled Receivable (UR)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Amount is known but invoice has not yet been raised (also called 'delivered not paid').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Example: FOB/DES terms where title transfers only when cargo reaches buyer's port.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Cargo loads 1st Feb, delivers Singapore 15th Feb. Title transfers on 15th Feb. Period 1st–15th Feb = unbilled.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title transfers and invoice is raised → becomes 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Price is fixed; just waiting on the invoice trigger.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Unbilled Payable (UP)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Reverse — Shell is obligated to pay but invoice not yet raised by counterparty.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Current Month Undelivered (CMU)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Mainly applicable to pipeline gas business.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Current month volume that is yet to be delivered to the counterparty.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Forward Mark to Market (FMTM)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(Market Price − Contract Price) ×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Represents the value of open forward positions — price is not yet fixed.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positive (in the money) → Shell would receive money if contract closed today → credit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negative (out of the money) → Shell would owe money → no credit risk to counterparty.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Collateral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Cash: </w:t>
      </w:r>
      <w:r>
        <w:rPr>
          <w:rFonts w:ascii="Calibri" w:cs="Calibri" w:eastAsia="Calibri" w:hAnsi="Calibri"/>
          <w:sz w:val="22"/>
          <w:szCs w:val="22"/>
        </w:rPr>
        <w:t xml:space="preserve">Cash Collateral — highly liquid assets: cash, deposit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LoC: </w:t>
      </w:r>
      <w:r>
        <w:rPr>
          <w:rFonts w:ascii="Calibri" w:cs="Calibri" w:eastAsia="Calibri" w:hAnsi="Calibri"/>
          <w:sz w:val="22"/>
          <w:szCs w:val="22"/>
        </w:rPr>
        <w:t xml:space="preserve">Letter of Credit (LoC) / Bank Guarantee — legal commitment from a bank to pay Shell if the counterparty fails to meet its obligations under certain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sz w:val="22"/>
          <w:szCs w:val="22"/>
        </w:rPr>
        <w:t xml:space="preserve">Other Collateral — lien-based; legal right against assets. Includes bonds, Parent Guarantees, Counterparty Guarantees.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Mark to Market — Deep Dive (Daisy)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Definition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 to Market (MtM) = difference between the current market price and the contract price of an open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Replacement Cost = what it would cost Shell to replace the contract in the open market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MtM as of trade date is always zero — you did the trade at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trade date + 1, market moves and MtM changes daily.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MtM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Trade date → contract price out: floating MtM (price changes daily based on market).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Contract price out → payment due: crystallised MtM (price is now known and fixed).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invoice is raised and paid: exposure clears.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 the money / Out of the money / At the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 the money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Market price is favourable — Shell would receive money if contract closed today. This is credit risk.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Out of the money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Shell would owe money — no credit risk to us, but performance risk to counterparty.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 the money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price = market price. Always the case on trade date.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Pricing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Floating price — moves with market. Most common: monthly average pricing (arithmetic average of daily prices over the month).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Fixed price — agreed upfront, doesn't 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Fixed price differential — e.g. Brent + $10. The $10 differential is enough to generate a MtM.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for pricing comes from the ETRM — you don't manually calculate it.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Physical vs Paper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Physical: </w:t>
      </w:r>
      <w:r>
        <w:rPr>
          <w:rFonts w:ascii="Calibri" w:cs="Calibri" w:eastAsia="Calibri" w:hAnsi="Calibri"/>
          <w:sz w:val="22"/>
          <w:szCs w:val="22"/>
        </w:rPr>
        <w:t xml:space="preserve">Physical transaction — has a physical leg (actual delivery) and a cash leg (hedge or monitoring). Cash settled at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Paper: </w:t>
      </w:r>
      <w:r>
        <w:rPr>
          <w:rFonts w:ascii="Calibri" w:cs="Calibri" w:eastAsia="Calibri" w:hAnsi="Calibri"/>
          <w:sz w:val="22"/>
          <w:szCs w:val="22"/>
        </w:rPr>
        <w:t xml:space="preserve">Paper / financial transaction — no physical delivery. Cash settled only. Always cash settled.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Example: JCC/Brent spread — if JCC settles above Brent, contract is in the money; Shell is owed money. If JCC below Brent, Shell owes money.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Physical transactions can sometimes be 'circled out', 'booked out' or 'offset' — no product exchanged, just cash difference settled.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Fixed price risk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Shell buys crude at a fixed $75/bbl for 12 months. Market rises to $80. Shell is in the money — lifting every drop makes sense.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market falls to $70, Shell is out of the money — Shell becomes a performance risk to its counterparty as it might want to walk away and source cheaper in the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LNG book has a known gap here — a lot of fixed price purchases where MtM is not currently monitored. This is a risk area.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6. 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Net Exposure = Gross Exposure − Collateral. Always start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Performance risk = price uncertainty (contract not yet delivered/priced). Settlement risk = price fixed, just waiting for 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MtM is always zero on trade date. It builds from trade+1 onwards.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Crystallised MtM = price is known but not yet paid.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GCAP is the downstream system — all source systems (SAP, ETRM, Energy Credit) feed into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money = credit risk to Shell. Out of the money = performance risk to counterparty.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Session 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Overview of GCAP Architecture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Presenter: Shishir Jogani (STASCO-FST/LCD)  |  January 2023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Quick Recap — Sessions 1 &amp;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1: Trading entities, lines of business, what each entity is called.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2: How credit exposures are calculated — components of gross exposure and deep dive on Mark to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2 also covered credit risk metrics: Short Term ECL, Long Term ECL, Credit Reserves. Key differentiators: duration (short vs long term) and realised vs unrealised.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Credit Limits vs Exposure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common question: does changing a credit limit directly impact exposure?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direct impact — credit limits do not change how exposure is calculated.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Indirect impact — limits act like a credit card limit. They tell you how much room a trader has to do new deals with that counterparty.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Limit Availability = Credit Limit − Net Exposure. If exposure is close to the limit, traders have little room to strike new deals.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a trader wants to do a deal that would breach the limit, they either: (a) ask the counterparty to post additional collateral, or (b) the deal cannot go ahead even if it's commercially attractive.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LAR (Limit Availability Report) — produced daily by CDA. Traders use it every morning to check how much room they have. Extremely critical report — delays cause significant frustration from commercial teams.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 Checks team monitors limit vs live trades in real time. Traders must get approval from commercial credit before going above limits.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What is GCAP?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GCAP = Global Credit Analytics Platform. It is the system that quantifies credit risk and calculates credit metrics for Shell T&amp;S worldwide.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Previous system: GEMS (Global Exposure Management System) — on-premise hardware, physically located in the office.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2020, Shell migrated from GEMS to GCAP — a more formally IT-managed platform with proper infrastructure support.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principle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GCAP is a downstream recipient of data — it does not create any trade or SAP data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 receives data from ETRMs, ERPs (SAP), and credit systems, then transforms and calculates exposures.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CDA team owns the logic. IT manages infrastructure (servers, deployments).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Three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DEV: </w:t>
      </w:r>
      <w:r>
        <w:rPr>
          <w:rFonts w:ascii="Calibri" w:cs="Calibri" w:eastAsia="Calibri" w:hAnsi="Calibri"/>
          <w:sz w:val="22"/>
          <w:szCs w:val="22"/>
        </w:rPr>
        <w:t xml:space="preserve">DEV — development instance. Where logic changes are built and tested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UAT: </w:t>
      </w:r>
      <w:r>
        <w:rPr>
          <w:rFonts w:ascii="Calibri" w:cs="Calibri" w:eastAsia="Calibri" w:hAnsi="Calibri"/>
          <w:sz w:val="22"/>
          <w:szCs w:val="22"/>
        </w:rPr>
        <w:t xml:space="preserve">UAT — user acceptance testing. Changes are tested here before going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PROD: </w:t>
      </w:r>
      <w:r>
        <w:rPr>
          <w:rFonts w:ascii="Calibri" w:cs="Calibri" w:eastAsia="Calibri" w:hAnsi="Calibri"/>
          <w:sz w:val="22"/>
          <w:szCs w:val="22"/>
        </w:rPr>
        <w:t xml:space="preserve">PROD — production. Where all live reports are generated. Changes require a Change List ticket — IT deploys scripts but does not validate logic. CDA is fully responsible for accuracy.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Reporting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GCAP runs T+1 — not live. Trades booked today are reported the next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a good day: global credit exposure report available by ~9pm India time / 9:30am Houston / ~3-4pm UK.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Delays are linear — if a source system is delayed by 2 hours, GCAP output is delayed by 2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Worst case on record: 18-hour delay (Houston data centre power outage, Feb 2021 snowstorm). No data was lost.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Staging tables — current day only. Truncate and reload each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Archive tables — historical data. Approximately 2.5 years of history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High-volume tables (e.g. ODW at 1.2m rows/day) are not archived due to storage limits. Final counterparty-level exposure data is archived.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Materiality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a trade correction is under ~$100m impact on a $40bn+ portfolio, CDA does not rerun the entire process — it picks up next day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material changes, the source system team (e.g. Align) must update their tables, then CDA reruns.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GCAP — Four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Step 1 — Extract data from source systems (ETRMs, SAP, Energy Credit).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Step 2 — Data transformation and exposure calculation. Standardise/harmonise data from different sources. Write business logic for exposure calculation per line of business/region.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Step 3 — Consolidate individual regional/LOB views into one global credit exposure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4: </w:t>
      </w:r>
      <w:r>
        <w:rPr>
          <w:rFonts w:ascii="Calibri" w:cs="Calibri" w:eastAsia="Calibri" w:hAnsi="Calibri"/>
          <w:sz w:val="22"/>
          <w:szCs w:val="22"/>
        </w:rPr>
        <w:t xml:space="preserve">Step 4 — Use global data to compute credit metrics: ECL, Credit Reserves, Limit Availability etc.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Source Systems by Line of Business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There is no single platform — each region/LOB has its own source system. Critical to know which database feeds what.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Front-end ETRM: NDR (OpenLink)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NDR is the main trade booking front end. Different lines of business use different versions.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 Crude: NDR v11. Back end = ODW (Oil Data Warehouse).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 &amp; Canada Products: NDR v14. Back end = PDW (Products Data Warehouse).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LNG: NDR v18 (recently upgraded). Back end = currently Energy Credit; future state = EDW (Energy Data Warehouse) via Project ARC (planned July 2023).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SENA Gas: NDR. Back end = Synapse.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Source systems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LOB /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 end → Back end (source for GCAP)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NA Crude (STUSCO)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NDR v11 → ODW (Oil Data Warehouse)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NA &amp; Canada 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NDR v14 → PDW (Products Data Warehouse)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WONA Crude &amp; 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 (legacy, 1980s mainframe) → Energy Credit back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NDR v18 → Energy Credit (current) / EDW (future, Project ARC)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SENA Gas (US &amp; Canada)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NDR → Synapse → Credit Mart → Energy Credit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SENA Power (US &amp; Canada)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Nucleus → Credit Mart → Energy Credit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WONA Gas &amp; Power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Align (front end = back end, same 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Commercial 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GSAP / P-94 (trade data, invoice data and collateral all from same system)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SAP instances (invoice / AR / AP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SAP Instance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 (P-80)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WONA and Americas Gas &amp; Power invoice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P-81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 Crude &amp; Products invoice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GSAP / P-94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Commercial Products — trade data, invoice data AND collateral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Exposure lifecycle: MtM → Unbilled (UR) → Invoiced (AR/AP). MtM and UR data come from ETRMs. AR/AP settlement data comes from SAP.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Energy Credit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 risk management tool used across multiple LOBs. Two functions: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Front end — enter counterparty master data: credit ratings, parent/subsidiary links, netting agreements, collateral (LoCs, bank guarantees).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Back end — receives trade data from Credit Mart/Synapse/Nucleus, applies transformation logic, outputs to GCAP.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Energy Credit will be replaced by Cube Logic / GCS (Global Credit Solution) project — planned mid/late 2025. CDA logic will be ~90% migrated across.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Other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 Mart — combines Synapse (gas) and Nucleus (power) data for SENA. Also pulled directly by GCAP for certain deal-level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Align — WONA Gas &amp; Power ETRM. Front end and back end share the same name. Known for price curve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PMG — stress testing, price shock, simulation tool. Mainly used by Market Risk but CDA pulls inputs for PFE/ES analysis. Located in Washington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S&amp;P Default Rates — provided as an Excel file (no direct feed). Manually loaded into GCAP for ECL calculations.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End of Day (EOD)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source system runs an EOD batch at the end of each trading day — picks up all booked trades and loads them into the back-end data warehouse.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EOD runtimes vary significantly: some systems finish in 2-3 hours; NA Crude ODW can take 5-6 hours on a good day, up to 8-9 on a bad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Systems do not all finish simultaneously even if triggered at the same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Failures: most systems send alerts; Align does not currently send direct failure notifications — CDA picks these up via Market Risk.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6. Future State — GCS (Global Credit Solution)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GCS will replace Energy Credit with Cube Logic — a 3-year project targeting mid/late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 Mart is planned to be decommissioned in the long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Future state: source systems → Cube Logic → reports (GCAP's role reduced or replaced).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Understanding GCAP is still essential — ~90% of its logic will be migrated to Cube Logic.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Shell Trading &amp; Supply  |  CDA New Joiners Training  |  Notes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2026-06-01T09:42:14.933Z</dcterms:created>
  <dcterms:modified xsi:type="dcterms:W3CDTF">2026-06-01T09:42:14.947Z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