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Session 3</w:t>
      </w:r>
    </w:p>
    <w:p>
      <w:pPr>
        <w:spacing w:after="40"/>
      </w:pPr>
      <w:r>
        <w:rPr>
          <w:rFonts w:ascii="Calibri" w:cs="Calibri" w:eastAsia="Calibri" w:hAnsi="Calibri"/>
          <w:b/>
          <w:bCs/>
          <w:sz w:val="28"/>
          <w:szCs w:val="28"/>
        </w:rPr>
        <w:t xml:space="preserve">Overview of GCAP Architecture</w:t>
      </w:r>
    </w:p>
    <w:p>
      <w:pPr>
        <w:spacing w:after="400"/>
      </w:pPr>
      <w:r>
        <w:rPr>
          <w:rFonts w:ascii="Calibri" w:cs="Calibri" w:eastAsia="Calibri" w:hAnsi="Calibri"/>
          <w:i/>
          <w:iCs/>
          <w:color w:val="666666"/>
          <w:sz w:val="20"/>
          <w:szCs w:val="20"/>
        </w:rPr>
        <w:t xml:space="preserve">Presenter: Shishir Jogani (STASCO-FST/LCD)  |  January 2023</w:t>
      </w:r>
    </w:p>
    <w:p>
      <w:pPr>
        <w:pStyle w:val="Heading1"/>
        <w:spacing w:after="120" w:before="320"/>
      </w:pPr>
      <w:r>
        <w:rPr>
          <w:rFonts w:ascii="Calibri" w:cs="Calibri" w:eastAsia="Calibri" w:hAnsi="Calibri"/>
          <w:b/>
          <w:bCs/>
          <w:sz w:val="30"/>
          <w:szCs w:val="30"/>
        </w:rPr>
        <w:t xml:space="preserve">1. Credit Limits vs Exposure</w:t>
      </w:r>
    </w:p>
    <w:p>
      <w:pPr>
        <w:spacing w:after="100"/>
      </w:pPr>
      <w:r>
        <w:rPr>
          <w:rFonts w:ascii="Calibri" w:cs="Calibri" w:eastAsia="Calibri" w:hAnsi="Calibri"/>
          <w:sz w:val="22"/>
          <w:szCs w:val="22"/>
        </w:rPr>
        <w:t xml:space="preserve">A common question on joining the team: does a credit limit directly change how much exposure is calculated?</w:t>
      </w:r>
    </w:p>
    <w:p>
      <w:pPr>
        <w:pStyle w:val="ListParagraph"/>
        <w:numPr>
          <w:ilvl w:val="0"/>
          <w:numId w:val="2"/>
        </w:numPr>
        <w:spacing w:after="80"/>
      </w:pPr>
      <w:r>
        <w:rPr>
          <w:rFonts w:ascii="Calibri" w:cs="Calibri" w:eastAsia="Calibri" w:hAnsi="Calibri"/>
          <w:sz w:val="22"/>
          <w:szCs w:val="22"/>
        </w:rPr>
        <w:t xml:space="preserve">No direct impact — the credit limit does not change the exposure calculation itself.</w:t>
      </w:r>
    </w:p>
    <w:p>
      <w:pPr>
        <w:pStyle w:val="ListParagraph"/>
        <w:numPr>
          <w:ilvl w:val="0"/>
          <w:numId w:val="2"/>
        </w:numPr>
        <w:spacing w:after="80"/>
      </w:pPr>
      <w:r>
        <w:rPr>
          <w:rFonts w:ascii="Calibri" w:cs="Calibri" w:eastAsia="Calibri" w:hAnsi="Calibri"/>
          <w:sz w:val="22"/>
          <w:szCs w:val="22"/>
        </w:rPr>
        <w:t xml:space="preserve">Indirect impact — the limit tells you how much room a trader has to do new deals with a given counterparty. Think of it like a credit card limit.</w:t>
      </w:r>
    </w:p>
    <w:p>
      <w:pPr>
        <w:pStyle w:val="ListParagraph"/>
        <w:numPr>
          <w:ilvl w:val="0"/>
          <w:numId w:val="2"/>
        </w:numPr>
        <w:spacing w:after="80"/>
      </w:pPr>
      <w:r>
        <w:rPr>
          <w:rFonts w:ascii="Calibri" w:cs="Calibri" w:eastAsia="Calibri" w:hAnsi="Calibri"/>
          <w:sz w:val="22"/>
          <w:szCs w:val="22"/>
        </w:rPr>
        <w:t xml:space="preserve">Limit Availability = Credit Limit minus Net Exposure. If exposure is close to the limit, the trader has little room left.</w:t>
      </w:r>
    </w:p>
    <w:p>
      <w:pPr>
        <w:pStyle w:val="ListParagraph"/>
        <w:numPr>
          <w:ilvl w:val="0"/>
          <w:numId w:val="2"/>
        </w:numPr>
        <w:spacing w:after="80"/>
      </w:pPr>
      <w:r>
        <w:rPr>
          <w:rFonts w:ascii="Calibri" w:cs="Calibri" w:eastAsia="Calibri" w:hAnsi="Calibri"/>
          <w:sz w:val="22"/>
          <w:szCs w:val="22"/>
        </w:rPr>
        <w:t xml:space="preserve">If a deal would breach the limit, the trader must either ask the counterparty to post more collateral, or the deal cannot go ahead — even if it looks commercially attractive.</w:t>
      </w:r>
    </w:p>
    <w:p>
      <w:pPr>
        <w:pStyle w:val="ListParagraph"/>
        <w:numPr>
          <w:ilvl w:val="0"/>
          <w:numId w:val="2"/>
        </w:numPr>
        <w:spacing w:after="80"/>
      </w:pPr>
      <w:r>
        <w:rPr>
          <w:rFonts w:ascii="Calibri" w:cs="Calibri" w:eastAsia="Calibri" w:hAnsi="Calibri"/>
          <w:sz w:val="22"/>
          <w:szCs w:val="22"/>
        </w:rPr>
        <w:t xml:space="preserve">Limit Availability Report (LAR) — produced daily by the CDA team. Traders check it every morning. Delays to this report cause significant frustration from commercial teams because they can't see how much room they have.</w:t>
      </w:r>
    </w:p>
    <w:p>
      <w:pPr>
        <w:pStyle w:val="ListParagraph"/>
        <w:numPr>
          <w:ilvl w:val="0"/>
          <w:numId w:val="2"/>
        </w:numPr>
        <w:spacing w:after="80"/>
      </w:pPr>
      <w:r>
        <w:rPr>
          <w:rFonts w:ascii="Calibri" w:cs="Calibri" w:eastAsia="Calibri" w:hAnsi="Calibri"/>
          <w:sz w:val="22"/>
          <w:szCs w:val="22"/>
        </w:rPr>
        <w:t xml:space="preserve">A separate Credit Checks team monitors limit vs live trades in real time. Traders must get approval before going above limits.</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2. What is GCAP?</w:t>
      </w:r>
    </w:p>
    <w:p>
      <w:pPr>
        <w:spacing w:after="100"/>
      </w:pPr>
      <w:r>
        <w:rPr>
          <w:rFonts w:ascii="Calibri" w:cs="Calibri" w:eastAsia="Calibri" w:hAnsi="Calibri"/>
          <w:sz w:val="22"/>
          <w:szCs w:val="22"/>
        </w:rPr>
        <w:t xml:space="preserve">GCAP stands for Global Credit Analytics Platform. It is the system that quantifies credit risk and produces all credit reporting for Shell Trading &amp; Supply worldwide.</w:t>
      </w:r>
    </w:p>
    <w:p>
      <w:pPr>
        <w:spacing w:after="160"/>
      </w:pPr>
      <w:r>
        <w:t xml:space="preserve"/>
      </w:r>
    </w:p>
    <w:p>
      <w:pPr>
        <w:pStyle w:val="Heading2"/>
        <w:spacing w:after="80" w:before="200"/>
      </w:pPr>
      <w:r>
        <w:rPr>
          <w:rFonts w:ascii="Calibri" w:cs="Calibri" w:eastAsia="Calibri" w:hAnsi="Calibri"/>
          <w:b/>
          <w:bCs/>
          <w:sz w:val="24"/>
          <w:szCs w:val="24"/>
        </w:rPr>
        <w:t xml:space="preserve">History</w:t>
      </w:r>
    </w:p>
    <w:p>
      <w:pPr>
        <w:pStyle w:val="ListParagraph"/>
        <w:numPr>
          <w:ilvl w:val="0"/>
          <w:numId w:val="2"/>
        </w:numPr>
        <w:spacing w:after="80"/>
      </w:pPr>
      <w:r>
        <w:rPr>
          <w:rFonts w:ascii="Calibri" w:cs="Calibri" w:eastAsia="Calibri" w:hAnsi="Calibri"/>
          <w:sz w:val="22"/>
          <w:szCs w:val="22"/>
        </w:rPr>
        <w:t xml:space="preserve">Previous system was called GEMS (Global Exposure Management System) — an on-premise system, physically stored as hardware in the office.</w:t>
      </w:r>
    </w:p>
    <w:p>
      <w:pPr>
        <w:pStyle w:val="ListParagraph"/>
        <w:numPr>
          <w:ilvl w:val="0"/>
          <w:numId w:val="2"/>
        </w:numPr>
        <w:spacing w:after="80"/>
      </w:pPr>
      <w:r>
        <w:rPr>
          <w:rFonts w:ascii="Calibri" w:cs="Calibri" w:eastAsia="Calibri" w:hAnsi="Calibri"/>
          <w:sz w:val="22"/>
          <w:szCs w:val="22"/>
        </w:rPr>
        <w:t xml:space="preserve">In 2020, Shell migrated to GCAP — a formally IT-managed platform with proper infrastructure support (servers, failover, backups).</w:t>
      </w:r>
    </w:p>
    <w:p>
      <w:pPr>
        <w:spacing w:after="160"/>
      </w:pPr>
      <w:r>
        <w:t xml:space="preserve"/>
      </w:r>
    </w:p>
    <w:p>
      <w:pPr>
        <w:pStyle w:val="Heading2"/>
        <w:spacing w:after="80" w:before="200"/>
      </w:pPr>
      <w:r>
        <w:rPr>
          <w:rFonts w:ascii="Calibri" w:cs="Calibri" w:eastAsia="Calibri" w:hAnsi="Calibri"/>
          <w:b/>
          <w:bCs/>
          <w:sz w:val="24"/>
          <w:szCs w:val="24"/>
        </w:rPr>
        <w:t xml:space="preserve">Key principle — GCAP does not create data</w:t>
      </w:r>
    </w:p>
    <w:p>
      <w:pPr>
        <w:pStyle w:val="ListParagraph"/>
        <w:numPr>
          <w:ilvl w:val="0"/>
          <w:numId w:val="2"/>
        </w:numPr>
        <w:spacing w:after="80"/>
      </w:pPr>
      <w:r>
        <w:rPr>
          <w:rFonts w:ascii="Calibri" w:cs="Calibri" w:eastAsia="Calibri" w:hAnsi="Calibri"/>
          <w:sz w:val="22"/>
          <w:szCs w:val="22"/>
        </w:rPr>
        <w:t xml:space="preserve">GCAP is a downstream recipient. It receives data from trading systems, accounting systems, and credit systems — it does not generate any trade or invoice data itself.</w:t>
      </w:r>
    </w:p>
    <w:p>
      <w:pPr>
        <w:pStyle w:val="ListParagraph"/>
        <w:numPr>
          <w:ilvl w:val="0"/>
          <w:numId w:val="2"/>
        </w:numPr>
        <w:spacing w:after="80"/>
      </w:pPr>
      <w:r>
        <w:rPr>
          <w:rFonts w:ascii="Calibri" w:cs="Calibri" w:eastAsia="Calibri" w:hAnsi="Calibri"/>
          <w:sz w:val="22"/>
          <w:szCs w:val="22"/>
        </w:rPr>
        <w:t xml:space="preserve">CDA team owns the business logic written inside GCAP. IT manages the infrastructure.</w:t>
      </w:r>
    </w:p>
    <w:p>
      <w:pPr>
        <w:spacing w:after="160"/>
      </w:pPr>
      <w:r>
        <w:t xml:space="preserve"/>
      </w:r>
    </w:p>
    <w:p>
      <w:pPr>
        <w:pStyle w:val="Heading2"/>
        <w:spacing w:after="80" w:before="200"/>
      </w:pPr>
      <w:r>
        <w:rPr>
          <w:rFonts w:ascii="Calibri" w:cs="Calibri" w:eastAsia="Calibri" w:hAnsi="Calibri"/>
          <w:b/>
          <w:bCs/>
          <w:sz w:val="24"/>
          <w:szCs w:val="24"/>
        </w:rPr>
        <w:t xml:space="preserve">Three environments</w:t>
      </w:r>
    </w:p>
    <w:p>
      <w:pPr>
        <w:pStyle w:val="ListParagraph"/>
        <w:numPr>
          <w:ilvl w:val="0"/>
          <w:numId w:val="2"/>
        </w:numPr>
        <w:spacing w:after="80"/>
      </w:pPr>
      <w:r>
        <w:rPr>
          <w:rFonts w:ascii="Calibri" w:cs="Calibri" w:eastAsia="Calibri" w:hAnsi="Calibri"/>
          <w:b/>
          <w:bCs/>
          <w:sz w:val="22"/>
          <w:szCs w:val="22"/>
        </w:rPr>
        <w:t xml:space="preserve">DEV: </w:t>
      </w:r>
      <w:r>
        <w:rPr>
          <w:rFonts w:ascii="Calibri" w:cs="Calibri" w:eastAsia="Calibri" w:hAnsi="Calibri"/>
          <w:sz w:val="22"/>
          <w:szCs w:val="22"/>
        </w:rPr>
        <w:t xml:space="preserve">DEV — where logic changes and new code are built and tested first.</w:t>
      </w:r>
    </w:p>
    <w:p>
      <w:pPr>
        <w:pStyle w:val="ListParagraph"/>
        <w:numPr>
          <w:ilvl w:val="0"/>
          <w:numId w:val="2"/>
        </w:numPr>
        <w:spacing w:after="80"/>
      </w:pPr>
      <w:r>
        <w:rPr>
          <w:rFonts w:ascii="Calibri" w:cs="Calibri" w:eastAsia="Calibri" w:hAnsi="Calibri"/>
          <w:b/>
          <w:bCs/>
          <w:sz w:val="22"/>
          <w:szCs w:val="22"/>
        </w:rPr>
        <w:t xml:space="preserve">UAT: </w:t>
      </w:r>
      <w:r>
        <w:rPr>
          <w:rFonts w:ascii="Calibri" w:cs="Calibri" w:eastAsia="Calibri" w:hAnsi="Calibri"/>
          <w:sz w:val="22"/>
          <w:szCs w:val="22"/>
        </w:rPr>
        <w:t xml:space="preserve">UAT — where changes are tested by the team before going live.</w:t>
      </w:r>
    </w:p>
    <w:p>
      <w:pPr>
        <w:pStyle w:val="ListParagraph"/>
        <w:numPr>
          <w:ilvl w:val="0"/>
          <w:numId w:val="2"/>
        </w:numPr>
        <w:spacing w:after="80"/>
      </w:pPr>
      <w:r>
        <w:rPr>
          <w:rFonts w:ascii="Calibri" w:cs="Calibri" w:eastAsia="Calibri" w:hAnsi="Calibri"/>
          <w:b/>
          <w:bCs/>
          <w:sz w:val="22"/>
          <w:szCs w:val="22"/>
        </w:rPr>
        <w:t xml:space="preserve">PROD: </w:t>
      </w:r>
      <w:r>
        <w:rPr>
          <w:rFonts w:ascii="Calibri" w:cs="Calibri" w:eastAsia="Calibri" w:hAnsi="Calibri"/>
          <w:sz w:val="22"/>
          <w:szCs w:val="22"/>
        </w:rPr>
        <w:t xml:space="preserve">PROD — the live environment where all daily reports are produced. To move code to PROD you must raise a Change List ticket. IT deploys the scripts but does not validate the logic — that is entirely CDA's responsibility.</w:t>
      </w:r>
    </w:p>
    <w:p>
      <w:pPr>
        <w:spacing w:after="160"/>
      </w:pPr>
      <w:r>
        <w:t xml:space="preserve"/>
      </w:r>
    </w:p>
    <w:p>
      <w:pPr>
        <w:pStyle w:val="Heading2"/>
        <w:spacing w:after="80" w:before="200"/>
      </w:pPr>
      <w:r>
        <w:rPr>
          <w:rFonts w:ascii="Calibri" w:cs="Calibri" w:eastAsia="Calibri" w:hAnsi="Calibri"/>
          <w:b/>
          <w:bCs/>
          <w:sz w:val="24"/>
          <w:szCs w:val="24"/>
        </w:rPr>
        <w:t xml:space="preserve">Reporting timeline</w:t>
      </w:r>
    </w:p>
    <w:p>
      <w:pPr>
        <w:pStyle w:val="ListParagraph"/>
        <w:numPr>
          <w:ilvl w:val="0"/>
          <w:numId w:val="2"/>
        </w:numPr>
        <w:spacing w:after="80"/>
      </w:pPr>
      <w:r>
        <w:rPr>
          <w:rFonts w:ascii="Calibri" w:cs="Calibri" w:eastAsia="Calibri" w:hAnsi="Calibri"/>
          <w:sz w:val="22"/>
          <w:szCs w:val="22"/>
        </w:rPr>
        <w:t xml:space="preserve">GCAP runs T+1 — not live. Trades booked today appear in tomorrow's report.</w:t>
      </w:r>
    </w:p>
    <w:p>
      <w:pPr>
        <w:pStyle w:val="ListParagraph"/>
        <w:numPr>
          <w:ilvl w:val="0"/>
          <w:numId w:val="2"/>
        </w:numPr>
        <w:spacing w:after="80"/>
      </w:pPr>
      <w:r>
        <w:rPr>
          <w:rFonts w:ascii="Calibri" w:cs="Calibri" w:eastAsia="Calibri" w:hAnsi="Calibri"/>
          <w:sz w:val="22"/>
          <w:szCs w:val="22"/>
        </w:rPr>
        <w:t xml:space="preserve">On a good day, the global credit exposure report is available by around 9pm India time, which is 9:30am Houston and 3-4pm UK.</w:t>
      </w:r>
    </w:p>
    <w:p>
      <w:pPr>
        <w:pStyle w:val="ListParagraph"/>
        <w:numPr>
          <w:ilvl w:val="0"/>
          <w:numId w:val="2"/>
        </w:numPr>
        <w:spacing w:after="80"/>
      </w:pPr>
      <w:r>
        <w:rPr>
          <w:rFonts w:ascii="Calibri" w:cs="Calibri" w:eastAsia="Calibri" w:hAnsi="Calibri"/>
          <w:sz w:val="22"/>
          <w:szCs w:val="22"/>
        </w:rPr>
        <w:t xml:space="preserve">Delays are linear — if a source system is delayed by two hours, the GCAP report is delayed by two hours.</w:t>
      </w:r>
    </w:p>
    <w:p>
      <w:pPr>
        <w:pStyle w:val="ListParagraph"/>
        <w:numPr>
          <w:ilvl w:val="0"/>
          <w:numId w:val="2"/>
        </w:numPr>
        <w:spacing w:after="80"/>
      </w:pPr>
      <w:r>
        <w:rPr>
          <w:rFonts w:ascii="Calibri" w:cs="Calibri" w:eastAsia="Calibri" w:hAnsi="Calibri"/>
          <w:sz w:val="22"/>
          <w:szCs w:val="22"/>
        </w:rPr>
        <w:t xml:space="preserve">Worst case on record: 18-hour delay caused by a Houston data centre power outage during the February 2021 snowstorm. No data was lost.</w:t>
      </w:r>
    </w:p>
    <w:p>
      <w:pPr>
        <w:spacing w:after="160"/>
      </w:pPr>
      <w:r>
        <w:t xml:space="preserve"/>
      </w:r>
    </w:p>
    <w:p>
      <w:pPr>
        <w:pStyle w:val="Heading2"/>
        <w:spacing w:after="80" w:before="200"/>
      </w:pPr>
      <w:r>
        <w:rPr>
          <w:rFonts w:ascii="Calibri" w:cs="Calibri" w:eastAsia="Calibri" w:hAnsi="Calibri"/>
          <w:b/>
          <w:bCs/>
          <w:sz w:val="24"/>
          <w:szCs w:val="24"/>
        </w:rPr>
        <w:t xml:space="preserve">Data storage</w:t>
      </w:r>
    </w:p>
    <w:p>
      <w:pPr>
        <w:pStyle w:val="ListParagraph"/>
        <w:numPr>
          <w:ilvl w:val="0"/>
          <w:numId w:val="2"/>
        </w:numPr>
        <w:spacing w:after="80"/>
      </w:pPr>
      <w:r>
        <w:rPr>
          <w:rFonts w:ascii="Calibri" w:cs="Calibri" w:eastAsia="Calibri" w:hAnsi="Calibri"/>
          <w:sz w:val="22"/>
          <w:szCs w:val="22"/>
        </w:rPr>
        <w:t xml:space="preserve">Staging tables — hold current day data only. Old data is wiped and replaced each day (truncate and reload).</w:t>
      </w:r>
    </w:p>
    <w:p>
      <w:pPr>
        <w:pStyle w:val="ListParagraph"/>
        <w:numPr>
          <w:ilvl w:val="0"/>
          <w:numId w:val="2"/>
        </w:numPr>
        <w:spacing w:after="80"/>
      </w:pPr>
      <w:r>
        <w:rPr>
          <w:rFonts w:ascii="Calibri" w:cs="Calibri" w:eastAsia="Calibri" w:hAnsi="Calibri"/>
          <w:sz w:val="22"/>
          <w:szCs w:val="22"/>
        </w:rPr>
        <w:t xml:space="preserve">Archive tables — historical data going back approximately 2.5 years.</w:t>
      </w:r>
    </w:p>
    <w:p>
      <w:pPr>
        <w:pStyle w:val="ListParagraph"/>
        <w:numPr>
          <w:ilvl w:val="0"/>
          <w:numId w:val="2"/>
        </w:numPr>
        <w:spacing w:after="80"/>
      </w:pPr>
      <w:r>
        <w:rPr>
          <w:rFonts w:ascii="Calibri" w:cs="Calibri" w:eastAsia="Calibri" w:hAnsi="Calibri"/>
          <w:sz w:val="22"/>
          <w:szCs w:val="22"/>
        </w:rPr>
        <w:t xml:space="preserve">Very high-volume tables (e.g. the oil data warehouse at 1.2 million rows per day) are not archived due to storage limits. Final counterparty-level exposure results are always archived.</w:t>
      </w:r>
    </w:p>
    <w:p>
      <w:pPr>
        <w:spacing w:after="160"/>
      </w:pPr>
      <w:r>
        <w:t xml:space="preserve"/>
      </w:r>
    </w:p>
    <w:p>
      <w:pPr>
        <w:pStyle w:val="Heading2"/>
        <w:spacing w:after="80" w:before="200"/>
      </w:pPr>
      <w:r>
        <w:rPr>
          <w:rFonts w:ascii="Calibri" w:cs="Calibri" w:eastAsia="Calibri" w:hAnsi="Calibri"/>
          <w:b/>
          <w:bCs/>
          <w:sz w:val="24"/>
          <w:szCs w:val="24"/>
        </w:rPr>
        <w:t xml:space="preserve">Materiality threshold for reruns</w:t>
      </w:r>
    </w:p>
    <w:p>
      <w:pPr>
        <w:pStyle w:val="ListParagraph"/>
        <w:numPr>
          <w:ilvl w:val="0"/>
          <w:numId w:val="2"/>
        </w:numPr>
        <w:spacing w:after="80"/>
      </w:pPr>
      <w:r>
        <w:rPr>
          <w:rFonts w:ascii="Calibri" w:cs="Calibri" w:eastAsia="Calibri" w:hAnsi="Calibri"/>
          <w:sz w:val="22"/>
          <w:szCs w:val="22"/>
        </w:rPr>
        <w:t xml:space="preserve">If a trade correction would change the global exposure by less than around $100 million (on a $40+ billion portfolio), CDA does not rerun the full process — it picks up automatically the next day.</w:t>
      </w:r>
    </w:p>
    <w:p>
      <w:pPr>
        <w:pStyle w:val="ListParagraph"/>
        <w:numPr>
          <w:ilvl w:val="0"/>
          <w:numId w:val="2"/>
        </w:numPr>
        <w:spacing w:after="80"/>
      </w:pPr>
      <w:r>
        <w:rPr>
          <w:rFonts w:ascii="Calibri" w:cs="Calibri" w:eastAsia="Calibri" w:hAnsi="Calibri"/>
          <w:sz w:val="22"/>
          <w:szCs w:val="22"/>
        </w:rPr>
        <w:t xml:space="preserve">For material changes, the relevant source system team must update their tables first, then CDA reruns from that point.</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3. GCAP — Four Steps</w:t>
      </w:r>
    </w:p>
    <w:p>
      <w:pPr>
        <w:pStyle w:val="ListParagraph"/>
        <w:numPr>
          <w:ilvl w:val="0"/>
          <w:numId w:val="2"/>
        </w:numPr>
        <w:spacing w:after="80"/>
      </w:pPr>
      <w:r>
        <w:rPr>
          <w:rFonts w:ascii="Calibri" w:cs="Calibri" w:eastAsia="Calibri" w:hAnsi="Calibri"/>
          <w:b/>
          <w:bCs/>
          <w:sz w:val="22"/>
          <w:szCs w:val="22"/>
        </w:rPr>
        <w:t xml:space="preserve">Step 1: </w:t>
      </w:r>
      <w:r>
        <w:rPr>
          <w:rFonts w:ascii="Calibri" w:cs="Calibri" w:eastAsia="Calibri" w:hAnsi="Calibri"/>
          <w:sz w:val="22"/>
          <w:szCs w:val="22"/>
        </w:rPr>
        <w:t xml:space="preserve">Step 1 — Pull data in from all source systems (trading systems, SAP, Energy Credit, external sources like S&amp;P default rates).</w:t>
      </w:r>
    </w:p>
    <w:p>
      <w:pPr>
        <w:pStyle w:val="ListParagraph"/>
        <w:numPr>
          <w:ilvl w:val="0"/>
          <w:numId w:val="2"/>
        </w:numPr>
        <w:spacing w:after="80"/>
      </w:pPr>
      <w:r>
        <w:rPr>
          <w:rFonts w:ascii="Calibri" w:cs="Calibri" w:eastAsia="Calibri" w:hAnsi="Calibri"/>
          <w:b/>
          <w:bCs/>
          <w:sz w:val="22"/>
          <w:szCs w:val="22"/>
        </w:rPr>
        <w:t xml:space="preserve">Step 2: </w:t>
      </w:r>
      <w:r>
        <w:rPr>
          <w:rFonts w:ascii="Calibri" w:cs="Calibri" w:eastAsia="Calibri" w:hAnsi="Calibri"/>
          <w:sz w:val="22"/>
          <w:szCs w:val="22"/>
        </w:rPr>
        <w:t xml:space="preserve">Step 2 — Transform and standardise the data. Different source systems send data in different formats, so this step harmonises everything. The credit exposure calculation logic (AR, UR, MtM etc.) is also run here, separately for each line of business.</w:t>
      </w:r>
    </w:p>
    <w:p>
      <w:pPr>
        <w:pStyle w:val="ListParagraph"/>
        <w:numPr>
          <w:ilvl w:val="0"/>
          <w:numId w:val="2"/>
        </w:numPr>
        <w:spacing w:after="80"/>
      </w:pPr>
      <w:r>
        <w:rPr>
          <w:rFonts w:ascii="Calibri" w:cs="Calibri" w:eastAsia="Calibri" w:hAnsi="Calibri"/>
          <w:b/>
          <w:bCs/>
          <w:sz w:val="22"/>
          <w:szCs w:val="22"/>
        </w:rPr>
        <w:t xml:space="preserve">Step 3: </w:t>
      </w:r>
      <w:r>
        <w:rPr>
          <w:rFonts w:ascii="Calibri" w:cs="Calibri" w:eastAsia="Calibri" w:hAnsi="Calibri"/>
          <w:sz w:val="22"/>
          <w:szCs w:val="22"/>
        </w:rPr>
        <w:t xml:space="preserve">Step 3 — Consolidate all individual line-of-business results into one single global credit exposure view.</w:t>
      </w:r>
    </w:p>
    <w:p>
      <w:pPr>
        <w:pStyle w:val="ListParagraph"/>
        <w:numPr>
          <w:ilvl w:val="0"/>
          <w:numId w:val="2"/>
        </w:numPr>
        <w:spacing w:after="80"/>
      </w:pPr>
      <w:r>
        <w:rPr>
          <w:rFonts w:ascii="Calibri" w:cs="Calibri" w:eastAsia="Calibri" w:hAnsi="Calibri"/>
          <w:b/>
          <w:bCs/>
          <w:sz w:val="22"/>
          <w:szCs w:val="22"/>
        </w:rPr>
        <w:t xml:space="preserve">Step 4: </w:t>
      </w:r>
      <w:r>
        <w:rPr>
          <w:rFonts w:ascii="Calibri" w:cs="Calibri" w:eastAsia="Calibri" w:hAnsi="Calibri"/>
          <w:sz w:val="22"/>
          <w:szCs w:val="22"/>
        </w:rPr>
        <w:t xml:space="preserve">Step 4 — Use the global data to calculate credit metrics: Expected Credit Loss, Credit Reserves, Limit Availability etc.</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4. Source Systems by Line of Business</w:t>
      </w:r>
    </w:p>
    <w:p>
      <w:pPr>
        <w:spacing w:after="100"/>
      </w:pPr>
      <w:r>
        <w:rPr>
          <w:rFonts w:ascii="Calibri" w:cs="Calibri" w:eastAsia="Calibri" w:hAnsi="Calibri"/>
          <w:sz w:val="22"/>
          <w:szCs w:val="22"/>
        </w:rPr>
        <w:t xml:space="preserve">There is no single platform. Each region and line of business has its own source system. Knowing which system feeds what is critical for daily operations.</w:t>
      </w:r>
    </w:p>
    <w:p>
      <w:pPr>
        <w:spacing w:after="160"/>
      </w:pPr>
      <w:r>
        <w:t xml:space="preserve"/>
      </w:r>
    </w:p>
    <w:p>
      <w:pPr>
        <w:pStyle w:val="Heading2"/>
        <w:spacing w:after="80" w:before="200"/>
      </w:pPr>
      <w:r>
        <w:rPr>
          <w:rFonts w:ascii="Calibri" w:cs="Calibri" w:eastAsia="Calibri" w:hAnsi="Calibri"/>
          <w:b/>
          <w:bCs/>
          <w:sz w:val="24"/>
          <w:szCs w:val="24"/>
        </w:rPr>
        <w:t xml:space="preserve">Trading systems (ETRMs)</w:t>
      </w:r>
    </w:p>
    <w:p>
      <w:pPr>
        <w:pStyle w:val="ListParagraph"/>
        <w:numPr>
          <w:ilvl w:val="0"/>
          <w:numId w:val="2"/>
        </w:numPr>
        <w:spacing w:after="80"/>
      </w:pPr>
      <w:r>
        <w:rPr>
          <w:rFonts w:ascii="Calibri" w:cs="Calibri" w:eastAsia="Calibri" w:hAnsi="Calibri"/>
          <w:sz w:val="22"/>
          <w:szCs w:val="22"/>
        </w:rPr>
        <w:t xml:space="preserve">NDR (OpenLink) is the main trade booking front end used across most lines of business. Different lines use different versions of the software.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Line of 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Front end → Back end (what GCAP pulls from)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NA Crude (STUSCO + Shell Trading Canada)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v11 → ODW (Oil Data Warehouse)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NA &amp; Canada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v14 → PDW (Products Data Warehouse)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WONA Crude &amp;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DEX (1980s legacy mainframe) → Energy Credit back 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LNG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v18 → Energy Credit now / EDW in future (Project ARC)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SENA Gas (US &amp; Canada)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NDR → Synapse → Credit Mart → 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SENA Power (US &amp; Canada)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Nucleus → Credit Mart → 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WONA Gas &amp; Power + Emissions/Carbon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Align (front end and back end share the same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Commercial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GSAP / P-94 (covers trades, invoices, and collateral all in one)</w:t>
            </w:r>
          </w:p>
        </w:tc>
      </w:tr>
    </w:tbl>
    <w:p>
      <w:pPr>
        <w:spacing w:after="160"/>
      </w:pPr>
      <w:r>
        <w:t xml:space="preserve"/>
      </w:r>
    </w:p>
    <w:p>
      <w:pPr>
        <w:pStyle w:val="Heading2"/>
        <w:spacing w:after="80" w:before="200"/>
      </w:pPr>
      <w:r>
        <w:rPr>
          <w:rFonts w:ascii="Calibri" w:cs="Calibri" w:eastAsia="Calibri" w:hAnsi="Calibri"/>
          <w:b/>
          <w:bCs/>
          <w:sz w:val="24"/>
          <w:szCs w:val="24"/>
        </w:rPr>
        <w:t xml:space="preserve">SAP instances — invoice and payment data</w:t>
      </w:r>
    </w:p>
    <w:p>
      <w:pPr>
        <w:spacing w:after="100"/>
      </w:pPr>
      <w:r>
        <w:rPr>
          <w:rFonts w:ascii="Calibri" w:cs="Calibri" w:eastAsia="Calibri" w:hAnsi="Calibri"/>
          <w:sz w:val="22"/>
          <w:szCs w:val="22"/>
        </w:rPr>
        <w:t xml:space="preserve">Once a deal is priced and invoiced, the settlement data comes from SAP (not from the trading system). Shell uses three separate instances of SAP: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SAP Instance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What it covers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PAT (also called P-80)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WONA and Americas Gas &amp; Power invoice and receivables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P-81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North America Crude &amp; Products invoice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GSAP / P-94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Commercial Products — trade data, invoices, and collateral all from the same system</w:t>
            </w:r>
          </w:p>
        </w:tc>
      </w:tr>
    </w:tbl>
    <w:p>
      <w:pPr>
        <w:spacing w:after="160"/>
      </w:pPr>
      <w:r>
        <w:t xml:space="preserve"/>
      </w:r>
    </w:p>
    <w:p>
      <w:pPr>
        <w:pStyle w:val="Heading2"/>
        <w:spacing w:after="80" w:before="200"/>
      </w:pPr>
      <w:r>
        <w:rPr>
          <w:rFonts w:ascii="Calibri" w:cs="Calibri" w:eastAsia="Calibri" w:hAnsi="Calibri"/>
          <w:b/>
          <w:bCs/>
          <w:sz w:val="24"/>
          <w:szCs w:val="24"/>
        </w:rPr>
        <w:t xml:space="preserve">Energy Credit</w:t>
      </w:r>
    </w:p>
    <w:p>
      <w:pPr>
        <w:pStyle w:val="ListParagraph"/>
        <w:numPr>
          <w:ilvl w:val="0"/>
          <w:numId w:val="2"/>
        </w:numPr>
        <w:spacing w:after="80"/>
      </w:pPr>
      <w:r>
        <w:rPr>
          <w:rFonts w:ascii="Calibri" w:cs="Calibri" w:eastAsia="Calibri" w:hAnsi="Calibri"/>
          <w:sz w:val="22"/>
          <w:szCs w:val="22"/>
        </w:rPr>
        <w:t xml:space="preserve">A credit risk management tool used across multiple lines of business. Has two functions:</w:t>
      </w:r>
    </w:p>
    <w:p>
      <w:pPr>
        <w:pStyle w:val="ListParagraph"/>
        <w:numPr>
          <w:ilvl w:val="1"/>
          <w:numId w:val="2"/>
        </w:numPr>
        <w:spacing w:after="60"/>
      </w:pPr>
      <w:r>
        <w:rPr>
          <w:rFonts w:ascii="Calibri" w:cs="Calibri" w:eastAsia="Calibri" w:hAnsi="Calibri"/>
          <w:sz w:val="20"/>
          <w:szCs w:val="20"/>
        </w:rPr>
        <w:t xml:space="preserve">Front end — used to enter and manage counterparty master data: credit ratings, parent/subsidiary relationships, netting agreements, collateral (letters of credit, bank guarantees).</w:t>
      </w:r>
    </w:p>
    <w:p>
      <w:pPr>
        <w:pStyle w:val="ListParagraph"/>
        <w:numPr>
          <w:ilvl w:val="1"/>
          <w:numId w:val="2"/>
        </w:numPr>
        <w:spacing w:after="60"/>
      </w:pPr>
      <w:r>
        <w:rPr>
          <w:rFonts w:ascii="Calibri" w:cs="Calibri" w:eastAsia="Calibri" w:hAnsi="Calibri"/>
          <w:sz w:val="20"/>
          <w:szCs w:val="20"/>
        </w:rPr>
        <w:t xml:space="preserve">Back end — receives trade data from Credit Mart, DEX, and EDW, applies transformation logic, and outputs cleaned data to GCAP.</w:t>
      </w:r>
    </w:p>
    <w:p>
      <w:pPr>
        <w:pStyle w:val="ListParagraph"/>
        <w:numPr>
          <w:ilvl w:val="0"/>
          <w:numId w:val="2"/>
        </w:numPr>
        <w:spacing w:after="80"/>
      </w:pPr>
      <w:r>
        <w:rPr>
          <w:rFonts w:ascii="Calibri" w:cs="Calibri" w:eastAsia="Calibri" w:hAnsi="Calibri"/>
          <w:sz w:val="22"/>
          <w:szCs w:val="22"/>
        </w:rPr>
        <w:t xml:space="preserve">Energy Credit is planned to be replaced by Cube Logic as part of the GCS (Global Credit Solution) project, targeting mid to late 2025.</w:t>
      </w:r>
    </w:p>
    <w:p>
      <w:pPr>
        <w:spacing w:after="160"/>
      </w:pPr>
      <w:r>
        <w:t xml:space="preserve"/>
      </w:r>
    </w:p>
    <w:p>
      <w:pPr>
        <w:pStyle w:val="Heading2"/>
        <w:spacing w:after="80" w:before="200"/>
      </w:pPr>
      <w:r>
        <w:rPr>
          <w:rFonts w:ascii="Calibri" w:cs="Calibri" w:eastAsia="Calibri" w:hAnsi="Calibri"/>
          <w:b/>
          <w:bCs/>
          <w:sz w:val="24"/>
          <w:szCs w:val="24"/>
        </w:rPr>
        <w:t xml:space="preserve">Other key systems</w:t>
      </w:r>
    </w:p>
    <w:p>
      <w:pPr>
        <w:pStyle w:val="ListParagraph"/>
        <w:numPr>
          <w:ilvl w:val="0"/>
          <w:numId w:val="2"/>
        </w:numPr>
        <w:spacing w:after="80"/>
      </w:pPr>
      <w:r>
        <w:rPr>
          <w:rFonts w:ascii="Calibri" w:cs="Calibri" w:eastAsia="Calibri" w:hAnsi="Calibri"/>
          <w:b/>
          <w:bCs/>
          <w:sz w:val="22"/>
          <w:szCs w:val="22"/>
        </w:rPr>
        <w:t xml:space="preserve">Credit Mart: </w:t>
      </w:r>
      <w:r>
        <w:rPr>
          <w:rFonts w:ascii="Calibri" w:cs="Calibri" w:eastAsia="Calibri" w:hAnsi="Calibri"/>
          <w:sz w:val="22"/>
          <w:szCs w:val="22"/>
        </w:rPr>
        <w:t xml:space="preserve">Credit Mart — combines SENA gas data (from Synapse) and SENA power data (from Nucleus) into one place before passing to Energy Credit.</w:t>
      </w:r>
    </w:p>
    <w:p>
      <w:pPr>
        <w:pStyle w:val="ListParagraph"/>
        <w:numPr>
          <w:ilvl w:val="0"/>
          <w:numId w:val="2"/>
        </w:numPr>
        <w:spacing w:after="80"/>
      </w:pPr>
      <w:r>
        <w:rPr>
          <w:rFonts w:ascii="Calibri" w:cs="Calibri" w:eastAsia="Calibri" w:hAnsi="Calibri"/>
          <w:b/>
          <w:bCs/>
          <w:sz w:val="22"/>
          <w:szCs w:val="22"/>
        </w:rPr>
        <w:t xml:space="preserve">Align: </w:t>
      </w:r>
      <w:r>
        <w:rPr>
          <w:rFonts w:ascii="Calibri" w:cs="Calibri" w:eastAsia="Calibri" w:hAnsi="Calibri"/>
          <w:sz w:val="22"/>
          <w:szCs w:val="22"/>
        </w:rPr>
        <w:t xml:space="preserve">Align — WONA Gas &amp; Power trading system. Both the front end and back end are called Align. Known for occasional price curve loading errors.</w:t>
      </w:r>
    </w:p>
    <w:p>
      <w:pPr>
        <w:pStyle w:val="ListParagraph"/>
        <w:numPr>
          <w:ilvl w:val="0"/>
          <w:numId w:val="2"/>
        </w:numPr>
        <w:spacing w:after="80"/>
      </w:pPr>
      <w:r>
        <w:rPr>
          <w:rFonts w:ascii="Calibri" w:cs="Calibri" w:eastAsia="Calibri" w:hAnsi="Calibri"/>
          <w:b/>
          <w:bCs/>
          <w:sz w:val="22"/>
          <w:szCs w:val="22"/>
        </w:rPr>
        <w:t xml:space="preserve">PMG: </w:t>
      </w:r>
      <w:r>
        <w:rPr>
          <w:rFonts w:ascii="Calibri" w:cs="Calibri" w:eastAsia="Calibri" w:hAnsi="Calibri"/>
          <w:sz w:val="22"/>
          <w:szCs w:val="22"/>
        </w:rPr>
        <w:t xml:space="preserve">PMG — simulation machine used for stress testing and price shock analysis. Mainly used by Market Risk but CDA pulls inputs for certain credit analysis.</w:t>
      </w:r>
    </w:p>
    <w:p>
      <w:pPr>
        <w:pStyle w:val="ListParagraph"/>
        <w:numPr>
          <w:ilvl w:val="0"/>
          <w:numId w:val="2"/>
        </w:numPr>
        <w:spacing w:after="80"/>
      </w:pPr>
      <w:r>
        <w:rPr>
          <w:rFonts w:ascii="Calibri" w:cs="Calibri" w:eastAsia="Calibri" w:hAnsi="Calibri"/>
          <w:b/>
          <w:bCs/>
          <w:sz w:val="22"/>
          <w:szCs w:val="22"/>
        </w:rPr>
        <w:t xml:space="preserve">S&amp;P Rates: </w:t>
      </w:r>
      <w:r>
        <w:rPr>
          <w:rFonts w:ascii="Calibri" w:cs="Calibri" w:eastAsia="Calibri" w:hAnsi="Calibri"/>
          <w:sz w:val="22"/>
          <w:szCs w:val="22"/>
        </w:rPr>
        <w:t xml:space="preserve">S&amp;P Default Rates — no direct data feed. S&amp;P sends a PDF document; CDA manually extracts the default rate table into Excel and loads it into GCAP for ECL calculations.</w:t>
      </w:r>
    </w:p>
    <w:p>
      <w:pPr>
        <w:pStyle w:val="ListParagraph"/>
        <w:numPr>
          <w:ilvl w:val="0"/>
          <w:numId w:val="2"/>
        </w:numPr>
        <w:spacing w:after="80"/>
      </w:pPr>
      <w:r>
        <w:rPr>
          <w:rFonts w:ascii="Calibri" w:cs="Calibri" w:eastAsia="Calibri" w:hAnsi="Calibri"/>
          <w:b/>
          <w:bCs/>
          <w:sz w:val="22"/>
          <w:szCs w:val="22"/>
        </w:rPr>
        <w:t xml:space="preserve">Citibank Wires: </w:t>
      </w:r>
      <w:r>
        <w:rPr>
          <w:rFonts w:ascii="Calibri" w:cs="Calibri" w:eastAsia="Calibri" w:hAnsi="Calibri"/>
          <w:sz w:val="22"/>
          <w:szCs w:val="22"/>
        </w:rPr>
        <w:t xml:space="preserve">Citibank Wires — external process specific to North America products. Cash received into Shell's Citibank account is used to reduce outstanding receivables for US and Canada products.</w:t>
      </w:r>
    </w:p>
    <w:p>
      <w:pPr>
        <w:spacing w:after="160"/>
      </w:pPr>
      <w:r>
        <w:t xml:space="preserve"/>
      </w:r>
    </w:p>
    <w:p>
      <w:pPr>
        <w:pStyle w:val="Heading2"/>
        <w:spacing w:after="80" w:before="200"/>
      </w:pPr>
      <w:r>
        <w:rPr>
          <w:rFonts w:ascii="Calibri" w:cs="Calibri" w:eastAsia="Calibri" w:hAnsi="Calibri"/>
          <w:b/>
          <w:bCs/>
          <w:sz w:val="24"/>
          <w:szCs w:val="24"/>
        </w:rPr>
        <w:t xml:space="preserve">End of Day (EOD) process</w:t>
      </w:r>
    </w:p>
    <w:p>
      <w:pPr>
        <w:pStyle w:val="ListParagraph"/>
        <w:numPr>
          <w:ilvl w:val="0"/>
          <w:numId w:val="2"/>
        </w:numPr>
        <w:spacing w:after="80"/>
      </w:pPr>
      <w:r>
        <w:rPr>
          <w:rFonts w:ascii="Calibri" w:cs="Calibri" w:eastAsia="Calibri" w:hAnsi="Calibri"/>
          <w:sz w:val="22"/>
          <w:szCs w:val="22"/>
        </w:rPr>
        <w:t xml:space="preserve">Each source system runs an EOD batch at the end of each trading day — picks up all trades booked that day and loads them into the back-end data warehouse.</w:t>
      </w:r>
    </w:p>
    <w:p>
      <w:pPr>
        <w:pStyle w:val="ListParagraph"/>
        <w:numPr>
          <w:ilvl w:val="0"/>
          <w:numId w:val="2"/>
        </w:numPr>
        <w:spacing w:after="80"/>
      </w:pPr>
      <w:r>
        <w:rPr>
          <w:rFonts w:ascii="Calibri" w:cs="Calibri" w:eastAsia="Calibri" w:hAnsi="Calibri"/>
          <w:sz w:val="22"/>
          <w:szCs w:val="22"/>
        </w:rPr>
        <w:t xml:space="preserve">EOD runtimes vary significantly. Some systems finish in 2-3 hours; NA Crude (ODW) takes 5-6 hours on a good day and up to 8-9 hours when there are issues.</w:t>
      </w:r>
    </w:p>
    <w:p>
      <w:pPr>
        <w:pStyle w:val="ListParagraph"/>
        <w:numPr>
          <w:ilvl w:val="0"/>
          <w:numId w:val="2"/>
        </w:numPr>
        <w:spacing w:after="80"/>
      </w:pPr>
      <w:r>
        <w:rPr>
          <w:rFonts w:ascii="Calibri" w:cs="Calibri" w:eastAsia="Calibri" w:hAnsi="Calibri"/>
          <w:sz w:val="22"/>
          <w:szCs w:val="22"/>
        </w:rPr>
        <w:t xml:space="preserve">Systems do not all finish at the same time even if triggered simultaneously.</w:t>
      </w:r>
    </w:p>
    <w:p>
      <w:pPr>
        <w:pStyle w:val="ListParagraph"/>
        <w:numPr>
          <w:ilvl w:val="0"/>
          <w:numId w:val="2"/>
        </w:numPr>
        <w:spacing w:after="80"/>
      </w:pPr>
      <w:r>
        <w:rPr>
          <w:rFonts w:ascii="Calibri" w:cs="Calibri" w:eastAsia="Calibri" w:hAnsi="Calibri"/>
          <w:sz w:val="22"/>
          <w:szCs w:val="22"/>
        </w:rPr>
        <w:t xml:space="preserve">Failure notifications: most systems alert the team automatically. Align does not currently send direct failure alerts — CDA finds out via Market Risk.</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5. Future State — GCS (Global Credit Solution)</w:t>
      </w:r>
    </w:p>
    <w:p>
      <w:pPr>
        <w:pStyle w:val="ListParagraph"/>
        <w:numPr>
          <w:ilvl w:val="0"/>
          <w:numId w:val="2"/>
        </w:numPr>
        <w:spacing w:after="80"/>
      </w:pPr>
      <w:r>
        <w:rPr>
          <w:rFonts w:ascii="Calibri" w:cs="Calibri" w:eastAsia="Calibri" w:hAnsi="Calibri"/>
          <w:sz w:val="22"/>
          <w:szCs w:val="22"/>
        </w:rPr>
        <w:t xml:space="preserve">GCS will replace Energy Credit with Cube Logic — a 3-year project targeting mid to late 2025.</w:t>
      </w:r>
    </w:p>
    <w:p>
      <w:pPr>
        <w:pStyle w:val="ListParagraph"/>
        <w:numPr>
          <w:ilvl w:val="0"/>
          <w:numId w:val="2"/>
        </w:numPr>
        <w:spacing w:after="80"/>
      </w:pPr>
      <w:r>
        <w:rPr>
          <w:rFonts w:ascii="Calibri" w:cs="Calibri" w:eastAsia="Calibri" w:hAnsi="Calibri"/>
          <w:sz w:val="22"/>
          <w:szCs w:val="22"/>
        </w:rPr>
        <w:t xml:space="preserve">Credit Mart is also planned to be decommissioned in the long run.</w:t>
      </w:r>
    </w:p>
    <w:p>
      <w:pPr>
        <w:pStyle w:val="ListParagraph"/>
        <w:numPr>
          <w:ilvl w:val="0"/>
          <w:numId w:val="2"/>
        </w:numPr>
        <w:spacing w:after="80"/>
      </w:pPr>
      <w:r>
        <w:rPr>
          <w:rFonts w:ascii="Calibri" w:cs="Calibri" w:eastAsia="Calibri" w:hAnsi="Calibri"/>
          <w:sz w:val="22"/>
          <w:szCs w:val="22"/>
        </w:rPr>
        <w:t xml:space="preserve">Future state: source systems feed directly into Cube Logic, which also produces the reports. GCAP's role would be reduced or replaced.</w:t>
      </w:r>
    </w:p>
    <w:p>
      <w:pPr>
        <w:pStyle w:val="ListParagraph"/>
        <w:numPr>
          <w:ilvl w:val="0"/>
          <w:numId w:val="2"/>
        </w:numPr>
        <w:spacing w:after="80"/>
      </w:pPr>
      <w:r>
        <w:rPr>
          <w:rFonts w:ascii="Calibri" w:cs="Calibri" w:eastAsia="Calibri" w:hAnsi="Calibri"/>
          <w:sz w:val="22"/>
          <w:szCs w:val="22"/>
        </w:rPr>
        <w:t xml:space="preserve">Understanding GCAP now is still essential — approximately 90% of the current GCAP logic will be migrated into Cube Logic.</w:t>
      </w:r>
    </w:p>
    <w:p>
      <w:pPr>
        <w:spacing w:after="160"/>
      </w:pPr>
      <w:r>
        <w:t xml:space="preserve"/>
      </w:r>
    </w:p>
    <w:p>
      <w:r>
        <w:br w:type="page"/>
      </w:r>
    </w:p>
    <w:p>
      <w:pPr>
        <w:spacing w:after="60"/>
      </w:pPr>
      <w:r>
        <w:rPr>
          <w:rFonts w:ascii="Calibri" w:cs="Calibri" w:eastAsia="Calibri" w:hAnsi="Calibri"/>
          <w:b/>
          <w:bCs/>
          <w:sz w:val="36"/>
          <w:szCs w:val="36"/>
        </w:rPr>
        <w:t xml:space="preserve">Session 4</w:t>
      </w:r>
    </w:p>
    <w:p>
      <w:pPr>
        <w:spacing w:after="40"/>
      </w:pPr>
      <w:r>
        <w:rPr>
          <w:rFonts w:ascii="Calibri" w:cs="Calibri" w:eastAsia="Calibri" w:hAnsi="Calibri"/>
          <w:b/>
          <w:bCs/>
          <w:sz w:val="28"/>
          <w:szCs w:val="28"/>
        </w:rPr>
        <w:t xml:space="preserve">Overview of GCAP Reports &amp; Daily Operations</w:t>
      </w:r>
    </w:p>
    <w:p>
      <w:pPr>
        <w:spacing w:after="400"/>
      </w:pPr>
      <w:r>
        <w:rPr>
          <w:rFonts w:ascii="Calibri" w:cs="Calibri" w:eastAsia="Calibri" w:hAnsi="Calibri"/>
          <w:i/>
          <w:iCs/>
          <w:color w:val="666666"/>
          <w:sz w:val="20"/>
          <w:szCs w:val="20"/>
        </w:rPr>
        <w:t xml:space="preserve">Presenter: Kishore &amp; Shishir Jogani (STASCO-FST/LCD)  |  January 2023</w:t>
      </w:r>
    </w:p>
    <w:p>
      <w:pPr>
        <w:pStyle w:val="Heading1"/>
        <w:spacing w:after="120" w:before="320"/>
      </w:pPr>
      <w:r>
        <w:rPr>
          <w:rFonts w:ascii="Calibri" w:cs="Calibri" w:eastAsia="Calibri" w:hAnsi="Calibri"/>
          <w:b/>
          <w:bCs/>
          <w:sz w:val="30"/>
          <w:szCs w:val="30"/>
        </w:rPr>
        <w:t xml:space="preserve">1. Quick Recap — Source Systems</w:t>
      </w:r>
    </w:p>
    <w:p>
      <w:pPr>
        <w:spacing w:after="100"/>
      </w:pPr>
      <w:r>
        <w:rPr>
          <w:rFonts w:ascii="Calibri" w:cs="Calibri" w:eastAsia="Calibri" w:hAnsi="Calibri"/>
          <w:sz w:val="22"/>
          <w:szCs w:val="22"/>
        </w:rPr>
        <w:t xml:space="preserve">Before going into daily operations, Shishir recapped the key source systems one more time — the point being that you need to know exactly which system feeds which line of business before you can understand why a report might be wrong or delayed.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What it feeds into GCAP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ODW (Oil Data Warehouse)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North America Crude trade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PDW (Products Data Warehouse)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North America Products trade data (US and Canada)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Synapse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North America Gas trade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Nucleus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North America Power trade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Credit Mart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Combines Synapse + Nucleus (NA Gas &amp; Power) before passing to 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Align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WONA Gas, Power, Emissions and Carbon trade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WONA Crude &amp; Products trade data (flows via Energy Credit, not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EDW (Energy Data Warehouse)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LNG trade data (flows via Energy Credit currently; direct in future)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Energy Credit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Master data (counterparty ratings, collateral, limits) + trade data for WONA and LNG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PAT / P-80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WONA and Americas Gas &amp; Power invoice data (SAP)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P-81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NA Crude &amp; Products invoice data (SAP)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GSAP / P-94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Commercial Products — trades, invoices, and collateral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PMG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Stress testing and price shock inputs for NA Gas &amp; Power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S&amp;P Default Rates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Loaded manually via Excel for ECL calculations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Citibank Wires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Cash receipts for NA Products used to reduce outstanding receivables</w:t>
            </w:r>
          </w:p>
        </w:tc>
      </w:tr>
    </w:tbl>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2. GCAP Job Structure — Type A, B and C Jobs</w:t>
      </w:r>
    </w:p>
    <w:p>
      <w:pPr>
        <w:spacing w:after="100"/>
      </w:pPr>
      <w:r>
        <w:rPr>
          <w:rFonts w:ascii="Calibri" w:cs="Calibri" w:eastAsia="Calibri" w:hAnsi="Calibri"/>
          <w:sz w:val="22"/>
          <w:szCs w:val="22"/>
        </w:rPr>
        <w:t xml:space="preserve">All the processing GCAP does each day is organised into structured jobs. There are three types:</w:t>
      </w:r>
    </w:p>
    <w:p>
      <w:pPr>
        <w:spacing w:after="160"/>
      </w:pPr>
      <w:r>
        <w:t xml:space="preserve"/>
      </w:r>
    </w:p>
    <w:p>
      <w:pPr>
        <w:pStyle w:val="Heading2"/>
        <w:spacing w:after="80" w:before="200"/>
      </w:pPr>
      <w:r>
        <w:rPr>
          <w:rFonts w:ascii="Calibri" w:cs="Calibri" w:eastAsia="Calibri" w:hAnsi="Calibri"/>
          <w:b/>
          <w:bCs/>
          <w:sz w:val="24"/>
          <w:szCs w:val="24"/>
        </w:rPr>
        <w:t xml:space="preserve">Type A — Source Data Load</w:t>
      </w:r>
    </w:p>
    <w:p>
      <w:pPr>
        <w:pStyle w:val="ListParagraph"/>
        <w:numPr>
          <w:ilvl w:val="0"/>
          <w:numId w:val="2"/>
        </w:numPr>
        <w:spacing w:after="80"/>
      </w:pPr>
      <w:r>
        <w:rPr>
          <w:rFonts w:ascii="Calibri" w:cs="Calibri" w:eastAsia="Calibri" w:hAnsi="Calibri"/>
          <w:sz w:val="22"/>
          <w:szCs w:val="22"/>
        </w:rPr>
        <w:t xml:space="preserve">Purpose: pull raw data from the source systems into GCAP.</w:t>
      </w:r>
    </w:p>
    <w:p>
      <w:pPr>
        <w:pStyle w:val="ListParagraph"/>
        <w:numPr>
          <w:ilvl w:val="0"/>
          <w:numId w:val="2"/>
        </w:numPr>
        <w:spacing w:after="80"/>
      </w:pPr>
      <w:r>
        <w:rPr>
          <w:rFonts w:ascii="Calibri" w:cs="Calibri" w:eastAsia="Calibri" w:hAnsi="Calibri"/>
          <w:sz w:val="22"/>
          <w:szCs w:val="22"/>
        </w:rPr>
        <w:t xml:space="preserve">Uses two methods to pull data: Altrix (a data extraction tool) and Linked Server (a direct database connection).</w:t>
      </w:r>
    </w:p>
    <w:p>
      <w:pPr>
        <w:pStyle w:val="ListParagraph"/>
        <w:numPr>
          <w:ilvl w:val="0"/>
          <w:numId w:val="2"/>
        </w:numPr>
        <w:spacing w:after="80"/>
      </w:pPr>
      <w:r>
        <w:rPr>
          <w:rFonts w:ascii="Calibri" w:cs="Calibri" w:eastAsia="Calibri" w:hAnsi="Calibri"/>
          <w:sz w:val="22"/>
          <w:szCs w:val="22"/>
        </w:rPr>
        <w:t xml:space="preserve">Each line of business has its own Type A job — e.g. GLNG Source Data Load pulls LNG trade data from Energy Credit via Linked Server.</w:t>
      </w:r>
    </w:p>
    <w:p>
      <w:pPr>
        <w:pStyle w:val="ListParagraph"/>
        <w:numPr>
          <w:ilvl w:val="0"/>
          <w:numId w:val="2"/>
        </w:numPr>
        <w:spacing w:after="80"/>
      </w:pPr>
      <w:r>
        <w:rPr>
          <w:rFonts w:ascii="Calibri" w:cs="Calibri" w:eastAsia="Calibri" w:hAnsi="Calibri"/>
          <w:sz w:val="22"/>
          <w:szCs w:val="22"/>
        </w:rPr>
        <w:t xml:space="preserve">Type A jobs are the most critical. If a Type A job fails or is delayed, nothing else can run — Type B and Type C jobs all depend on Type A completing first.</w:t>
      </w:r>
    </w:p>
    <w:p>
      <w:pPr>
        <w:pStyle w:val="ListParagraph"/>
        <w:numPr>
          <w:ilvl w:val="0"/>
          <w:numId w:val="2"/>
        </w:numPr>
        <w:spacing w:after="80"/>
      </w:pPr>
      <w:r>
        <w:rPr>
          <w:rFonts w:ascii="Calibri" w:cs="Calibri" w:eastAsia="Calibri" w:hAnsi="Calibri"/>
          <w:sz w:val="22"/>
          <w:szCs w:val="22"/>
        </w:rPr>
        <w:t xml:space="preserve">Common Type A failure: ODW (North America Crude) frequently runs late because it depends on the Crude EOD batch completing first. When ODW is delayed, the crude Limit Availability Report (LAR) is delayed, and traders have to wait.</w:t>
      </w:r>
    </w:p>
    <w:p>
      <w:pPr>
        <w:spacing w:after="160"/>
      </w:pPr>
      <w:r>
        <w:t xml:space="preserve"/>
      </w:r>
    </w:p>
    <w:p>
      <w:pPr>
        <w:pStyle w:val="Heading2"/>
        <w:spacing w:after="80" w:before="200"/>
      </w:pPr>
      <w:r>
        <w:rPr>
          <w:rFonts w:ascii="Calibri" w:cs="Calibri" w:eastAsia="Calibri" w:hAnsi="Calibri"/>
          <w:b/>
          <w:bCs/>
          <w:sz w:val="24"/>
          <w:szCs w:val="24"/>
        </w:rPr>
        <w:t xml:space="preserve">Type B — Daily Data Load (Transformation)</w:t>
      </w:r>
    </w:p>
    <w:p>
      <w:pPr>
        <w:pStyle w:val="ListParagraph"/>
        <w:numPr>
          <w:ilvl w:val="0"/>
          <w:numId w:val="2"/>
        </w:numPr>
        <w:spacing w:after="80"/>
      </w:pPr>
      <w:r>
        <w:rPr>
          <w:rFonts w:ascii="Calibri" w:cs="Calibri" w:eastAsia="Calibri" w:hAnsi="Calibri"/>
          <w:sz w:val="22"/>
          <w:szCs w:val="22"/>
        </w:rPr>
        <w:t xml:space="preserve">Purpose: take the raw data pulled in by Type A and transform it into a usable format for credit exposure calculation.</w:t>
      </w:r>
    </w:p>
    <w:p>
      <w:pPr>
        <w:pStyle w:val="ListParagraph"/>
        <w:numPr>
          <w:ilvl w:val="0"/>
          <w:numId w:val="2"/>
        </w:numPr>
        <w:spacing w:after="80"/>
      </w:pPr>
      <w:r>
        <w:rPr>
          <w:rFonts w:ascii="Calibri" w:cs="Calibri" w:eastAsia="Calibri" w:hAnsi="Calibri"/>
          <w:sz w:val="22"/>
          <w:szCs w:val="22"/>
        </w:rPr>
        <w:t xml:space="preserve">This is where the exposure components are calculated — Accounts Receivable, Accounts Payable, Unbilled, Collateral, Mark to Market — all computed at the counterparty level.</w:t>
      </w:r>
    </w:p>
    <w:p>
      <w:pPr>
        <w:pStyle w:val="ListParagraph"/>
        <w:numPr>
          <w:ilvl w:val="0"/>
          <w:numId w:val="2"/>
        </w:numPr>
        <w:spacing w:after="80"/>
      </w:pPr>
      <w:r>
        <w:rPr>
          <w:rFonts w:ascii="Calibri" w:cs="Calibri" w:eastAsia="Calibri" w:hAnsi="Calibri"/>
          <w:sz w:val="22"/>
          <w:szCs w:val="22"/>
        </w:rPr>
        <w:t xml:space="preserve">The final output of a Type B job is a Credit Review table: net exposure per counterparty for that line of business.</w:t>
      </w:r>
    </w:p>
    <w:p>
      <w:pPr>
        <w:pStyle w:val="ListParagraph"/>
        <w:numPr>
          <w:ilvl w:val="0"/>
          <w:numId w:val="2"/>
        </w:numPr>
        <w:spacing w:after="80"/>
      </w:pPr>
      <w:r>
        <w:rPr>
          <w:rFonts w:ascii="Calibri" w:cs="Calibri" w:eastAsia="Calibri" w:hAnsi="Calibri"/>
          <w:sz w:val="22"/>
          <w:szCs w:val="22"/>
        </w:rPr>
        <w:t xml:space="preserve">Each line of business has its own Type B job. The job waits for Type A to complete before starting (via a 'check readiness flag').</w:t>
      </w:r>
    </w:p>
    <w:p>
      <w:pPr>
        <w:pStyle w:val="ListParagraph"/>
        <w:numPr>
          <w:ilvl w:val="0"/>
          <w:numId w:val="2"/>
        </w:numPr>
        <w:spacing w:after="80"/>
      </w:pPr>
      <w:r>
        <w:rPr>
          <w:rFonts w:ascii="Calibri" w:cs="Calibri" w:eastAsia="Calibri" w:hAnsi="Calibri"/>
          <w:sz w:val="22"/>
          <w:szCs w:val="22"/>
        </w:rPr>
        <w:t xml:space="preserve">Type B jobs run inside each individual line-of-business database (e.g. GLNG database, WONA database, SEAM database etc.).</w:t>
      </w:r>
    </w:p>
    <w:p>
      <w:pPr>
        <w:spacing w:after="160"/>
      </w:pPr>
      <w:r>
        <w:t xml:space="preserve"/>
      </w:r>
    </w:p>
    <w:p>
      <w:pPr>
        <w:pStyle w:val="Heading2"/>
        <w:spacing w:after="80" w:before="200"/>
      </w:pPr>
      <w:r>
        <w:rPr>
          <w:rFonts w:ascii="Calibri" w:cs="Calibri" w:eastAsia="Calibri" w:hAnsi="Calibri"/>
          <w:b/>
          <w:bCs/>
          <w:sz w:val="24"/>
          <w:szCs w:val="24"/>
        </w:rPr>
        <w:t xml:space="preserve">Type C — Consolidated Job</w:t>
      </w:r>
    </w:p>
    <w:p>
      <w:pPr>
        <w:pStyle w:val="ListParagraph"/>
        <w:numPr>
          <w:ilvl w:val="0"/>
          <w:numId w:val="2"/>
        </w:numPr>
        <w:spacing w:after="80"/>
      </w:pPr>
      <w:r>
        <w:rPr>
          <w:rFonts w:ascii="Calibri" w:cs="Calibri" w:eastAsia="Calibri" w:hAnsi="Calibri"/>
          <w:sz w:val="22"/>
          <w:szCs w:val="22"/>
        </w:rPr>
        <w:t xml:space="preserve">Purpose: take the net exposure results from every individual Type B job and combine them into one single global table.</w:t>
      </w:r>
    </w:p>
    <w:p>
      <w:pPr>
        <w:pStyle w:val="ListParagraph"/>
        <w:numPr>
          <w:ilvl w:val="0"/>
          <w:numId w:val="2"/>
        </w:numPr>
        <w:spacing w:after="80"/>
      </w:pPr>
      <w:r>
        <w:rPr>
          <w:rFonts w:ascii="Calibri" w:cs="Calibri" w:eastAsia="Calibri" w:hAnsi="Calibri"/>
          <w:sz w:val="22"/>
          <w:szCs w:val="22"/>
        </w:rPr>
        <w:t xml:space="preserve">This global table contains exposure for every business line and every counterparty across all of Shell T&amp;S.</w:t>
      </w:r>
    </w:p>
    <w:p>
      <w:pPr>
        <w:pStyle w:val="ListParagraph"/>
        <w:numPr>
          <w:ilvl w:val="0"/>
          <w:numId w:val="2"/>
        </w:numPr>
        <w:spacing w:after="80"/>
      </w:pPr>
      <w:r>
        <w:rPr>
          <w:rFonts w:ascii="Calibri" w:cs="Calibri" w:eastAsia="Calibri" w:hAnsi="Calibri"/>
          <w:sz w:val="22"/>
          <w:szCs w:val="22"/>
        </w:rPr>
        <w:t xml:space="preserve">There is only one Type C job — it runs once all Type B jobs are complete.</w:t>
      </w:r>
    </w:p>
    <w:p>
      <w:pPr>
        <w:pStyle w:val="ListParagraph"/>
        <w:numPr>
          <w:ilvl w:val="0"/>
          <w:numId w:val="2"/>
        </w:numPr>
        <w:spacing w:after="80"/>
      </w:pPr>
      <w:r>
        <w:rPr>
          <w:rFonts w:ascii="Calibri" w:cs="Calibri" w:eastAsia="Calibri" w:hAnsi="Calibri"/>
          <w:sz w:val="22"/>
          <w:szCs w:val="22"/>
        </w:rPr>
        <w:t xml:space="preserve">The output of the Type C job is what feeds the daily Spotfire report (the global credit exposure email sent to the Credit Leadership Team each day).</w:t>
      </w:r>
    </w:p>
    <w:p>
      <w:pPr>
        <w:pStyle w:val="ListParagraph"/>
        <w:numPr>
          <w:ilvl w:val="0"/>
          <w:numId w:val="2"/>
        </w:numPr>
        <w:spacing w:after="80"/>
      </w:pPr>
      <w:r>
        <w:rPr>
          <w:rFonts w:ascii="Calibri" w:cs="Calibri" w:eastAsia="Calibri" w:hAnsi="Calibri"/>
          <w:sz w:val="22"/>
          <w:szCs w:val="22"/>
        </w:rPr>
        <w:t xml:space="preserve">If any Type B job is delayed, the Type C job cannot run, and the global Spotfire report is delayed.</w:t>
      </w:r>
    </w:p>
    <w:p>
      <w:pPr>
        <w:spacing w:after="160"/>
      </w:pPr>
      <w:r>
        <w:t xml:space="preserve"/>
      </w:r>
    </w:p>
    <w:p>
      <w:pPr>
        <w:pStyle w:val="Heading2"/>
        <w:spacing w:after="80" w:before="200"/>
      </w:pPr>
      <w:r>
        <w:rPr>
          <w:rFonts w:ascii="Calibri" w:cs="Calibri" w:eastAsia="Calibri" w:hAnsi="Calibri"/>
          <w:b/>
          <w:bCs/>
          <w:sz w:val="24"/>
          <w:szCs w:val="24"/>
        </w:rPr>
        <w:t xml:space="preserve">Job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Job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Type A — Source Data 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Pulls raw trade, invoice, and counterparty data from source systems into GCAP staging tables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Type B — Daily Data 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Transforms raw data, calculates exposure components (AR, UR, MtM, collateral), produces net exposure per counterparty per line of business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Type C — Consolidated Job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Combines all Type B outputs into one global exposure table. Feeds the daily Spotfire report to Credit Leadership</w:t>
            </w:r>
          </w:p>
        </w:tc>
      </w:tr>
    </w:tbl>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3. Energy Credit Source Data Load — Special Job</w:t>
      </w:r>
    </w:p>
    <w:p>
      <w:pPr>
        <w:spacing w:after="100"/>
      </w:pPr>
      <w:r>
        <w:rPr>
          <w:rFonts w:ascii="Calibri" w:cs="Calibri" w:eastAsia="Calibri" w:hAnsi="Calibri"/>
          <w:sz w:val="22"/>
          <w:szCs w:val="22"/>
        </w:rPr>
        <w:t xml:space="preserve">Separate from the trade data jobs, there is a dedicated Energy Credit (EC) Source Data Load job. This is critical because it populates counterparty reference data that is used across all lines of business.</w:t>
      </w:r>
    </w:p>
    <w:p>
      <w:pPr>
        <w:pStyle w:val="ListParagraph"/>
        <w:numPr>
          <w:ilvl w:val="0"/>
          <w:numId w:val="2"/>
        </w:numPr>
        <w:spacing w:after="80"/>
      </w:pPr>
      <w:r>
        <w:rPr>
          <w:rFonts w:ascii="Calibri" w:cs="Calibri" w:eastAsia="Calibri" w:hAnsi="Calibri"/>
          <w:sz w:val="22"/>
          <w:szCs w:val="22"/>
        </w:rPr>
        <w:t xml:space="preserve">Pulls counterparty master data from Energy Credit: credit limits, credit ratings, parent/subsidiary hierarchy (ULP — Ultimate Legal Parent), collateral details, netting agreements.</w:t>
      </w:r>
    </w:p>
    <w:p>
      <w:pPr>
        <w:pStyle w:val="ListParagraph"/>
        <w:numPr>
          <w:ilvl w:val="0"/>
          <w:numId w:val="2"/>
        </w:numPr>
        <w:spacing w:after="80"/>
      </w:pPr>
      <w:r>
        <w:rPr>
          <w:rFonts w:ascii="Calibri" w:cs="Calibri" w:eastAsia="Calibri" w:hAnsi="Calibri"/>
          <w:sz w:val="22"/>
          <w:szCs w:val="22"/>
        </w:rPr>
        <w:t xml:space="preserve">This data flows from the EC Source Data Load into every individual line-of-business database.</w:t>
      </w:r>
    </w:p>
    <w:p>
      <w:pPr>
        <w:pStyle w:val="ListParagraph"/>
        <w:numPr>
          <w:ilvl w:val="0"/>
          <w:numId w:val="2"/>
        </w:numPr>
        <w:spacing w:after="80"/>
      </w:pPr>
      <w:r>
        <w:rPr>
          <w:rFonts w:ascii="Calibri" w:cs="Calibri" w:eastAsia="Calibri" w:hAnsi="Calibri"/>
          <w:sz w:val="22"/>
          <w:szCs w:val="22"/>
        </w:rPr>
        <w:t xml:space="preserve">If the EC Source Data Load fails, counterparty information will be missing or stale across all reports — not just one line of business.</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4. Making Code Changes — the Change Process</w:t>
      </w:r>
    </w:p>
    <w:p>
      <w:pPr>
        <w:spacing w:after="100"/>
      </w:pPr>
      <w:r>
        <w:rPr>
          <w:rFonts w:ascii="Calibri" w:cs="Calibri" w:eastAsia="Calibri" w:hAnsi="Calibri"/>
          <w:sz w:val="22"/>
          <w:szCs w:val="22"/>
        </w:rPr>
        <w:t xml:space="preserve">GCAP logic is written in SQL stored procedures. When a business requirement changes (e.g. a new exposure calculation rule, a new document type to include or exclude), the process is:</w:t>
      </w:r>
    </w:p>
    <w:p>
      <w:pPr>
        <w:pStyle w:val="ListParagraph"/>
        <w:numPr>
          <w:ilvl w:val="0"/>
          <w:numId w:val="2"/>
        </w:numPr>
        <w:spacing w:after="80"/>
      </w:pPr>
      <w:r>
        <w:rPr>
          <w:rFonts w:ascii="Calibri" w:cs="Calibri" w:eastAsia="Calibri" w:hAnsi="Calibri"/>
          <w:sz w:val="22"/>
          <w:szCs w:val="22"/>
        </w:rPr>
        <w:t xml:space="preserve">Analyse the requirement — decide whether it needs a code change or can be handled at the report/filter level.</w:t>
      </w:r>
    </w:p>
    <w:p>
      <w:pPr>
        <w:pStyle w:val="ListParagraph"/>
        <w:numPr>
          <w:ilvl w:val="0"/>
          <w:numId w:val="2"/>
        </w:numPr>
        <w:spacing w:after="80"/>
      </w:pPr>
      <w:r>
        <w:rPr>
          <w:rFonts w:ascii="Calibri" w:cs="Calibri" w:eastAsia="Calibri" w:hAnsi="Calibri"/>
          <w:sz w:val="22"/>
          <w:szCs w:val="22"/>
        </w:rPr>
        <w:t xml:space="preserve">Develop in DEV — write and test the new SQL logic in the development environment.</w:t>
      </w:r>
    </w:p>
    <w:p>
      <w:pPr>
        <w:pStyle w:val="ListParagraph"/>
        <w:numPr>
          <w:ilvl w:val="0"/>
          <w:numId w:val="2"/>
        </w:numPr>
        <w:spacing w:after="80"/>
      </w:pPr>
      <w:r>
        <w:rPr>
          <w:rFonts w:ascii="Calibri" w:cs="Calibri" w:eastAsia="Calibri" w:hAnsi="Calibri"/>
          <w:sz w:val="22"/>
          <w:szCs w:val="22"/>
        </w:rPr>
        <w:t xml:space="preserve">Test in UAT — once happy with the logic, deploy to UAT and run impact testing to validate the results.</w:t>
      </w:r>
    </w:p>
    <w:p>
      <w:pPr>
        <w:pStyle w:val="ListParagraph"/>
        <w:numPr>
          <w:ilvl w:val="0"/>
          <w:numId w:val="2"/>
        </w:numPr>
        <w:spacing w:after="80"/>
      </w:pPr>
      <w:r>
        <w:rPr>
          <w:rFonts w:ascii="Calibri" w:cs="Calibri" w:eastAsia="Calibri" w:hAnsi="Calibri"/>
          <w:sz w:val="22"/>
          <w:szCs w:val="22"/>
        </w:rPr>
        <w:t xml:space="preserve">Get UAT sign-off — business stakeholders approve the change.</w:t>
      </w:r>
    </w:p>
    <w:p>
      <w:pPr>
        <w:pStyle w:val="ListParagraph"/>
        <w:numPr>
          <w:ilvl w:val="0"/>
          <w:numId w:val="2"/>
        </w:numPr>
        <w:spacing w:after="80"/>
      </w:pPr>
      <w:r>
        <w:rPr>
          <w:rFonts w:ascii="Calibri" w:cs="Calibri" w:eastAsia="Calibri" w:hAnsi="Calibri"/>
          <w:sz w:val="22"/>
          <w:szCs w:val="22"/>
        </w:rPr>
        <w:t xml:space="preserve">Deploy to PROD — raise a Change List ticket. IT takes the scripts and runs them in production. IT does not validate the logic — CDA is fully responsible for accuracy.</w:t>
      </w:r>
    </w:p>
    <w:p>
      <w:pPr>
        <w:spacing w:after="160"/>
      </w:pPr>
      <w:r>
        <w:t xml:space="preserve"/>
      </w:r>
    </w:p>
    <w:p>
      <w:pPr>
        <w:spacing w:after="100"/>
      </w:pPr>
      <w:r>
        <w:rPr>
          <w:rFonts w:ascii="Calibri" w:cs="Calibri" w:eastAsia="Calibri" w:hAnsi="Calibri"/>
          <w:sz w:val="22"/>
          <w:szCs w:val="22"/>
        </w:rPr>
        <w:t xml:space="preserve">Ad hoc requests that only affect a report filter or display can be done without a full code release. Anything touching the underlying calculation logic requires the full DEV → UAT → PROD process.</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5. Daily BAU Operations — Key Points</w:t>
      </w:r>
    </w:p>
    <w:p>
      <w:pPr>
        <w:pStyle w:val="ListParagraph"/>
        <w:numPr>
          <w:ilvl w:val="0"/>
          <w:numId w:val="2"/>
        </w:numPr>
        <w:spacing w:after="80"/>
      </w:pPr>
      <w:r>
        <w:rPr>
          <w:rFonts w:ascii="Calibri" w:cs="Calibri" w:eastAsia="Calibri" w:hAnsi="Calibri"/>
          <w:sz w:val="22"/>
          <w:szCs w:val="22"/>
        </w:rPr>
        <w:t xml:space="preserve">All jobs run on a daily schedule based on CST (Central Standard Time). Some jobs run multiple times per day; most critical reporting jobs run once daily.</w:t>
      </w:r>
    </w:p>
    <w:p>
      <w:pPr>
        <w:pStyle w:val="ListParagraph"/>
        <w:numPr>
          <w:ilvl w:val="0"/>
          <w:numId w:val="2"/>
        </w:numPr>
        <w:spacing w:after="80"/>
      </w:pPr>
      <w:r>
        <w:rPr>
          <w:rFonts w:ascii="Calibri" w:cs="Calibri" w:eastAsia="Calibri" w:hAnsi="Calibri"/>
          <w:sz w:val="22"/>
          <w:szCs w:val="22"/>
        </w:rPr>
        <w:t xml:space="preserve">Job schedules are designed so that each step finishes in time for the next step to start and meet the T+1 reporting deadline.</w:t>
      </w:r>
    </w:p>
    <w:p>
      <w:pPr>
        <w:pStyle w:val="ListParagraph"/>
        <w:numPr>
          <w:ilvl w:val="0"/>
          <w:numId w:val="2"/>
        </w:numPr>
        <w:spacing w:after="80"/>
      </w:pPr>
      <w:r>
        <w:rPr>
          <w:rFonts w:ascii="Calibri" w:cs="Calibri" w:eastAsia="Calibri" w:hAnsi="Calibri"/>
          <w:sz w:val="22"/>
          <w:szCs w:val="22"/>
        </w:rPr>
        <w:t xml:space="preserve">WONA jobs tend to start slightly later in the day since WONA trading activity is earlier in the day relative to the US.</w:t>
      </w:r>
    </w:p>
    <w:p>
      <w:pPr>
        <w:pStyle w:val="ListParagraph"/>
        <w:numPr>
          <w:ilvl w:val="0"/>
          <w:numId w:val="2"/>
        </w:numPr>
        <w:spacing w:after="80"/>
      </w:pPr>
      <w:r>
        <w:rPr>
          <w:rFonts w:ascii="Calibri" w:cs="Calibri" w:eastAsia="Calibri" w:hAnsi="Calibri"/>
          <w:sz w:val="22"/>
          <w:szCs w:val="22"/>
        </w:rPr>
        <w:t xml:space="preserve">When a job fails, CDA can check the failure log to see exactly which stored procedure failed and why.</w:t>
      </w:r>
    </w:p>
    <w:p>
      <w:pPr>
        <w:pStyle w:val="ListParagraph"/>
        <w:numPr>
          <w:ilvl w:val="0"/>
          <w:numId w:val="2"/>
        </w:numPr>
        <w:spacing w:after="80"/>
      </w:pPr>
      <w:r>
        <w:rPr>
          <w:rFonts w:ascii="Calibri" w:cs="Calibri" w:eastAsia="Calibri" w:hAnsi="Calibri"/>
          <w:sz w:val="22"/>
          <w:szCs w:val="22"/>
        </w:rPr>
        <w:t xml:space="preserve">A flow chart document exists for each line of business showing the full sequence of Type A → Type B → Type C jobs and which stored procedures are run at each step. This is the reference document to use when investigating issues.</w:t>
      </w:r>
    </w:p>
    <w:p>
      <w:pPr>
        <w:spacing w:after="160"/>
      </w:pPr>
      <w:r>
        <w:t xml:space="preserve"/>
      </w:r>
    </w:p>
    <w:p>
      <w:pPr>
        <w:pStyle w:val="Heading2"/>
        <w:spacing w:after="80" w:before="200"/>
      </w:pPr>
      <w:r>
        <w:rPr>
          <w:rFonts w:ascii="Calibri" w:cs="Calibri" w:eastAsia="Calibri" w:hAnsi="Calibri"/>
          <w:b/>
          <w:bCs/>
          <w:sz w:val="24"/>
          <w:szCs w:val="24"/>
        </w:rPr>
        <w:t xml:space="preserve">Impact of delays — cascade effect</w:t>
      </w:r>
    </w:p>
    <w:p>
      <w:pPr>
        <w:pStyle w:val="ListParagraph"/>
        <w:numPr>
          <w:ilvl w:val="0"/>
          <w:numId w:val="2"/>
        </w:numPr>
        <w:spacing w:after="80"/>
      </w:pPr>
      <w:r>
        <w:rPr>
          <w:rFonts w:ascii="Calibri" w:cs="Calibri" w:eastAsia="Calibri" w:hAnsi="Calibri"/>
          <w:sz w:val="22"/>
          <w:szCs w:val="22"/>
        </w:rPr>
        <w:t xml:space="preserve">Any delay in a Type A job delays the corresponding Type B job.</w:t>
      </w:r>
    </w:p>
    <w:p>
      <w:pPr>
        <w:pStyle w:val="ListParagraph"/>
        <w:numPr>
          <w:ilvl w:val="0"/>
          <w:numId w:val="2"/>
        </w:numPr>
        <w:spacing w:after="80"/>
      </w:pPr>
      <w:r>
        <w:rPr>
          <w:rFonts w:ascii="Calibri" w:cs="Calibri" w:eastAsia="Calibri" w:hAnsi="Calibri"/>
          <w:sz w:val="22"/>
          <w:szCs w:val="22"/>
        </w:rPr>
        <w:t xml:space="preserve">Any delay in a Type B job delays the Type C consolidated job.</w:t>
      </w:r>
    </w:p>
    <w:p>
      <w:pPr>
        <w:pStyle w:val="ListParagraph"/>
        <w:numPr>
          <w:ilvl w:val="0"/>
          <w:numId w:val="2"/>
        </w:numPr>
        <w:spacing w:after="80"/>
      </w:pPr>
      <w:r>
        <w:rPr>
          <w:rFonts w:ascii="Calibri" w:cs="Calibri" w:eastAsia="Calibri" w:hAnsi="Calibri"/>
          <w:sz w:val="22"/>
          <w:szCs w:val="22"/>
        </w:rPr>
        <w:t xml:space="preserve">A delayed Type C job means the global Spotfire report is delayed — the Credit Leadership Team does not receive their daily exposure numbers on time.</w:t>
      </w:r>
    </w:p>
    <w:p>
      <w:pPr>
        <w:pStyle w:val="ListParagraph"/>
        <w:numPr>
          <w:ilvl w:val="0"/>
          <w:numId w:val="2"/>
        </w:numPr>
        <w:spacing w:after="80"/>
      </w:pPr>
      <w:r>
        <w:rPr>
          <w:rFonts w:ascii="Calibri" w:cs="Calibri" w:eastAsia="Calibri" w:hAnsi="Calibri"/>
          <w:sz w:val="22"/>
          <w:szCs w:val="22"/>
        </w:rPr>
        <w:t xml:space="preserve">The most common cause of delays is ODW (North America Crude) EOD running late. This delays the crude LAR and the global consolidated report.</w:t>
      </w:r>
    </w:p>
    <w:p>
      <w:pPr>
        <w:spacing w:after="160"/>
      </w:pPr>
      <w:r>
        <w:t xml:space="preserve"/>
      </w:r>
    </w:p>
    <w:p>
      <w:pPr>
        <w:pStyle w:val="Heading2"/>
        <w:spacing w:after="80" w:before="200"/>
      </w:pPr>
      <w:r>
        <w:rPr>
          <w:rFonts w:ascii="Calibri" w:cs="Calibri" w:eastAsia="Calibri" w:hAnsi="Calibri"/>
          <w:b/>
          <w:bCs/>
          <w:sz w:val="24"/>
          <w:szCs w:val="24"/>
        </w:rPr>
        <w:t xml:space="preserve">Automate</w:t>
      </w:r>
    </w:p>
    <w:p>
      <w:pPr>
        <w:pStyle w:val="ListParagraph"/>
        <w:numPr>
          <w:ilvl w:val="0"/>
          <w:numId w:val="2"/>
        </w:numPr>
        <w:spacing w:after="80"/>
      </w:pPr>
      <w:r>
        <w:rPr>
          <w:rFonts w:ascii="Calibri" w:cs="Calibri" w:eastAsia="Calibri" w:hAnsi="Calibri"/>
          <w:sz w:val="22"/>
          <w:szCs w:val="22"/>
        </w:rPr>
        <w:t xml:space="preserve">There is a separate system called Automate (based in Houston) that is used to publish the actual reports once the data is ready in GCAP.</w:t>
      </w:r>
    </w:p>
    <w:p>
      <w:pPr>
        <w:pStyle w:val="ListParagraph"/>
        <w:numPr>
          <w:ilvl w:val="0"/>
          <w:numId w:val="2"/>
        </w:numPr>
        <w:spacing w:after="80"/>
      </w:pPr>
      <w:r>
        <w:rPr>
          <w:rFonts w:ascii="Calibri" w:cs="Calibri" w:eastAsia="Calibri" w:hAnsi="Calibri"/>
          <w:sz w:val="22"/>
          <w:szCs w:val="22"/>
        </w:rPr>
        <w:t xml:space="preserve">The various Spotfire reports that go out daily to traders and credit leadership are triggered through Automate. This will be covered in more detail in a future session.</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6. Key Takeaways from Sessions 3 &amp; 4</w:t>
      </w:r>
    </w:p>
    <w:p>
      <w:pPr>
        <w:pStyle w:val="ListParagraph"/>
        <w:numPr>
          <w:ilvl w:val="0"/>
          <w:numId w:val="2"/>
        </w:numPr>
        <w:spacing w:after="80"/>
      </w:pPr>
      <w:r>
        <w:rPr>
          <w:rFonts w:ascii="Calibri" w:cs="Calibri" w:eastAsia="Calibri" w:hAnsi="Calibri"/>
          <w:sz w:val="22"/>
          <w:szCs w:val="22"/>
        </w:rPr>
        <w:t xml:space="preserve">GCAP replaced GEMS in 2020. IT manages infrastructure; CDA owns all logic.</w:t>
      </w:r>
    </w:p>
    <w:p>
      <w:pPr>
        <w:pStyle w:val="ListParagraph"/>
        <w:numPr>
          <w:ilvl w:val="0"/>
          <w:numId w:val="2"/>
        </w:numPr>
        <w:spacing w:after="80"/>
      </w:pPr>
      <w:r>
        <w:rPr>
          <w:rFonts w:ascii="Calibri" w:cs="Calibri" w:eastAsia="Calibri" w:hAnsi="Calibri"/>
          <w:sz w:val="22"/>
          <w:szCs w:val="22"/>
        </w:rPr>
        <w:t xml:space="preserve">Three environments: DEV, UAT, PROD. Code changes must go through all three with IT deploying to PROD.</w:t>
      </w:r>
    </w:p>
    <w:p>
      <w:pPr>
        <w:pStyle w:val="ListParagraph"/>
        <w:numPr>
          <w:ilvl w:val="0"/>
          <w:numId w:val="2"/>
        </w:numPr>
        <w:spacing w:after="80"/>
      </w:pPr>
      <w:r>
        <w:rPr>
          <w:rFonts w:ascii="Calibri" w:cs="Calibri" w:eastAsia="Calibri" w:hAnsi="Calibri"/>
          <w:sz w:val="22"/>
          <w:szCs w:val="22"/>
        </w:rPr>
        <w:t xml:space="preserve">Every line of business has a different source system — knowing which system feeds what is fundamental to doing the job.</w:t>
      </w:r>
    </w:p>
    <w:p>
      <w:pPr>
        <w:pStyle w:val="ListParagraph"/>
        <w:numPr>
          <w:ilvl w:val="0"/>
          <w:numId w:val="2"/>
        </w:numPr>
        <w:spacing w:after="80"/>
      </w:pPr>
      <w:r>
        <w:rPr>
          <w:rFonts w:ascii="Calibri" w:cs="Calibri" w:eastAsia="Calibri" w:hAnsi="Calibri"/>
          <w:sz w:val="22"/>
          <w:szCs w:val="22"/>
        </w:rPr>
        <w:t xml:space="preserve">Job structure: Type A (pull data) → Type B (transform and calculate per LOB) → Type C (consolidate globally).</w:t>
      </w:r>
    </w:p>
    <w:p>
      <w:pPr>
        <w:pStyle w:val="ListParagraph"/>
        <w:numPr>
          <w:ilvl w:val="0"/>
          <w:numId w:val="2"/>
        </w:numPr>
        <w:spacing w:after="80"/>
      </w:pPr>
      <w:r>
        <w:rPr>
          <w:rFonts w:ascii="Calibri" w:cs="Calibri" w:eastAsia="Calibri" w:hAnsi="Calibri"/>
          <w:sz w:val="22"/>
          <w:szCs w:val="22"/>
        </w:rPr>
        <w:t xml:space="preserve">EC Source Data Load is a critical shared job — it provides counterparty master data to all line-of-business databases.</w:t>
      </w:r>
    </w:p>
    <w:p>
      <w:pPr>
        <w:pStyle w:val="ListParagraph"/>
        <w:numPr>
          <w:ilvl w:val="0"/>
          <w:numId w:val="2"/>
        </w:numPr>
        <w:spacing w:after="80"/>
      </w:pPr>
      <w:r>
        <w:rPr>
          <w:rFonts w:ascii="Calibri" w:cs="Calibri" w:eastAsia="Calibri" w:hAnsi="Calibri"/>
          <w:sz w:val="22"/>
          <w:szCs w:val="22"/>
        </w:rPr>
        <w:t xml:space="preserve">Delays cascade linearly: source system delay → Type A delay → Type B delay → Type C delay → late Spotfire report.</w:t>
      </w:r>
    </w:p>
    <w:p>
      <w:pPr>
        <w:pStyle w:val="ListParagraph"/>
        <w:numPr>
          <w:ilvl w:val="0"/>
          <w:numId w:val="2"/>
        </w:numPr>
        <w:spacing w:after="80"/>
      </w:pPr>
      <w:r>
        <w:rPr>
          <w:rFonts w:ascii="Calibri" w:cs="Calibri" w:eastAsia="Calibri" w:hAnsi="Calibri"/>
          <w:sz w:val="22"/>
          <w:szCs w:val="22"/>
        </w:rPr>
        <w:t xml:space="preserve">ODW (North America Crude) is the most frequent cause of delays in daily reporting.</w:t>
      </w:r>
    </w:p>
    <w:p>
      <w:pPr>
        <w:pStyle w:val="ListParagraph"/>
        <w:numPr>
          <w:ilvl w:val="0"/>
          <w:numId w:val="2"/>
        </w:numPr>
        <w:spacing w:after="80"/>
      </w:pPr>
      <w:r>
        <w:rPr>
          <w:rFonts w:ascii="Calibri" w:cs="Calibri" w:eastAsia="Calibri" w:hAnsi="Calibri"/>
          <w:sz w:val="22"/>
          <w:szCs w:val="22"/>
        </w:rPr>
        <w:t xml:space="preserve">GCAP is T+1 — all reporting is based on the previous day's trades.</w:t>
      </w:r>
    </w:p>
    <w:p>
      <w:pPr>
        <w:spacing w:after="160"/>
      </w:pPr>
      <w:r>
        <w:t xml:space="preserve"/>
      </w:r>
    </w:p>
    <w:p>
      <w:r>
        <w:br w:type="page"/>
      </w:r>
    </w:p>
    <w:p>
      <w:pPr>
        <w:spacing w:after="60"/>
      </w:pPr>
      <w:r>
        <w:rPr>
          <w:rFonts w:ascii="Calibri" w:cs="Calibri" w:eastAsia="Calibri" w:hAnsi="Calibri"/>
          <w:b/>
          <w:bCs/>
          <w:sz w:val="36"/>
          <w:szCs w:val="36"/>
        </w:rPr>
        <w:t xml:space="preserve">Session 5</w:t>
      </w:r>
    </w:p>
    <w:p>
      <w:pPr>
        <w:spacing w:after="40"/>
      </w:pPr>
      <w:r>
        <w:rPr>
          <w:rFonts w:ascii="Calibri" w:cs="Calibri" w:eastAsia="Calibri" w:hAnsi="Calibri"/>
          <w:b/>
          <w:bCs/>
          <w:sz w:val="28"/>
          <w:szCs w:val="28"/>
        </w:rPr>
        <w:t xml:space="preserve">Overview of GCAP Operations &amp; Reports</w:t>
      </w:r>
    </w:p>
    <w:p>
      <w:pPr>
        <w:spacing w:after="400"/>
      </w:pPr>
      <w:r>
        <w:rPr>
          <w:rFonts w:ascii="Calibri" w:cs="Calibri" w:eastAsia="Calibri" w:hAnsi="Calibri"/>
          <w:i/>
          <w:iCs/>
          <w:color w:val="666666"/>
          <w:sz w:val="20"/>
          <w:szCs w:val="20"/>
        </w:rPr>
        <w:t xml:space="preserve">Presenter: Shishir Jogani &amp; Kishore (STASCO-FST/LCD)  |  January 2023</w:t>
      </w:r>
    </w:p>
    <w:p>
      <w:pPr>
        <w:pStyle w:val="Heading1"/>
        <w:spacing w:after="120" w:before="320"/>
      </w:pPr>
      <w:r>
        <w:rPr>
          <w:rFonts w:ascii="Calibri" w:cs="Calibri" w:eastAsia="Calibri" w:hAnsi="Calibri"/>
          <w:b/>
          <w:bCs/>
          <w:sz w:val="30"/>
          <w:szCs w:val="30"/>
        </w:rPr>
        <w:t xml:space="preserve">1. Automate — the Report Publishing Tool</w:t>
      </w:r>
    </w:p>
    <w:p>
      <w:pPr>
        <w:spacing w:after="100"/>
      </w:pPr>
      <w:r>
        <w:rPr>
          <w:rFonts w:ascii="Calibri" w:cs="Calibri" w:eastAsia="Calibri" w:hAnsi="Calibri"/>
          <w:sz w:val="22"/>
          <w:szCs w:val="22"/>
        </w:rPr>
        <w:t xml:space="preserve">Automate is the RPA (Robotic Process Automation) tool used to schedule and run all GCAP reports. It sits between GCAP (where data is calculated) and the end users (traders, credit managers).</w:t>
      </w:r>
    </w:p>
    <w:p>
      <w:pPr>
        <w:spacing w:after="160"/>
      </w:pPr>
      <w:r>
        <w:t xml:space="preserve"/>
      </w:r>
    </w:p>
    <w:p>
      <w:pPr>
        <w:pStyle w:val="ListParagraph"/>
        <w:numPr>
          <w:ilvl w:val="0"/>
          <w:numId w:val="2"/>
        </w:numPr>
        <w:spacing w:after="80"/>
      </w:pPr>
      <w:r>
        <w:rPr>
          <w:rFonts w:ascii="Calibri" w:cs="Calibri" w:eastAsia="Calibri" w:hAnsi="Calibri"/>
          <w:sz w:val="22"/>
          <w:szCs w:val="22"/>
        </w:rPr>
        <w:t xml:space="preserve">Automate does not build or create reports — it runs a sequence of steps to open a template, refresh the data, apply a macro, and save/send the output.</w:t>
      </w:r>
    </w:p>
    <w:p>
      <w:pPr>
        <w:pStyle w:val="ListParagraph"/>
        <w:numPr>
          <w:ilvl w:val="0"/>
          <w:numId w:val="2"/>
        </w:numPr>
        <w:spacing w:after="80"/>
      </w:pPr>
      <w:r>
        <w:rPr>
          <w:rFonts w:ascii="Calibri" w:cs="Calibri" w:eastAsia="Calibri" w:hAnsi="Calibri"/>
          <w:sz w:val="22"/>
          <w:szCs w:val="22"/>
        </w:rPr>
        <w:t xml:space="preserve">Around 60-70% of CDA reports are Excel-based. The remaining 30-40% are published via Spotfire (the business intelligence dashboard tool).</w:t>
      </w:r>
    </w:p>
    <w:p>
      <w:pPr>
        <w:pStyle w:val="ListParagraph"/>
        <w:numPr>
          <w:ilvl w:val="0"/>
          <w:numId w:val="2"/>
        </w:numPr>
        <w:spacing w:after="80"/>
      </w:pPr>
      <w:r>
        <w:rPr>
          <w:rFonts w:ascii="Calibri" w:cs="Calibri" w:eastAsia="Calibri" w:hAnsi="Calibri"/>
          <w:sz w:val="22"/>
          <w:szCs w:val="22"/>
        </w:rPr>
        <w:t xml:space="preserve">Each Automate job contains a series of steps, for example: check GCAP job is complete → open Excel template → run macro → save to SharePoint → send email.</w:t>
      </w:r>
    </w:p>
    <w:p>
      <w:pPr>
        <w:pStyle w:val="ListParagraph"/>
        <w:numPr>
          <w:ilvl w:val="0"/>
          <w:numId w:val="2"/>
        </w:numPr>
        <w:spacing w:after="80"/>
      </w:pPr>
      <w:r>
        <w:rPr>
          <w:rFonts w:ascii="Calibri" w:cs="Calibri" w:eastAsia="Calibri" w:hAnsi="Calibri"/>
          <w:sz w:val="22"/>
          <w:szCs w:val="22"/>
        </w:rPr>
        <w:t xml:space="preserve">Jobs are organised by line of business (e.g. STUSCO folder, SEAM folder etc.) and run on a daily schedule based on CST (Houston time).</w:t>
      </w:r>
    </w:p>
    <w:p>
      <w:pPr>
        <w:spacing w:after="160"/>
      </w:pPr>
      <w:r>
        <w:t xml:space="preserve"/>
      </w:r>
    </w:p>
    <w:p>
      <w:pPr>
        <w:pStyle w:val="Heading2"/>
        <w:spacing w:after="80" w:before="200"/>
      </w:pPr>
      <w:r>
        <w:rPr>
          <w:rFonts w:ascii="Calibri" w:cs="Calibri" w:eastAsia="Calibri" w:hAnsi="Calibri"/>
          <w:b/>
          <w:bCs/>
          <w:sz w:val="24"/>
          <w:szCs w:val="24"/>
        </w:rPr>
        <w:t xml:space="preserve">How to find the logic behind any report</w:t>
      </w:r>
    </w:p>
    <w:p>
      <w:pPr>
        <w:spacing w:after="100"/>
      </w:pPr>
      <w:r>
        <w:rPr>
          <w:rFonts w:ascii="Calibri" w:cs="Calibri" w:eastAsia="Calibri" w:hAnsi="Calibri"/>
          <w:sz w:val="22"/>
          <w:szCs w:val="22"/>
        </w:rPr>
        <w:t xml:space="preserve">If you receive a query about a report and need to find where the logic is written, the investigation sequence is:</w:t>
      </w:r>
    </w:p>
    <w:p>
      <w:pPr>
        <w:pStyle w:val="ListParagraph"/>
        <w:numPr>
          <w:ilvl w:val="0"/>
          <w:numId w:val="2"/>
        </w:numPr>
        <w:spacing w:after="80"/>
      </w:pPr>
      <w:r>
        <w:rPr>
          <w:rFonts w:ascii="Calibri" w:cs="Calibri" w:eastAsia="Calibri" w:hAnsi="Calibri"/>
          <w:b/>
          <w:bCs/>
          <w:sz w:val="22"/>
          <w:szCs w:val="22"/>
        </w:rPr>
        <w:t xml:space="preserve">Step 1: </w:t>
      </w:r>
      <w:r>
        <w:rPr>
          <w:rFonts w:ascii="Calibri" w:cs="Calibri" w:eastAsia="Calibri" w:hAnsi="Calibri"/>
          <w:sz w:val="22"/>
          <w:szCs w:val="22"/>
        </w:rPr>
        <w:t xml:space="preserve">Step 1 — Go to Automate and find the job for that report.</w:t>
      </w:r>
    </w:p>
    <w:p>
      <w:pPr>
        <w:pStyle w:val="ListParagraph"/>
        <w:numPr>
          <w:ilvl w:val="0"/>
          <w:numId w:val="2"/>
        </w:numPr>
        <w:spacing w:after="80"/>
      </w:pPr>
      <w:r>
        <w:rPr>
          <w:rFonts w:ascii="Calibri" w:cs="Calibri" w:eastAsia="Calibri" w:hAnsi="Calibri"/>
          <w:b/>
          <w:bCs/>
          <w:sz w:val="22"/>
          <w:szCs w:val="22"/>
        </w:rPr>
        <w:t xml:space="preserve">Step 2: </w:t>
      </w:r>
      <w:r>
        <w:rPr>
          <w:rFonts w:ascii="Calibri" w:cs="Calibri" w:eastAsia="Calibri" w:hAnsi="Calibri"/>
          <w:sz w:val="22"/>
          <w:szCs w:val="22"/>
        </w:rPr>
        <w:t xml:space="preserve">Step 2 — In the job steps, find the template file location (saved on a Houston shared drive).</w:t>
      </w:r>
    </w:p>
    <w:p>
      <w:pPr>
        <w:pStyle w:val="ListParagraph"/>
        <w:numPr>
          <w:ilvl w:val="0"/>
          <w:numId w:val="2"/>
        </w:numPr>
        <w:spacing w:after="80"/>
      </w:pPr>
      <w:r>
        <w:rPr>
          <w:rFonts w:ascii="Calibri" w:cs="Calibri" w:eastAsia="Calibri" w:hAnsi="Calibri"/>
          <w:b/>
          <w:bCs/>
          <w:sz w:val="22"/>
          <w:szCs w:val="22"/>
        </w:rPr>
        <w:t xml:space="preserve">Step 3: </w:t>
      </w:r>
      <w:r>
        <w:rPr>
          <w:rFonts w:ascii="Calibri" w:cs="Calibri" w:eastAsia="Calibri" w:hAnsi="Calibri"/>
          <w:sz w:val="22"/>
          <w:szCs w:val="22"/>
        </w:rPr>
        <w:t xml:space="preserve">Step 3 — Open the template, go to Data → Queries and Connections → Properties to find the SQL query.</w:t>
      </w:r>
    </w:p>
    <w:p>
      <w:pPr>
        <w:pStyle w:val="ListParagraph"/>
        <w:numPr>
          <w:ilvl w:val="0"/>
          <w:numId w:val="2"/>
        </w:numPr>
        <w:spacing w:after="80"/>
      </w:pPr>
      <w:r>
        <w:rPr>
          <w:rFonts w:ascii="Calibri" w:cs="Calibri" w:eastAsia="Calibri" w:hAnsi="Calibri"/>
          <w:b/>
          <w:bCs/>
          <w:sz w:val="22"/>
          <w:szCs w:val="22"/>
        </w:rPr>
        <w:t xml:space="preserve">Step 4: </w:t>
      </w:r>
      <w:r>
        <w:rPr>
          <w:rFonts w:ascii="Calibri" w:cs="Calibri" w:eastAsia="Calibri" w:hAnsi="Calibri"/>
          <w:sz w:val="22"/>
          <w:szCs w:val="22"/>
        </w:rPr>
        <w:t xml:space="preserve">Step 4 — The query will point to a GCAP database table. Go to that table and find the stored procedure that populates it.</w:t>
      </w:r>
    </w:p>
    <w:p>
      <w:pPr>
        <w:pStyle w:val="ListParagraph"/>
        <w:numPr>
          <w:ilvl w:val="0"/>
          <w:numId w:val="2"/>
        </w:numPr>
        <w:spacing w:after="80"/>
      </w:pPr>
      <w:r>
        <w:rPr>
          <w:rFonts w:ascii="Calibri" w:cs="Calibri" w:eastAsia="Calibri" w:hAnsi="Calibri"/>
          <w:b/>
          <w:bCs/>
          <w:sz w:val="22"/>
          <w:szCs w:val="22"/>
        </w:rPr>
        <w:t xml:space="preserve">Step 5: </w:t>
      </w:r>
      <w:r>
        <w:rPr>
          <w:rFonts w:ascii="Calibri" w:cs="Calibri" w:eastAsia="Calibri" w:hAnsi="Calibri"/>
          <w:sz w:val="22"/>
          <w:szCs w:val="22"/>
        </w:rPr>
        <w:t xml:space="preserve">Step 5 — Read the stored procedure to understand the logic.</w:t>
      </w:r>
    </w:p>
    <w:p>
      <w:pPr>
        <w:spacing w:after="160"/>
      </w:pPr>
      <w:r>
        <w:t xml:space="preserve"/>
      </w:r>
    </w:p>
    <w:p>
      <w:pPr>
        <w:spacing w:after="100"/>
      </w:pPr>
      <w:r>
        <w:rPr>
          <w:rFonts w:ascii="Calibri" w:cs="Calibri" w:eastAsia="Calibri" w:hAnsi="Calibri"/>
          <w:sz w:val="22"/>
          <w:szCs w:val="22"/>
        </w:rPr>
        <w:t xml:space="preserve">Automate also checks whether the relevant GCAP Type B jobs have completed before running a report. If jobs are still pending or failed, Automate will not run the report and will throw an error. This is why Automate is your first port of call when a report hasn't gone out on time.</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2. GCAP Report Categories</w:t>
      </w:r>
    </w:p>
    <w:p>
      <w:pPr>
        <w:spacing w:after="100"/>
      </w:pPr>
      <w:r>
        <w:rPr>
          <w:rFonts w:ascii="Calibri" w:cs="Calibri" w:eastAsia="Calibri" w:hAnsi="Calibri"/>
          <w:sz w:val="22"/>
          <w:szCs w:val="22"/>
        </w:rPr>
        <w:t xml:space="preserve">There are approximately 50-60 reports produced from GCAP across all lines of business. To make them manageable, they are grouped into 7 categories. Most reports appear in multiple lines of business — the logic is the same, just applied to different data.</w:t>
      </w:r>
    </w:p>
    <w:p>
      <w:pPr>
        <w:spacing w:after="160"/>
      </w:pPr>
      <w:r>
        <w:t xml:space="preserve"/>
      </w:r>
    </w:p>
    <w:p>
      <w:pPr>
        <w:spacing w:after="100"/>
      </w:pPr>
      <w:r>
        <w:rPr>
          <w:rFonts w:ascii="Calibri" w:cs="Calibri" w:eastAsia="Calibri" w:hAnsi="Calibri"/>
          <w:sz w:val="22"/>
          <w:szCs w:val="22"/>
        </w:rPr>
        <w:t xml:space="preserve">Report frequency breakdown: roughly 70% daily, 15% quarterly, 5-10% monthly, and a small number weekly or biweekly.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Limit Availability (LAR)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How much credit limit a trader has left to deal with a counterparty. Credit Limit minus Net Exposure = Limit Available. Most critical daily report — must be published by 8am Houston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Mandates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Limits expressed in volume terms rather than dollar value. Used mainly in Gas &amp; Power. E.g. a counterparty limit of 10,000 MMBtu with 6,000 already used = 4,000 remaining.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Exposure (Credit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Full breakdown of gross exposure per counterparty: AR, AP, Unbilled, MtM, Collateral, and Net Exposure. The core output of every Type B job in GCAP.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Ageing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Buckets outstanding receivables and payables by how many days overdue they are. Anything over 180 days past due is classified as bad debt.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Exceeds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Where a counterparty's net exposure is greater than their approved credit limit. Credit managers must review and comment on each exceed.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Reserves / ECL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Expected Credit Loss and Credit Reserve reports. Short-term ECL and credit reserves are produced by CDA. Long-term ECL is not currently produced by this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Exception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 quality reports. Flags gaps where data from two systems cannot be joined — e.g. a counterparty exists in SAP but has no record in Energy Credit. Shared with the master data team for remediation.</w:t>
            </w:r>
          </w:p>
        </w:tc>
      </w:tr>
    </w:tbl>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3. Limit Availability Report (LAR) — Detail</w:t>
      </w:r>
    </w:p>
    <w:p>
      <w:pPr>
        <w:pStyle w:val="ListParagraph"/>
        <w:numPr>
          <w:ilvl w:val="0"/>
          <w:numId w:val="2"/>
        </w:numPr>
        <w:spacing w:after="80"/>
      </w:pPr>
      <w:r>
        <w:rPr>
          <w:rFonts w:ascii="Calibri" w:cs="Calibri" w:eastAsia="Calibri" w:hAnsi="Calibri"/>
          <w:sz w:val="22"/>
          <w:szCs w:val="22"/>
        </w:rPr>
        <w:t xml:space="preserve">LAR is the most time-critical report CDA produces. Deadline: 8:00am Houston time every day.</w:t>
      </w:r>
    </w:p>
    <w:p>
      <w:pPr>
        <w:pStyle w:val="ListParagraph"/>
        <w:numPr>
          <w:ilvl w:val="0"/>
          <w:numId w:val="2"/>
        </w:numPr>
        <w:spacing w:after="80"/>
      </w:pPr>
      <w:r>
        <w:rPr>
          <w:rFonts w:ascii="Calibri" w:cs="Calibri" w:eastAsia="Calibri" w:hAnsi="Calibri"/>
          <w:sz w:val="22"/>
          <w:szCs w:val="22"/>
        </w:rPr>
        <w:t xml:space="preserve">Formula: Approved Credit Limit (from Energy Credit) minus Net Exposure (from GCAP) = Limit Available.</w:t>
      </w:r>
    </w:p>
    <w:p>
      <w:pPr>
        <w:pStyle w:val="ListParagraph"/>
        <w:numPr>
          <w:ilvl w:val="0"/>
          <w:numId w:val="2"/>
        </w:numPr>
        <w:spacing w:after="80"/>
      </w:pPr>
      <w:r>
        <w:rPr>
          <w:rFonts w:ascii="Calibri" w:cs="Calibri" w:eastAsia="Calibri" w:hAnsi="Calibri"/>
          <w:sz w:val="22"/>
          <w:szCs w:val="22"/>
        </w:rPr>
        <w:t xml:space="preserve">The report also shows counterparty details: subsidiary name, ultimate legal parent (ULP), credit rating, netting agreement, deal type, and limit category.</w:t>
      </w:r>
    </w:p>
    <w:p>
      <w:pPr>
        <w:pStyle w:val="ListParagraph"/>
        <w:numPr>
          <w:ilvl w:val="0"/>
          <w:numId w:val="2"/>
        </w:numPr>
        <w:spacing w:after="80"/>
      </w:pPr>
      <w:r>
        <w:rPr>
          <w:rFonts w:ascii="Calibri" w:cs="Calibri" w:eastAsia="Calibri" w:hAnsi="Calibri"/>
          <w:sz w:val="22"/>
          <w:szCs w:val="22"/>
        </w:rPr>
        <w:t xml:space="preserve">LAR exists separately for each line of business — SENA LAR, STUSCO Crude LAR, NA Products LAR, STRM LAR, Shell Energy Brazil/Mexico LARs etc.</w:t>
      </w:r>
    </w:p>
    <w:p>
      <w:pPr>
        <w:pStyle w:val="ListParagraph"/>
        <w:numPr>
          <w:ilvl w:val="0"/>
          <w:numId w:val="2"/>
        </w:numPr>
        <w:spacing w:after="80"/>
      </w:pPr>
      <w:r>
        <w:rPr>
          <w:rFonts w:ascii="Calibri" w:cs="Calibri" w:eastAsia="Calibri" w:hAnsi="Calibri"/>
          <w:sz w:val="22"/>
          <w:szCs w:val="22"/>
        </w:rPr>
        <w:t xml:space="preserve">WONA crude and products do not have a per-entity LAR because Energy Credit holds one single limit for the entire WONA region rather than splitting it by trading entity. The Credit Checks team monitors overall WONA exposure against that single limit.</w:t>
      </w:r>
    </w:p>
    <w:p>
      <w:pPr>
        <w:spacing w:after="160"/>
      </w:pPr>
      <w:r>
        <w:t xml:space="preserve"/>
      </w:r>
    </w:p>
    <w:p>
      <w:pPr>
        <w:pStyle w:val="Heading2"/>
        <w:spacing w:after="80" w:before="200"/>
      </w:pPr>
      <w:r>
        <w:rPr>
          <w:rFonts w:ascii="Calibri" w:cs="Calibri" w:eastAsia="Calibri" w:hAnsi="Calibri"/>
          <w:b/>
          <w:bCs/>
          <w:sz w:val="24"/>
          <w:szCs w:val="24"/>
        </w:rPr>
        <w:t xml:space="preserve">Where the logic sits</w:t>
      </w:r>
    </w:p>
    <w:p>
      <w:pPr>
        <w:pStyle w:val="ListParagraph"/>
        <w:numPr>
          <w:ilvl w:val="0"/>
          <w:numId w:val="2"/>
        </w:numPr>
        <w:spacing w:after="80"/>
      </w:pPr>
      <w:r>
        <w:rPr>
          <w:rFonts w:ascii="Calibri" w:cs="Calibri" w:eastAsia="Calibri" w:hAnsi="Calibri"/>
          <w:sz w:val="22"/>
          <w:szCs w:val="22"/>
        </w:rPr>
        <w:t xml:space="preserve">SENA LAR — approximately 90% of logic resides in Energy Credit, 10% transformation in GCAP.</w:t>
      </w:r>
    </w:p>
    <w:p>
      <w:pPr>
        <w:pStyle w:val="ListParagraph"/>
        <w:numPr>
          <w:ilvl w:val="0"/>
          <w:numId w:val="2"/>
        </w:numPr>
        <w:spacing w:after="80"/>
      </w:pPr>
      <w:r>
        <w:rPr>
          <w:rFonts w:ascii="Calibri" w:cs="Calibri" w:eastAsia="Calibri" w:hAnsi="Calibri"/>
          <w:sz w:val="22"/>
          <w:szCs w:val="22"/>
        </w:rPr>
        <w:t xml:space="preserve">North America Crude &amp; Products LAR and all other LARs — logic entirely in GCAP.</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4. Credit Review — the Core Exposure Table</w:t>
      </w:r>
    </w:p>
    <w:p>
      <w:pPr>
        <w:spacing w:after="100"/>
      </w:pPr>
      <w:r>
        <w:rPr>
          <w:rFonts w:ascii="Calibri" w:cs="Calibri" w:eastAsia="Calibri" w:hAnsi="Calibri"/>
          <w:sz w:val="22"/>
          <w:szCs w:val="22"/>
        </w:rPr>
        <w:t xml:space="preserve">The Credit Review table is the final output of every Type B job in GCAP. It is the foundation for most other reports.</w:t>
      </w:r>
    </w:p>
    <w:p>
      <w:pPr>
        <w:spacing w:after="160"/>
      </w:pPr>
      <w:r>
        <w:t xml:space="preserve"/>
      </w:r>
    </w:p>
    <w:p>
      <w:pPr>
        <w:pStyle w:val="ListParagraph"/>
        <w:numPr>
          <w:ilvl w:val="0"/>
          <w:numId w:val="2"/>
        </w:numPr>
        <w:spacing w:after="80"/>
      </w:pPr>
      <w:r>
        <w:rPr>
          <w:rFonts w:ascii="Calibri" w:cs="Calibri" w:eastAsia="Calibri" w:hAnsi="Calibri"/>
          <w:sz w:val="22"/>
          <w:szCs w:val="22"/>
        </w:rPr>
        <w:t xml:space="preserve">Contains one row per counterparty per line of business.</w:t>
      </w:r>
    </w:p>
    <w:p>
      <w:pPr>
        <w:pStyle w:val="ListParagraph"/>
        <w:numPr>
          <w:ilvl w:val="0"/>
          <w:numId w:val="2"/>
        </w:numPr>
        <w:spacing w:after="80"/>
      </w:pPr>
      <w:r>
        <w:rPr>
          <w:rFonts w:ascii="Calibri" w:cs="Calibri" w:eastAsia="Calibri" w:hAnsi="Calibri"/>
          <w:sz w:val="22"/>
          <w:szCs w:val="22"/>
        </w:rPr>
        <w:t xml:space="preserve">Columns include: counterparty short name, subsidiary, ultimate legal parent (ULP), S&amp;P rating, Moody's rating, internal rating, limit category (trading entity + commodity type), netting agreement, approved credit limit.</w:t>
      </w:r>
    </w:p>
    <w:p>
      <w:pPr>
        <w:pStyle w:val="ListParagraph"/>
        <w:numPr>
          <w:ilvl w:val="0"/>
          <w:numId w:val="2"/>
        </w:numPr>
        <w:spacing w:after="80"/>
      </w:pPr>
      <w:r>
        <w:rPr>
          <w:rFonts w:ascii="Calibri" w:cs="Calibri" w:eastAsia="Calibri" w:hAnsi="Calibri"/>
          <w:sz w:val="22"/>
          <w:szCs w:val="22"/>
        </w:rPr>
        <w:t xml:space="preserve">Exposure columns: AR, AP, Unbilled Receivable, Unbilled Payable, CMU (Current Month Undelivered), Forward MtM.</w:t>
      </w:r>
    </w:p>
    <w:p>
      <w:pPr>
        <w:pStyle w:val="ListParagraph"/>
        <w:numPr>
          <w:ilvl w:val="0"/>
          <w:numId w:val="2"/>
        </w:numPr>
        <w:spacing w:after="80"/>
      </w:pPr>
      <w:r>
        <w:rPr>
          <w:rFonts w:ascii="Calibri" w:cs="Calibri" w:eastAsia="Calibri" w:hAnsi="Calibri"/>
          <w:sz w:val="22"/>
          <w:szCs w:val="22"/>
        </w:rPr>
        <w:t xml:space="preserve">Netting is applied where a netting agreement exists — receivables minus payables = gross exposure.</w:t>
      </w:r>
    </w:p>
    <w:p>
      <w:pPr>
        <w:pStyle w:val="ListParagraph"/>
        <w:numPr>
          <w:ilvl w:val="0"/>
          <w:numId w:val="2"/>
        </w:numPr>
        <w:spacing w:after="80"/>
      </w:pPr>
      <w:r>
        <w:rPr>
          <w:rFonts w:ascii="Calibri" w:cs="Calibri" w:eastAsia="Calibri" w:hAnsi="Calibri"/>
          <w:sz w:val="22"/>
          <w:szCs w:val="22"/>
        </w:rPr>
        <w:t xml:space="preserve">Collateral columns: Cash, Letter of Credit, Other. Gross minus Collateral = Net Exposure.</w:t>
      </w:r>
    </w:p>
    <w:p>
      <w:pPr>
        <w:pStyle w:val="ListParagraph"/>
        <w:numPr>
          <w:ilvl w:val="0"/>
          <w:numId w:val="2"/>
        </w:numPr>
        <w:spacing w:after="80"/>
      </w:pPr>
      <w:r>
        <w:rPr>
          <w:rFonts w:ascii="Calibri" w:cs="Calibri" w:eastAsia="Calibri" w:hAnsi="Calibri"/>
          <w:sz w:val="22"/>
          <w:szCs w:val="22"/>
        </w:rPr>
        <w:t xml:space="preserve">The Type C global consolidated table is simply all Credit Review tables from all lines of business stacked on top of each other.</w:t>
      </w:r>
    </w:p>
    <w:p>
      <w:pPr>
        <w:spacing w:after="160"/>
      </w:pPr>
      <w:r>
        <w:t xml:space="preserve"/>
      </w:r>
    </w:p>
    <w:p>
      <w:pPr>
        <w:pStyle w:val="Heading2"/>
        <w:spacing w:after="80" w:before="200"/>
      </w:pPr>
      <w:r>
        <w:rPr>
          <w:rFonts w:ascii="Calibri" w:cs="Calibri" w:eastAsia="Calibri" w:hAnsi="Calibri"/>
          <w:b/>
          <w:bCs/>
          <w:sz w:val="24"/>
          <w:szCs w:val="24"/>
        </w:rPr>
        <w:t xml:space="preserve">Where data in the Credit Review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Column 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Counterparty data (name, ULP, rating, limits, netting)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AR and AP (invoiced amounts)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SAP (PAT/P-81/GSAP depending on LOB)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Unbilled Receivable and Payable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ETRMs (NDR/Align/Synapse/Nucleus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Mark to 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ETRMs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Collateral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Energy Credit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Net Exposure calculation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Computed inside GCAP</w:t>
            </w:r>
          </w:p>
        </w:tc>
      </w:tr>
    </w:tbl>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5. Ageing Reports</w:t>
      </w:r>
    </w:p>
    <w:p>
      <w:pPr>
        <w:pStyle w:val="ListParagraph"/>
        <w:numPr>
          <w:ilvl w:val="0"/>
          <w:numId w:val="2"/>
        </w:numPr>
        <w:spacing w:after="80"/>
      </w:pPr>
      <w:r>
        <w:rPr>
          <w:rFonts w:ascii="Calibri" w:cs="Calibri" w:eastAsia="Calibri" w:hAnsi="Calibri"/>
          <w:sz w:val="22"/>
          <w:szCs w:val="22"/>
        </w:rPr>
        <w:t xml:space="preserve">Report overdue receivables and payables bucketed by days outstanding from the invoice due date.</w:t>
      </w:r>
    </w:p>
    <w:p>
      <w:pPr>
        <w:pStyle w:val="ListParagraph"/>
        <w:numPr>
          <w:ilvl w:val="0"/>
          <w:numId w:val="2"/>
        </w:numPr>
        <w:spacing w:after="80"/>
      </w:pPr>
      <w:r>
        <w:rPr>
          <w:rFonts w:ascii="Calibri" w:cs="Calibri" w:eastAsia="Calibri" w:hAnsi="Calibri"/>
          <w:sz w:val="22"/>
          <w:szCs w:val="22"/>
        </w:rPr>
        <w:t xml:space="preserve">The longer an amount is overdue, the more serious it is. Anything over 180 days past due is classified as bad debt — meaning Shell formally recognises it is unlikely to be recovered.</w:t>
      </w:r>
    </w:p>
    <w:p>
      <w:pPr>
        <w:pStyle w:val="ListParagraph"/>
        <w:numPr>
          <w:ilvl w:val="0"/>
          <w:numId w:val="2"/>
        </w:numPr>
        <w:spacing w:after="80"/>
      </w:pPr>
      <w:r>
        <w:rPr>
          <w:rFonts w:ascii="Calibri" w:cs="Calibri" w:eastAsia="Calibri" w:hAnsi="Calibri"/>
          <w:sz w:val="22"/>
          <w:szCs w:val="22"/>
        </w:rPr>
        <w:t xml:space="preserve">Has accounting implications — bad debt classification affects Shell's financial statements.</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6. Exceeds Reports</w:t>
      </w:r>
    </w:p>
    <w:p>
      <w:pPr>
        <w:pStyle w:val="ListParagraph"/>
        <w:numPr>
          <w:ilvl w:val="0"/>
          <w:numId w:val="2"/>
        </w:numPr>
        <w:spacing w:after="80"/>
      </w:pPr>
      <w:r>
        <w:rPr>
          <w:rFonts w:ascii="Calibri" w:cs="Calibri" w:eastAsia="Calibri" w:hAnsi="Calibri"/>
          <w:sz w:val="22"/>
          <w:szCs w:val="22"/>
        </w:rPr>
        <w:t xml:space="preserve">An exceed occurs when a counterparty's net exposure is greater than their approved credit limit.</w:t>
      </w:r>
    </w:p>
    <w:p>
      <w:pPr>
        <w:pStyle w:val="ListParagraph"/>
        <w:numPr>
          <w:ilvl w:val="0"/>
          <w:numId w:val="2"/>
        </w:numPr>
        <w:spacing w:after="80"/>
      </w:pPr>
      <w:r>
        <w:rPr>
          <w:rFonts w:ascii="Calibri" w:cs="Calibri" w:eastAsia="Calibri" w:hAnsi="Calibri"/>
          <w:sz w:val="22"/>
          <w:szCs w:val="22"/>
        </w:rPr>
        <w:t xml:space="preserve">Formula: Net Exposure minus Credit Limit = Exceed Amount.</w:t>
      </w:r>
    </w:p>
    <w:p>
      <w:pPr>
        <w:pStyle w:val="ListParagraph"/>
        <w:numPr>
          <w:ilvl w:val="0"/>
          <w:numId w:val="2"/>
        </w:numPr>
        <w:spacing w:after="80"/>
      </w:pPr>
      <w:r>
        <w:rPr>
          <w:rFonts w:ascii="Calibri" w:cs="Calibri" w:eastAsia="Calibri" w:hAnsi="Calibri"/>
          <w:sz w:val="22"/>
          <w:szCs w:val="22"/>
        </w:rPr>
        <w:t xml:space="preserve">Commercial credit managers must review every exceed and provide a commentary explaining why it occurred.</w:t>
      </w:r>
    </w:p>
    <w:p>
      <w:pPr>
        <w:pStyle w:val="ListParagraph"/>
        <w:numPr>
          <w:ilvl w:val="0"/>
          <w:numId w:val="2"/>
        </w:numPr>
        <w:spacing w:after="80"/>
      </w:pPr>
      <w:r>
        <w:rPr>
          <w:rFonts w:ascii="Calibri" w:cs="Calibri" w:eastAsia="Calibri" w:hAnsi="Calibri"/>
          <w:sz w:val="22"/>
          <w:szCs w:val="22"/>
        </w:rPr>
        <w:t xml:space="preserve">Gaining increasing attention — controls are being proposed around the exceeds process.</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7. Exception Reports</w:t>
      </w:r>
    </w:p>
    <w:p>
      <w:pPr>
        <w:pStyle w:val="ListParagraph"/>
        <w:numPr>
          <w:ilvl w:val="0"/>
          <w:numId w:val="2"/>
        </w:numPr>
        <w:spacing w:after="80"/>
      </w:pPr>
      <w:r>
        <w:rPr>
          <w:rFonts w:ascii="Calibri" w:cs="Calibri" w:eastAsia="Calibri" w:hAnsi="Calibri"/>
          <w:sz w:val="22"/>
          <w:szCs w:val="22"/>
        </w:rPr>
        <w:t xml:space="preserve">GCAP aggregates data from multiple source systems and joins them together — like a VLOOKUP in Excel. For the join to work, a common identifier must exist in both datasets.</w:t>
      </w:r>
    </w:p>
    <w:p>
      <w:pPr>
        <w:pStyle w:val="ListParagraph"/>
        <w:numPr>
          <w:ilvl w:val="0"/>
          <w:numId w:val="2"/>
        </w:numPr>
        <w:spacing w:after="80"/>
      </w:pPr>
      <w:r>
        <w:rPr>
          <w:rFonts w:ascii="Calibri" w:cs="Calibri" w:eastAsia="Calibri" w:hAnsi="Calibri"/>
          <w:sz w:val="22"/>
          <w:szCs w:val="22"/>
        </w:rPr>
        <w:t xml:space="preserve">Exception reports flag rows where that join fails — e.g. a counterparty has an invoice in SAP but no corresponding record in Energy Credit.</w:t>
      </w:r>
    </w:p>
    <w:p>
      <w:pPr>
        <w:pStyle w:val="ListParagraph"/>
        <w:numPr>
          <w:ilvl w:val="0"/>
          <w:numId w:val="2"/>
        </w:numPr>
        <w:spacing w:after="80"/>
      </w:pPr>
      <w:r>
        <w:rPr>
          <w:rFonts w:ascii="Calibri" w:cs="Calibri" w:eastAsia="Calibri" w:hAnsi="Calibri"/>
          <w:sz w:val="22"/>
          <w:szCs w:val="22"/>
        </w:rPr>
        <w:t xml:space="preserve">These reports are shared with the master data team (referred to as the 'four data team'), who take corrective action.</w:t>
      </w:r>
    </w:p>
    <w:p>
      <w:pPr>
        <w:pStyle w:val="ListParagraph"/>
        <w:numPr>
          <w:ilvl w:val="0"/>
          <w:numId w:val="2"/>
        </w:numPr>
        <w:spacing w:after="80"/>
      </w:pPr>
      <w:r>
        <w:rPr>
          <w:rFonts w:ascii="Calibri" w:cs="Calibri" w:eastAsia="Calibri" w:hAnsi="Calibri"/>
          <w:sz w:val="22"/>
          <w:szCs w:val="22"/>
        </w:rPr>
        <w:t xml:space="preserve">Exceptions are generated purely within GCAP. They exist to maintain data quality and ensure no exposures are missed.</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8. Daily Commentary</w:t>
      </w:r>
    </w:p>
    <w:p>
      <w:pPr>
        <w:pStyle w:val="ListParagraph"/>
        <w:numPr>
          <w:ilvl w:val="0"/>
          <w:numId w:val="2"/>
        </w:numPr>
        <w:spacing w:after="80"/>
      </w:pPr>
      <w:r>
        <w:rPr>
          <w:rFonts w:ascii="Calibri" w:cs="Calibri" w:eastAsia="Calibri" w:hAnsi="Calibri"/>
          <w:sz w:val="22"/>
          <w:szCs w:val="22"/>
        </w:rPr>
        <w:t xml:space="preserve">CDA sends a daily commentary email explaining the main drivers behind changes in the global credit exposure numbers.</w:t>
      </w:r>
    </w:p>
    <w:p>
      <w:pPr>
        <w:pStyle w:val="ListParagraph"/>
        <w:numPr>
          <w:ilvl w:val="0"/>
          <w:numId w:val="2"/>
        </w:numPr>
        <w:spacing w:after="80"/>
      </w:pPr>
      <w:r>
        <w:rPr>
          <w:rFonts w:ascii="Calibri" w:cs="Calibri" w:eastAsia="Calibri" w:hAnsi="Calibri"/>
          <w:sz w:val="22"/>
          <w:szCs w:val="22"/>
        </w:rPr>
        <w:t xml:space="preserve">This is not a mandated requirement — CDA does it proactively to catch data errors, logic issues, and fat finger mistakes before they escalate.</w:t>
      </w:r>
    </w:p>
    <w:p>
      <w:pPr>
        <w:pStyle w:val="ListParagraph"/>
        <w:numPr>
          <w:ilvl w:val="0"/>
          <w:numId w:val="2"/>
        </w:numPr>
        <w:spacing w:after="80"/>
      </w:pPr>
      <w:r>
        <w:rPr>
          <w:rFonts w:ascii="Calibri" w:cs="Calibri" w:eastAsia="Calibri" w:hAnsi="Calibri"/>
          <w:sz w:val="22"/>
          <w:szCs w:val="22"/>
        </w:rPr>
        <w:t xml:space="preserve">For ECL reports (quarterly/monthly), formal commentaries are written explaining quarter-on-quarter or month-on-month changes.</w:t>
      </w:r>
    </w:p>
    <w:p>
      <w:pPr>
        <w:pStyle w:val="ListParagraph"/>
        <w:numPr>
          <w:ilvl w:val="0"/>
          <w:numId w:val="2"/>
        </w:numPr>
        <w:spacing w:after="80"/>
      </w:pPr>
      <w:r>
        <w:rPr>
          <w:rFonts w:ascii="Calibri" w:cs="Calibri" w:eastAsia="Calibri" w:hAnsi="Calibri"/>
          <w:sz w:val="22"/>
          <w:szCs w:val="22"/>
        </w:rPr>
        <w:t xml:space="preserve">Investigation goes to deal level — within a counterparty's exposure, the team identifies which specific deal is causing a movement.</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9. Spotfire — The Front End for Users</w:t>
      </w:r>
    </w:p>
    <w:p>
      <w:pPr>
        <w:pStyle w:val="ListParagraph"/>
        <w:numPr>
          <w:ilvl w:val="0"/>
          <w:numId w:val="2"/>
        </w:numPr>
        <w:spacing w:after="80"/>
      </w:pPr>
      <w:r>
        <w:rPr>
          <w:rFonts w:ascii="Calibri" w:cs="Calibri" w:eastAsia="Calibri" w:hAnsi="Calibri"/>
          <w:sz w:val="22"/>
          <w:szCs w:val="22"/>
        </w:rPr>
        <w:t xml:space="preserve">Spotfire is the business intelligence dashboard that end users (traders, regional heads, credit managers) use to view credit exposure data.</w:t>
      </w:r>
    </w:p>
    <w:p>
      <w:pPr>
        <w:pStyle w:val="ListParagraph"/>
        <w:numPr>
          <w:ilvl w:val="0"/>
          <w:numId w:val="2"/>
        </w:numPr>
        <w:spacing w:after="80"/>
      </w:pPr>
      <w:r>
        <w:rPr>
          <w:rFonts w:ascii="Calibri" w:cs="Calibri" w:eastAsia="Calibri" w:hAnsi="Calibri"/>
          <w:sz w:val="22"/>
          <w:szCs w:val="22"/>
        </w:rPr>
        <w:t xml:space="preserve">Spotfire connects directly to GCAP database tables. Users can log in and search by counterparty to see their exposure breakdown.</w:t>
      </w:r>
    </w:p>
    <w:p>
      <w:pPr>
        <w:pStyle w:val="ListParagraph"/>
        <w:numPr>
          <w:ilvl w:val="0"/>
          <w:numId w:val="2"/>
        </w:numPr>
        <w:spacing w:after="80"/>
      </w:pPr>
      <w:r>
        <w:rPr>
          <w:rFonts w:ascii="Calibri" w:cs="Calibri" w:eastAsia="Calibri" w:hAnsi="Calibri"/>
          <w:sz w:val="22"/>
          <w:szCs w:val="22"/>
        </w:rPr>
        <w:t xml:space="preserve">Currently not very user-friendly — the dashboards contain all the right information but are difficult to navigate. An area identified for improvement.</w:t>
      </w:r>
    </w:p>
    <w:p>
      <w:pPr>
        <w:spacing w:after="160"/>
      </w:pPr>
      <w:r>
        <w:t xml:space="preserve"/>
      </w:r>
    </w:p>
    <w:p>
      <w:pPr>
        <w:pBdr>
          <w:bottom w:val="single" w:color="AAAAAA" w:sz="4" w:space="1"/>
        </w:pBdr>
        <w:spacing w:after="160" w:before="160"/>
      </w:pPr>
      <w:r>
        <w:t xml:space="preserve"/>
      </w:r>
    </w:p>
    <w:p>
      <w:pPr>
        <w:pStyle w:val="Heading1"/>
        <w:spacing w:after="120" w:before="320"/>
      </w:pPr>
      <w:r>
        <w:rPr>
          <w:rFonts w:ascii="Calibri" w:cs="Calibri" w:eastAsia="Calibri" w:hAnsi="Calibri"/>
          <w:b/>
          <w:bCs/>
          <w:sz w:val="30"/>
          <w:szCs w:val="30"/>
        </w:rPr>
        <w:t xml:space="preserve">10. GCAP — Evolution and Purpose</w:t>
      </w:r>
    </w:p>
    <w:p>
      <w:pPr>
        <w:spacing w:after="100"/>
      </w:pPr>
      <w:r>
        <w:rPr>
          <w:rFonts w:ascii="Calibri" w:cs="Calibri" w:eastAsia="Calibri" w:hAnsi="Calibri"/>
          <w:sz w:val="22"/>
          <w:szCs w:val="22"/>
        </w:rPr>
        <w:t xml:space="preserve">Shishir gave a useful summary of how GCAP evolved and what it fundamentally is:</w:t>
      </w:r>
    </w:p>
    <w:p>
      <w:pPr>
        <w:spacing w:after="160"/>
      </w:pPr>
      <w:r>
        <w:t xml:space="preserve"/>
      </w:r>
    </w:p>
    <w:p>
      <w:pPr>
        <w:pStyle w:val="ListParagraph"/>
        <w:numPr>
          <w:ilvl w:val="0"/>
          <w:numId w:val="2"/>
        </w:numPr>
        <w:spacing w:after="80"/>
      </w:pPr>
      <w:r>
        <w:rPr>
          <w:rFonts w:ascii="Calibri" w:cs="Calibri" w:eastAsia="Calibri" w:hAnsi="Calibri"/>
          <w:sz w:val="22"/>
          <w:szCs w:val="22"/>
        </w:rPr>
        <w:t xml:space="preserve">GCAP was originally created purely as an MI (Management Information) tool — its purpose was to aggregate data from multiple systems and produce a net exposure report for credit risk users.</w:t>
      </w:r>
    </w:p>
    <w:p>
      <w:pPr>
        <w:pStyle w:val="ListParagraph"/>
        <w:numPr>
          <w:ilvl w:val="0"/>
          <w:numId w:val="2"/>
        </w:numPr>
        <w:spacing w:after="80"/>
      </w:pPr>
      <w:r>
        <w:rPr>
          <w:rFonts w:ascii="Calibri" w:cs="Calibri" w:eastAsia="Calibri" w:hAnsi="Calibri"/>
          <w:sz w:val="22"/>
          <w:szCs w:val="22"/>
        </w:rPr>
        <w:t xml:space="preserve">Because GCAP already had net exposures and all counterparty data, it was a natural step to add ECL calculation — which just needed Probability of Default (from S&amp;P) multiplied by the existing exposures and a fixed Loss Given Default (set at 60% by Shell leadership).</w:t>
      </w:r>
    </w:p>
    <w:p>
      <w:pPr>
        <w:pStyle w:val="ListParagraph"/>
        <w:numPr>
          <w:ilvl w:val="0"/>
          <w:numId w:val="2"/>
        </w:numPr>
        <w:spacing w:after="80"/>
      </w:pPr>
      <w:r>
        <w:rPr>
          <w:rFonts w:ascii="Calibri" w:cs="Calibri" w:eastAsia="Calibri" w:hAnsi="Calibri"/>
          <w:sz w:val="22"/>
          <w:szCs w:val="22"/>
        </w:rPr>
        <w:t xml:space="preserve">As GCAP's outputs became more senior and more relied upon, governance and controls were added. It evolved from a simple MI tool into a SOX-controlled, business-critical platform.</w:t>
      </w:r>
    </w:p>
    <w:p>
      <w:pPr>
        <w:pStyle w:val="ListParagraph"/>
        <w:numPr>
          <w:ilvl w:val="0"/>
          <w:numId w:val="2"/>
        </w:numPr>
        <w:spacing w:after="80"/>
      </w:pPr>
      <w:r>
        <w:rPr>
          <w:rFonts w:ascii="Calibri" w:cs="Calibri" w:eastAsia="Calibri" w:hAnsi="Calibri"/>
          <w:sz w:val="22"/>
          <w:szCs w:val="22"/>
        </w:rPr>
        <w:t xml:space="preserve">Loss Given Default is fixed at 60% at Shell — meaning if a counterparty defaults, Shell assumes it will lose 60% of the outstanding exposure.</w:t>
      </w:r>
    </w:p>
    <w:p>
      <w:pPr>
        <w:pStyle w:val="ListParagraph"/>
        <w:numPr>
          <w:ilvl w:val="0"/>
          <w:numId w:val="2"/>
        </w:numPr>
        <w:spacing w:after="80"/>
      </w:pPr>
      <w:r>
        <w:rPr>
          <w:rFonts w:ascii="Calibri" w:cs="Calibri" w:eastAsia="Calibri" w:hAnsi="Calibri"/>
          <w:sz w:val="22"/>
          <w:szCs w:val="22"/>
        </w:rPr>
        <w:t xml:space="preserve">GCAP = aggregation engine. It does not create data. It pulls from ETRMs, SAP, and Energy Credit, joins everything together, calculates net exposure, and produces reports.</w:t>
      </w:r>
    </w:p>
    <w:p>
      <w:pPr>
        <w:spacing w:after="160"/>
      </w:pPr>
      <w:r>
        <w:t xml:space="preserve"/>
      </w:r>
    </w:p>
    <w:p>
      <w:pPr>
        <w:spacing w:before="400"/>
        <w:jc w:val="center"/>
      </w:pPr>
      <w:r>
        <w:rPr>
          <w:rFonts w:ascii="Calibri" w:cs="Calibri" w:eastAsia="Calibri" w:hAnsi="Calibri"/>
          <w:i/>
          <w:iCs/>
          <w:color w:val="999999"/>
          <w:sz w:val="18"/>
          <w:szCs w:val="18"/>
        </w:rPr>
        <w:t xml:space="preserve">Shell Trading &amp; Supply  |  CDA New Joiners Training  |  Notes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2026-06-02T11:25:49.807Z</dcterms:created>
  <dcterms:modified xsi:type="dcterms:W3CDTF">2026-06-02T11:25:49.819Z</dcterms:modified>
</cp:coreProperties>
</file>

<file path=docProps/custom.xml><?xml version="1.0" encoding="utf-8"?>
<Properties xmlns="http://schemas.openxmlformats.org/officeDocument/2006/custom-properties" xmlns:vt="http://schemas.openxmlformats.org/officeDocument/2006/docPropsVTypes"/>
</file>