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480"/>
        <w:jc w:val="center"/>
        <w:rPr>
          <w:b/>
          <w:bCs/>
          <w:sz w:val="32"/>
          <w:szCs w:val="32"/>
          <w:lang w:val="en-US"/>
        </w:rPr>
      </w:pPr>
      <w:bookmarkStart w:id="0" w:name="_GoBack"/>
      <w:bookmarkEnd w:id="0"/>
      <w:r>
        <w:rPr>
          <w:b/>
          <w:bCs/>
          <w:sz w:val="32"/>
          <w:szCs w:val="32"/>
          <w:lang w:val="en-US"/>
        </w:rPr>
        <w:t xml:space="preserve">Assignment: Annotated Bibliography </w:t>
      </w:r>
    </w:p>
    <w:p>
      <w:pPr>
        <w:pStyle w:val="style0"/>
        <w:spacing w:lineRule="auto" w:line="480"/>
        <w:jc w:val="center"/>
        <w:rPr>
          <w:b/>
          <w:bCs/>
          <w:sz w:val="32"/>
          <w:szCs w:val="32"/>
          <w:lang w:val="en-US"/>
        </w:rPr>
      </w:pPr>
    </w:p>
    <w:p>
      <w:pPr>
        <w:pStyle w:val="style0"/>
        <w:spacing w:lineRule="auto" w:line="480"/>
        <w:jc w:val="center"/>
        <w:rPr>
          <w:b/>
          <w:bCs/>
          <w:sz w:val="32"/>
          <w:szCs w:val="32"/>
          <w:lang w:val="en-US"/>
        </w:rPr>
      </w:pPr>
      <w:r>
        <w:rPr>
          <w:b/>
          <w:bCs/>
          <w:sz w:val="32"/>
          <w:szCs w:val="32"/>
          <w:lang w:val="en-US"/>
        </w:rPr>
        <w:t>Joy Ugochukwu</w:t>
      </w:r>
    </w:p>
    <w:p>
      <w:pPr>
        <w:pStyle w:val="style0"/>
        <w:spacing w:lineRule="auto" w:line="480"/>
        <w:jc w:val="center"/>
        <w:rPr>
          <w:b/>
          <w:bCs/>
          <w:sz w:val="32"/>
          <w:szCs w:val="32"/>
          <w:lang w:val="en-US"/>
        </w:rPr>
      </w:pPr>
      <w:r>
        <w:rPr>
          <w:b/>
          <w:bCs/>
          <w:sz w:val="32"/>
          <w:szCs w:val="32"/>
          <w:lang w:val="en-US"/>
        </w:rPr>
        <w:t xml:space="preserve"> </w:t>
      </w:r>
    </w:p>
    <w:p>
      <w:pPr>
        <w:pStyle w:val="style0"/>
        <w:spacing w:lineRule="auto" w:line="480"/>
        <w:jc w:val="center"/>
        <w:rPr>
          <w:b/>
          <w:bCs/>
          <w:sz w:val="32"/>
          <w:szCs w:val="32"/>
          <w:lang w:val="en-US"/>
        </w:rPr>
      </w:pPr>
      <w:r>
        <w:rPr>
          <w:b/>
          <w:bCs/>
          <w:sz w:val="32"/>
          <w:szCs w:val="32"/>
          <w:lang w:val="en-US"/>
        </w:rPr>
        <w:t xml:space="preserve">Colombia College, Missouri </w:t>
      </w:r>
    </w:p>
    <w:p>
      <w:pPr>
        <w:pStyle w:val="style0"/>
        <w:spacing w:lineRule="auto" w:line="480"/>
        <w:jc w:val="center"/>
        <w:rPr>
          <w:b/>
          <w:bCs/>
          <w:sz w:val="32"/>
          <w:szCs w:val="32"/>
          <w:lang w:val="en-US"/>
        </w:rPr>
      </w:pPr>
    </w:p>
    <w:p>
      <w:pPr>
        <w:pStyle w:val="style0"/>
        <w:spacing w:lineRule="auto" w:line="480"/>
        <w:jc w:val="center"/>
        <w:rPr>
          <w:b/>
          <w:bCs/>
          <w:sz w:val="32"/>
          <w:szCs w:val="32"/>
          <w:lang w:val="en-US"/>
        </w:rPr>
      </w:pPr>
      <w:r>
        <w:rPr>
          <w:b/>
          <w:bCs/>
          <w:sz w:val="32"/>
          <w:szCs w:val="32"/>
          <w:lang w:val="en-US"/>
        </w:rPr>
        <w:t xml:space="preserve">BIO 372: SENSATION AND PERCEPTION </w:t>
      </w:r>
    </w:p>
    <w:p>
      <w:pPr>
        <w:pStyle w:val="style0"/>
        <w:spacing w:lineRule="auto" w:line="480"/>
        <w:jc w:val="center"/>
        <w:rPr>
          <w:b/>
          <w:bCs/>
          <w:sz w:val="32"/>
          <w:szCs w:val="32"/>
          <w:lang w:val="en-US"/>
        </w:rPr>
      </w:pPr>
    </w:p>
    <w:p>
      <w:pPr>
        <w:pStyle w:val="style0"/>
        <w:spacing w:lineRule="auto" w:line="480"/>
        <w:jc w:val="center"/>
        <w:rPr>
          <w:b/>
          <w:bCs/>
          <w:sz w:val="32"/>
          <w:szCs w:val="32"/>
          <w:lang w:val="en-US"/>
        </w:rPr>
      </w:pPr>
      <w:r>
        <w:rPr>
          <w:b/>
          <w:bCs/>
          <w:sz w:val="32"/>
          <w:szCs w:val="32"/>
          <w:lang w:val="en-US"/>
        </w:rPr>
        <w:t>Professor Marya Levintova</w:t>
      </w:r>
    </w:p>
    <w:p>
      <w:pPr>
        <w:pStyle w:val="style0"/>
        <w:spacing w:lineRule="auto" w:line="480"/>
        <w:jc w:val="center"/>
        <w:rPr>
          <w:b/>
          <w:bCs/>
          <w:sz w:val="32"/>
          <w:szCs w:val="32"/>
          <w:lang w:val="en-US"/>
        </w:rPr>
      </w:pPr>
    </w:p>
    <w:p>
      <w:pPr>
        <w:pStyle w:val="style0"/>
        <w:spacing w:lineRule="auto" w:line="480"/>
        <w:jc w:val="center"/>
        <w:rPr>
          <w:b/>
          <w:bCs/>
          <w:sz w:val="32"/>
          <w:szCs w:val="32"/>
          <w:lang w:val="en-US"/>
        </w:rPr>
      </w:pPr>
      <w:r>
        <w:rPr>
          <w:b/>
          <w:bCs/>
          <w:sz w:val="32"/>
          <w:szCs w:val="32"/>
          <w:lang w:val="en-US"/>
        </w:rPr>
        <w:t>September 21, 2025</w:t>
      </w:r>
    </w:p>
    <w:p>
      <w:pPr>
        <w:pStyle w:val="style0"/>
        <w:spacing w:lineRule="auto" w:line="480"/>
        <w:jc w:val="center"/>
        <w:rPr>
          <w:b/>
          <w:bCs/>
          <w:sz w:val="32"/>
          <w:szCs w:val="32"/>
          <w:lang w:val="en-US"/>
        </w:rPr>
      </w:pPr>
    </w:p>
    <w:p>
      <w:pPr>
        <w:pStyle w:val="style0"/>
        <w:spacing w:lineRule="auto" w:line="480"/>
        <w:rPr>
          <w:lang w:val="en-US"/>
        </w:rPr>
      </w:pPr>
    </w:p>
    <w:p>
      <w:pPr>
        <w:pStyle w:val="style0"/>
        <w:spacing w:lineRule="auto" w:line="480"/>
        <w:jc w:val="left"/>
        <w:rPr>
          <w:b/>
          <w:bCs/>
          <w:sz w:val="24"/>
          <w:szCs w:val="24"/>
          <w:lang w:val="en-US"/>
        </w:rPr>
      </w:pPr>
    </w:p>
    <w:p>
      <w:pPr>
        <w:pStyle w:val="style0"/>
        <w:spacing w:lineRule="auto" w:line="480"/>
        <w:jc w:val="center"/>
        <w:rPr>
          <w:b/>
          <w:bCs/>
          <w:sz w:val="24"/>
          <w:szCs w:val="24"/>
          <w:lang w:val="en-US"/>
        </w:rPr>
      </w:pPr>
      <w:r>
        <w:rPr>
          <w:b/>
          <w:bCs/>
          <w:sz w:val="24"/>
          <w:szCs w:val="24"/>
          <w:lang w:val="en-US"/>
        </w:rPr>
        <w:t>Assignment: Annotated Bibliography</w:t>
      </w:r>
    </w:p>
    <w:p>
      <w:pPr>
        <w:pStyle w:val="style0"/>
        <w:spacing w:lineRule="auto" w:line="480"/>
        <w:jc w:val="left"/>
        <w:rPr>
          <w:lang w:val="en-US"/>
        </w:rPr>
      </w:pPr>
      <w:r>
        <w:rPr>
          <w:lang w:val="en-US"/>
        </w:rPr>
        <w:t>Behrmann, M., Avidan, G., Marotta, J. J., &amp; Kimchi, R. (2005). Detailed exploration of face-related</w:t>
      </w:r>
    </w:p>
    <w:p>
      <w:pPr>
        <w:pStyle w:val="style0"/>
        <w:spacing w:lineRule="auto" w:line="480"/>
        <w:ind w:left="880" w:leftChars="0"/>
        <w:jc w:val="left"/>
        <w:rPr>
          <w:lang w:val="en-US"/>
        </w:rPr>
      </w:pPr>
      <w:r>
        <w:rPr>
          <w:lang w:val="en-US"/>
        </w:rPr>
        <w:t xml:space="preserve">processing in congenital prosopagnosia: 1. Behavioral findings. </w:t>
      </w:r>
      <w:r>
        <w:rPr>
          <w:i/>
          <w:iCs/>
          <w:lang w:val="en-US"/>
        </w:rPr>
        <w:t>Journal of Cognitive Neuroscience, 17</w:t>
      </w:r>
      <w:r>
        <w:rPr>
          <w:lang w:val="en-US"/>
        </w:rPr>
        <w:t>(7), 1130–1149. https://doi.org/10.1162/0898929054475154</w:t>
      </w:r>
    </w:p>
    <w:p>
      <w:pPr>
        <w:pStyle w:val="style0"/>
        <w:spacing w:lineRule="auto" w:line="480"/>
        <w:ind w:left="880" w:leftChars="0"/>
        <w:jc w:val="both"/>
        <w:rPr/>
      </w:pPr>
      <w:r>
        <w:rPr>
          <w:lang w:val="en-US"/>
        </w:rPr>
        <w:t>This study investigates congenital prosopagnosia by examining individuals who struggle with face recognition despite normal vision. The authors present behavioral evidence showing that affected individuals rely on piecemeal processing rather than holistic face recognition. This source is valuable because it highlights how deficits reveal the complexity of normal face processing, supporting my section on disorders like prosopagnosia.</w:t>
      </w:r>
    </w:p>
    <w:p>
      <w:pPr>
        <w:pStyle w:val="style0"/>
        <w:spacing w:lineRule="auto" w:line="480"/>
        <w:jc w:val="both"/>
        <w:rPr>
          <w:lang w:val="en-US"/>
        </w:rPr>
      </w:pPr>
      <w:r>
        <w:rPr>
          <w:lang w:val="en-US"/>
        </w:rPr>
        <w:t xml:space="preserve">Calder, A. J., &amp; Young, A. W. (2005). Understanding the recognition of facial identity and facial </w:t>
      </w:r>
    </w:p>
    <w:p>
      <w:pPr>
        <w:pStyle w:val="style0"/>
        <w:spacing w:lineRule="auto" w:line="480"/>
        <w:ind w:left="880" w:leftChars="0"/>
        <w:jc w:val="both"/>
        <w:rPr>
          <w:lang w:val="en-US"/>
        </w:rPr>
      </w:pPr>
      <w:r>
        <w:rPr>
          <w:lang w:val="en-US"/>
        </w:rPr>
        <w:t xml:space="preserve">expression. </w:t>
      </w:r>
      <w:r>
        <w:rPr>
          <w:i/>
          <w:iCs/>
          <w:lang w:val="en-US"/>
        </w:rPr>
        <w:t>Nature Reviews Neuroscience, 6</w:t>
      </w:r>
      <w:r>
        <w:rPr>
          <w:lang w:val="en-US"/>
        </w:rPr>
        <w:t>(8), 641–651. https://doi.org/10.1038/nrn1724</w:t>
      </w:r>
    </w:p>
    <w:p>
      <w:pPr>
        <w:pStyle w:val="style0"/>
        <w:spacing w:lineRule="auto" w:line="480"/>
        <w:ind w:left="880" w:leftChars="0"/>
        <w:jc w:val="both"/>
        <w:rPr/>
      </w:pPr>
      <w:r>
        <w:rPr>
          <w:lang w:val="en-US"/>
        </w:rPr>
        <w:t>Calder and Young review how the brain distinguishes facial identity from emotional expression. They argue that separate but interacting neural systems underlie these processes, particularly the fusiform face area (FFA) for identity and the superior temporal sulcus (STS) for expressions. This will be useful for showing that face perception involves more than one brain system and links social cognition to perception.</w:t>
      </w:r>
    </w:p>
    <w:p>
      <w:pPr>
        <w:pStyle w:val="style0"/>
        <w:spacing w:lineRule="auto" w:line="480"/>
        <w:rPr/>
      </w:pPr>
    </w:p>
    <w:p>
      <w:pPr>
        <w:pStyle w:val="style0"/>
        <w:spacing w:lineRule="auto" w:line="480"/>
        <w:jc w:val="both"/>
        <w:rPr>
          <w:lang w:val="en-US"/>
        </w:rPr>
      </w:pPr>
    </w:p>
    <w:p>
      <w:pPr>
        <w:pStyle w:val="style0"/>
        <w:spacing w:lineRule="auto" w:line="480"/>
        <w:jc w:val="both"/>
        <w:rPr>
          <w:lang w:val="en-US"/>
        </w:rPr>
      </w:pPr>
    </w:p>
    <w:p>
      <w:pPr>
        <w:pStyle w:val="style0"/>
        <w:spacing w:lineRule="auto" w:line="480"/>
        <w:jc w:val="both"/>
        <w:rPr>
          <w:i/>
          <w:iCs/>
          <w:lang w:val="en-US"/>
        </w:rPr>
      </w:pPr>
      <w:r>
        <w:rPr>
          <w:lang w:val="en-US"/>
        </w:rPr>
        <w:t xml:space="preserve">Duchaine, B., &amp; Yovel, G. (2015). A revised neural framework for face processing. </w:t>
      </w:r>
      <w:r>
        <w:rPr>
          <w:i/>
          <w:iCs/>
          <w:lang w:val="en-US"/>
        </w:rPr>
        <w:t xml:space="preserve">Annual Review </w:t>
      </w:r>
    </w:p>
    <w:p>
      <w:pPr>
        <w:pStyle w:val="style0"/>
        <w:spacing w:lineRule="auto" w:line="480"/>
        <w:ind w:left="880" w:leftChars="0"/>
        <w:jc w:val="both"/>
        <w:rPr>
          <w:lang w:val="en-US"/>
        </w:rPr>
      </w:pPr>
      <w:r>
        <w:rPr>
          <w:i/>
          <w:iCs/>
          <w:lang w:val="en-US"/>
        </w:rPr>
        <w:t>of Vision Science, 1,</w:t>
      </w:r>
      <w:r>
        <w:rPr>
          <w:lang w:val="en-US"/>
        </w:rPr>
        <w:t xml:space="preserve"> 393–416. https://doi.org/10.1146/annurev-vision-082114-035518</w:t>
      </w:r>
    </w:p>
    <w:p>
      <w:pPr>
        <w:pStyle w:val="style0"/>
        <w:spacing w:lineRule="auto" w:line="480"/>
        <w:ind w:left="880" w:leftChars="0"/>
        <w:jc w:val="both"/>
        <w:rPr/>
      </w:pPr>
      <w:r>
        <w:rPr>
          <w:lang w:val="en-US"/>
        </w:rPr>
        <w:t>This article updates older models of face perception, offering a network-based perspective rather than focusing solely on the FFA. Duchaine and Yovel argue for distributed processing across occipito-temporal areas. This will help strengthen my analysis by contrasting older “localization” views with modern network approaches.</w:t>
      </w:r>
    </w:p>
    <w:p>
      <w:pPr>
        <w:pStyle w:val="style0"/>
        <w:spacing w:lineRule="auto" w:line="480"/>
        <w:rPr/>
      </w:pPr>
    </w:p>
    <w:p>
      <w:pPr>
        <w:pStyle w:val="style0"/>
        <w:spacing w:lineRule="auto" w:line="480"/>
        <w:jc w:val="both"/>
        <w:rPr>
          <w:lang w:val="en-US"/>
        </w:rPr>
      </w:pPr>
      <w:r>
        <w:rPr>
          <w:lang w:val="en-US"/>
        </w:rPr>
        <w:t>Engell, A. D., Haxby, J. V., &amp; Todorov, A. (2007). Implicit trustworthiness decisions: Automatic</w:t>
      </w:r>
    </w:p>
    <w:p>
      <w:pPr>
        <w:pStyle w:val="style0"/>
        <w:spacing w:lineRule="auto" w:line="480"/>
        <w:ind w:left="660" w:leftChars="0"/>
        <w:jc w:val="both"/>
        <w:rPr>
          <w:lang w:val="en-US"/>
        </w:rPr>
      </w:pPr>
      <w:r>
        <w:rPr>
          <w:lang w:val="en-US"/>
        </w:rPr>
        <w:t xml:space="preserve"> coding of face properties in the human amygdala. </w:t>
      </w:r>
      <w:r>
        <w:rPr>
          <w:i/>
          <w:iCs/>
          <w:lang w:val="en-US"/>
        </w:rPr>
        <w:t>Journal of Cognitive Neuroscience, 19</w:t>
      </w:r>
      <w:r>
        <w:rPr>
          <w:lang w:val="en-US"/>
        </w:rPr>
        <w:t>(9), 1508–1519. https://doi.org/10.1162/jocn.2007.19.9.1508</w:t>
      </w:r>
    </w:p>
    <w:p>
      <w:pPr>
        <w:pStyle w:val="style0"/>
        <w:spacing w:lineRule="auto" w:line="480"/>
        <w:ind w:left="660" w:leftChars="0"/>
        <w:jc w:val="both"/>
        <w:rPr/>
      </w:pPr>
      <w:r>
        <w:rPr>
          <w:lang w:val="en-US"/>
        </w:rPr>
        <w:t>This study demonstrates that the amygdala evaluates social traits like trustworthiness from faces even without conscious awareness. The paper supports the idea that face perception is tightly connected to emotional and social judgments, reinforcing my rationale that face recognition is more than just “visual.”</w:t>
      </w:r>
    </w:p>
    <w:p>
      <w:pPr>
        <w:pStyle w:val="style0"/>
        <w:spacing w:lineRule="auto" w:line="480"/>
        <w:rPr/>
      </w:pPr>
    </w:p>
    <w:p>
      <w:pPr>
        <w:pStyle w:val="style0"/>
        <w:spacing w:lineRule="auto" w:line="480"/>
        <w:jc w:val="both"/>
        <w:rPr>
          <w:i/>
          <w:iCs/>
          <w:lang w:val="en-US"/>
        </w:rPr>
      </w:pPr>
      <w:r>
        <w:rPr>
          <w:lang w:val="en-US"/>
        </w:rPr>
        <w:t xml:space="preserve">Gobbini, M. I., &amp; Haxby, J. V. (2007). Neural systems for recognition of familiar faces. </w:t>
      </w:r>
    </w:p>
    <w:p>
      <w:pPr>
        <w:pStyle w:val="style0"/>
        <w:spacing w:lineRule="auto" w:line="480"/>
        <w:ind w:left="660" w:leftChars="0"/>
        <w:jc w:val="left"/>
        <w:rPr>
          <w:lang w:val="en-US"/>
        </w:rPr>
      </w:pPr>
      <w:r>
        <w:rPr>
          <w:i/>
          <w:iCs/>
          <w:lang w:val="en-US"/>
        </w:rPr>
        <w:t>Neuropsychologia, 45</w:t>
      </w:r>
      <w:r>
        <w:rPr>
          <w:lang w:val="en-US"/>
        </w:rPr>
        <w:t>(1), 32–41. https://doi.org/10.1016/j.neuropsychologia.2006.04.015</w:t>
      </w:r>
    </w:p>
    <w:p>
      <w:pPr>
        <w:pStyle w:val="style0"/>
        <w:spacing w:lineRule="auto" w:line="480"/>
        <w:ind w:left="660" w:leftChars="0"/>
        <w:jc w:val="both"/>
        <w:rPr/>
      </w:pPr>
      <w:r>
        <w:rPr>
          <w:lang w:val="en-US"/>
        </w:rPr>
        <w:t>Gobbini and Haxby discuss how familiar faces activate extended brain networks beyond the FFA, including regions tied to memory and emotion. This is important for my paper because it shows how personal and emotional context influences recognition, bridging perception and higher cognition.</w:t>
      </w:r>
    </w:p>
    <w:p>
      <w:pPr>
        <w:pStyle w:val="style0"/>
        <w:spacing w:lineRule="auto" w:line="480"/>
        <w:rPr/>
      </w:pPr>
    </w:p>
    <w:p>
      <w:pPr>
        <w:pStyle w:val="style0"/>
        <w:spacing w:lineRule="auto" w:line="480"/>
        <w:jc w:val="both"/>
        <w:rPr>
          <w:lang w:val="en-US"/>
        </w:rPr>
      </w:pPr>
      <w:r>
        <w:rPr>
          <w:lang w:val="en-US"/>
        </w:rPr>
        <w:t xml:space="preserve">Kanwisher, N. (2017). The quest for the FFA and where it led. </w:t>
      </w:r>
      <w:r>
        <w:rPr>
          <w:i/>
          <w:iCs/>
          <w:lang w:val="en-US"/>
        </w:rPr>
        <w:t>Journal of Neuroscience, 37</w:t>
      </w:r>
      <w:r>
        <w:rPr>
          <w:lang w:val="en-US"/>
        </w:rPr>
        <w:t xml:space="preserve">(5), </w:t>
      </w:r>
    </w:p>
    <w:p>
      <w:pPr>
        <w:pStyle w:val="style0"/>
        <w:spacing w:lineRule="auto" w:line="480"/>
        <w:ind w:left="660" w:leftChars="0"/>
        <w:jc w:val="both"/>
        <w:rPr>
          <w:lang w:val="en-US"/>
        </w:rPr>
      </w:pPr>
      <w:r>
        <w:rPr>
          <w:lang w:val="en-US"/>
        </w:rPr>
        <w:t>1056–1061. https://doi.org/10.1523/JNEUROSCI.1706-16.2016</w:t>
      </w:r>
    </w:p>
    <w:p>
      <w:pPr>
        <w:pStyle w:val="style0"/>
        <w:spacing w:lineRule="auto" w:line="480"/>
        <w:ind w:left="660" w:leftChars="0"/>
        <w:jc w:val="both"/>
        <w:rPr/>
      </w:pPr>
      <w:r>
        <w:rPr>
          <w:lang w:val="en-US"/>
        </w:rPr>
        <w:t>Kanwisher reflects on decades of work uncovering the fusiform face area, emphasizing its selectivity for faces compared to other objects. This is a cornerstone article for my section on the FFA’s role. It also provides historical context, making it useful for framing how theories evolved.</w:t>
      </w:r>
    </w:p>
    <w:p>
      <w:pPr>
        <w:pStyle w:val="style0"/>
        <w:spacing w:lineRule="auto" w:line="480"/>
        <w:rPr/>
      </w:pPr>
    </w:p>
    <w:p>
      <w:pPr>
        <w:pStyle w:val="style0"/>
        <w:spacing w:lineRule="auto" w:line="480"/>
        <w:jc w:val="both"/>
        <w:rPr>
          <w:lang w:val="en-US"/>
        </w:rPr>
      </w:pPr>
      <w:r>
        <w:rPr>
          <w:lang w:val="en-US"/>
        </w:rPr>
        <w:t xml:space="preserve">Pitcher, D., Walsh, V., &amp; Duchaine, B. (2011). The role of the occipital face area in the cortical </w:t>
      </w:r>
    </w:p>
    <w:p>
      <w:pPr>
        <w:pStyle w:val="style0"/>
        <w:spacing w:lineRule="auto" w:line="480"/>
        <w:ind w:left="660" w:leftChars="0"/>
        <w:jc w:val="both"/>
        <w:rPr>
          <w:lang w:val="en-US"/>
        </w:rPr>
      </w:pPr>
      <w:r>
        <w:rPr>
          <w:lang w:val="en-US"/>
        </w:rPr>
        <w:t xml:space="preserve">face perception network. </w:t>
      </w:r>
      <w:r>
        <w:rPr>
          <w:i/>
          <w:iCs/>
          <w:lang w:val="en-US"/>
        </w:rPr>
        <w:t>Experimental Brain Research, 209</w:t>
      </w:r>
      <w:r>
        <w:rPr>
          <w:lang w:val="en-US"/>
        </w:rPr>
        <w:t>(4), 481–493. https://doi.org/10.1007/s00221-011-2579-1</w:t>
      </w:r>
    </w:p>
    <w:p>
      <w:pPr>
        <w:pStyle w:val="style0"/>
        <w:spacing w:lineRule="auto" w:line="480"/>
        <w:ind w:left="660" w:leftChars="0"/>
        <w:jc w:val="both"/>
        <w:rPr/>
      </w:pPr>
      <w:r>
        <w:rPr>
          <w:lang w:val="en-US"/>
        </w:rPr>
        <w:t>This experimental study used transcranial magnetic stimulation (TMS) to show that disrupting the occipital face area (OFA) impairs face recognition. It supports the idea that the OFA is an early-stage processor feeding information into the FFA. This source provides strong experimental evidence about the cortical face perception network.</w:t>
      </w:r>
    </w:p>
    <w:p>
      <w:pPr>
        <w:pStyle w:val="style0"/>
        <w:spacing w:lineRule="auto" w:line="480"/>
        <w:rPr/>
      </w:pPr>
    </w:p>
    <w:p>
      <w:pPr>
        <w:pStyle w:val="style0"/>
        <w:spacing w:lineRule="auto" w:line="480"/>
        <w:jc w:val="both"/>
        <w:rPr>
          <w:lang w:val="en-US"/>
        </w:rPr>
      </w:pPr>
      <w:r>
        <w:rPr>
          <w:lang w:val="en-US"/>
        </w:rPr>
        <w:t xml:space="preserve">Rossion, B. (2014). Understanding face perception by means of prosopagnosia and </w:t>
      </w:r>
    </w:p>
    <w:p>
      <w:pPr>
        <w:pStyle w:val="style0"/>
        <w:spacing w:lineRule="auto" w:line="480"/>
        <w:ind w:left="660" w:leftChars="0"/>
        <w:jc w:val="both"/>
        <w:rPr>
          <w:lang w:val="en-US"/>
        </w:rPr>
      </w:pPr>
      <w:r>
        <w:rPr>
          <w:lang w:val="en-US"/>
        </w:rPr>
        <w:t xml:space="preserve">neuroimaging. </w:t>
      </w:r>
      <w:r>
        <w:rPr>
          <w:i/>
          <w:iCs/>
          <w:lang w:val="en-US"/>
        </w:rPr>
        <w:t>Frontiers in Bioscience, 6</w:t>
      </w:r>
      <w:r>
        <w:rPr>
          <w:lang w:val="en-US"/>
        </w:rPr>
        <w:t>(1), 258–307. https://doi.org/10.2741/s415</w:t>
      </w:r>
    </w:p>
    <w:p>
      <w:pPr>
        <w:pStyle w:val="style0"/>
        <w:spacing w:lineRule="auto" w:line="480"/>
        <w:ind w:left="660" w:leftChars="0"/>
        <w:jc w:val="both"/>
        <w:rPr/>
      </w:pPr>
      <w:r>
        <w:rPr>
          <w:lang w:val="en-US"/>
        </w:rPr>
        <w:t>Rossion integrates case studies of prosopagnosia with neuroimaging research, making the case that both clinical deficits and brain imaging complement each other in explaining face recognition. This will help me connect behavioral evidence with physiological mechanisms, showing how different methods converge.</w:t>
      </w:r>
    </w:p>
    <w:p>
      <w:pPr>
        <w:pStyle w:val="style0"/>
        <w:spacing w:lineRule="auto" w:line="480"/>
        <w:rPr/>
      </w:pPr>
    </w:p>
    <w:p>
      <w:pPr>
        <w:pStyle w:val="style0"/>
        <w:spacing w:lineRule="auto" w:line="480"/>
        <w:jc w:val="both"/>
        <w:rPr>
          <w:i/>
          <w:iCs/>
          <w:lang w:val="en-US"/>
        </w:rPr>
      </w:pPr>
      <w:r>
        <w:rPr>
          <w:lang w:val="en-US"/>
        </w:rPr>
        <w:t xml:space="preserve">Schweinberger, S. R., &amp; Neumann, M. F. (2016). Repetition effects in human ERPs to faces. </w:t>
      </w:r>
    </w:p>
    <w:p>
      <w:pPr>
        <w:pStyle w:val="style0"/>
        <w:spacing w:lineRule="auto" w:line="480"/>
        <w:ind w:left="660" w:leftChars="0"/>
        <w:jc w:val="both"/>
        <w:rPr/>
      </w:pPr>
      <w:r>
        <w:rPr>
          <w:i/>
          <w:iCs/>
          <w:lang w:val="en-US"/>
        </w:rPr>
        <w:t>Cortex, 80,</w:t>
      </w:r>
      <w:r>
        <w:rPr>
          <w:lang w:val="en-US"/>
        </w:rPr>
        <w:t xml:space="preserve"> 141–153. https://doi.org/10.1016/j.cortex.2015.11.001</w:t>
      </w:r>
    </w:p>
    <w:p>
      <w:pPr>
        <w:pStyle w:val="style0"/>
        <w:spacing w:lineRule="auto" w:line="480"/>
        <w:ind w:left="660" w:leftChars="0"/>
        <w:jc w:val="both"/>
        <w:rPr/>
      </w:pPr>
      <w:r>
        <w:rPr>
          <w:lang w:val="en-US"/>
        </w:rPr>
        <w:t>This article examines brainwave responses (ERPs) to repeated faces, revealing how recognition is encoded over time. It will be useful for adding evidence about the temporal dynamics of face perception, demonstrating that recognition is not instantaneous but unfolds across milliseconds.</w:t>
      </w:r>
    </w:p>
    <w:p>
      <w:pPr>
        <w:pStyle w:val="style0"/>
        <w:spacing w:lineRule="auto" w:line="480"/>
        <w:rPr/>
      </w:pPr>
    </w:p>
    <w:p>
      <w:pPr>
        <w:pStyle w:val="style0"/>
        <w:spacing w:lineRule="auto" w:line="480"/>
        <w:jc w:val="both"/>
        <w:rPr>
          <w:i/>
          <w:iCs/>
          <w:lang w:val="en-US"/>
        </w:rPr>
      </w:pPr>
      <w:r>
        <w:rPr>
          <w:lang w:val="en-US"/>
        </w:rPr>
        <w:t xml:space="preserve">Tsao, D. Y., &amp; Livingstone, M. S. (2008). Mechanisms of face perception. </w:t>
      </w:r>
      <w:r>
        <w:rPr>
          <w:i/>
          <w:iCs/>
          <w:lang w:val="en-US"/>
        </w:rPr>
        <w:t xml:space="preserve">Annual Review of </w:t>
      </w:r>
    </w:p>
    <w:p>
      <w:pPr>
        <w:pStyle w:val="style0"/>
        <w:spacing w:lineRule="auto" w:line="480"/>
        <w:ind w:left="660" w:leftChars="0"/>
        <w:jc w:val="both"/>
        <w:rPr/>
      </w:pPr>
      <w:r>
        <w:rPr>
          <w:i/>
          <w:iCs/>
          <w:lang w:val="en-US"/>
        </w:rPr>
        <w:t>Neuroscience, 31</w:t>
      </w:r>
      <w:r>
        <w:rPr>
          <w:lang w:val="en-US"/>
        </w:rPr>
        <w:t>, 411–437. https://doi.org/10.1146/annurev.neuro.30.051606.094238</w:t>
      </w:r>
    </w:p>
    <w:p>
      <w:pPr>
        <w:pStyle w:val="style0"/>
        <w:spacing w:lineRule="auto" w:line="480"/>
        <w:ind w:left="660" w:leftChars="0"/>
        <w:jc w:val="both"/>
        <w:rPr/>
      </w:pPr>
      <w:r>
        <w:rPr>
          <w:lang w:val="en-US"/>
        </w:rPr>
        <w:t>Tsao and Livingstone provide a comprehensive review of the multiple brain regions and pathways that support face perception, from basic visual areas to higher-order regions. This source is especially strong for summarizing the complexity of the system, which ties directly into my proposal’s goal of showing how specialized yet interconnected this network is.</w:t>
      </w:r>
    </w:p>
    <w:p>
      <w:pPr>
        <w:pStyle w:val="style0"/>
        <w:spacing w:lineRule="auto" w:line="480"/>
        <w:ind w:left="660" w:leftChars="0"/>
        <w:jc w:val="both"/>
        <w:rPr/>
      </w:pPr>
    </w:p>
    <w:p>
      <w:pPr>
        <w:pStyle w:val="style0"/>
        <w:spacing w:lineRule="auto" w:line="48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729</Words>
  <Characters>4739</Characters>
  <Application>WPS Office</Application>
  <Paragraphs>57</Paragraphs>
  <CharactersWithSpaces>5434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2025-09-21T15:26:15Z</dcterms:created>
  <dc:creator>SM-A055F</dc:creator>
  <lastModifiedBy>SM-A055F</lastModifiedBy>
  <dcterms:modified xsi:type="dcterms:W3CDTF">2025-09-21T16:38:47Z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e0505f07acce481c83ca43e0b1dec140</vt:lpwstr>
  </property>
</Properties>
</file>