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1.png" ContentType="image/png"/>
  <Override PartName="/word/media/rId22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1a43388fea09a2625a9c6877b5f09071c4e460c"/>
    <w:p>
      <w:pPr>
        <w:pStyle w:val="Heading1"/>
      </w:pPr>
      <w:r>
        <w:t xml:space="preserve">Sardine (Sardina pilchardus) in Subarea 7 (southern Celtic Seas and the English Channel)</w:t>
      </w:r>
    </w:p>
    <w:bookmarkStart w:id="20" w:name="ices-stock-advice"/>
    <w:p>
      <w:pPr>
        <w:pStyle w:val="Heading2"/>
      </w:pPr>
      <w:r>
        <w:t xml:space="preserve">ICES stock advice</w:t>
      </w:r>
    </w:p>
    <w:p>
      <w:pPr>
        <w:pStyle w:val="FirstParagraph"/>
      </w:pPr>
      <w:r>
        <w:t xml:space="preserve">ICES advises that when the precautionary approach is applied, catches in 2022 should be no more than 7105 tonnes.</w:t>
      </w:r>
    </w:p>
    <w:bookmarkEnd w:id="20"/>
    <w:bookmarkStart w:id="23" w:name="stock-development-over-time"/>
    <w:p>
      <w:pPr>
        <w:pStyle w:val="Heading2"/>
      </w:pPr>
      <w:r>
        <w:t xml:space="preserve">Stock development over time</w:t>
      </w:r>
    </w:p>
    <w:p>
      <w:pPr>
        <w:pStyle w:val="FirstParagraph"/>
      </w:pPr>
      <w:r>
        <w:t xml:space="preserve">Fishing pressure on the stock is below FMSY and stock size is above MSY Btrigger (Figure 2)</w:t>
      </w:r>
    </w:p>
    <w:p>
      <w:pPr>
        <w:pStyle w:val="BodyText"/>
      </w:pPr>
      <w:r>
        <w:drawing>
          <wp:inline>
            <wp:extent cx="2952750" cy="1968500"/>
            <wp:effectExtent b="0" l="0" r="0" t="0"/>
            <wp:docPr descr="notshowing" title="" id="1" name="Picture"/>
            <a:graphic>
              <a:graphicData uri="http://schemas.openxmlformats.org/drawingml/2006/picture">
                <pic:pic>
                  <pic:nvPicPr>
                    <pic:cNvPr descr="output/CatchbyC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952750" cy="1968500"/>
            <wp:effectExtent b="0" l="0" r="0" t="0"/>
            <wp:docPr descr="notshowing" title="" id="1" name="Picture"/>
            <a:graphic>
              <a:graphicData uri="http://schemas.openxmlformats.org/drawingml/2006/picture">
                <pic:pic>
                  <pic:nvPicPr>
                    <pic:cNvPr descr="output/biomass_tim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Sardine in Subarea 7. Catches by category since 2002. The biomass was estimated from the total area</w:t>
      </w:r>
      <w:r>
        <w:t xml:space="preserve"> </w:t>
      </w:r>
      <w:r>
        <w:t xml:space="preserve">of the PELTIC acoustic survey, and the shaded areas on the biomass plot represent 95% confidence intervals. The</w:t>
      </w:r>
      <w:r>
        <w:t xml:space="preserve"> </w:t>
      </w:r>
      <w:r>
        <w:t xml:space="preserve">orange horizontal lines indicate the biomass index for 2021 and the average for 2019–2020.</w:t>
      </w:r>
    </w:p>
    <w:bookmarkEnd w:id="23"/>
    <w:bookmarkStart w:id="24" w:name="catch-scenarios"/>
    <w:p>
      <w:pPr>
        <w:pStyle w:val="Heading2"/>
      </w:pPr>
      <w:r>
        <w:t xml:space="preserve">Catch Scenarios</w:t>
      </w:r>
    </w:p>
    <w:p>
      <w:pPr>
        <w:pStyle w:val="FirstParagraph"/>
      </w:pPr>
      <w:r>
        <w:t xml:space="preserve">ICES framework for category 3 short-lived stocks using the 1-over-2 rule was applied (ICES, 2020a). The biomass estimate</w:t>
      </w:r>
      <w:r>
        <w:t xml:space="preserve"> </w:t>
      </w:r>
      <w:r>
        <w:t xml:space="preserve">derived from the total area of the PELTIC acoustic survey was used as the biomass index. The advice is based on the ratio</w:t>
      </w:r>
      <w:r>
        <w:t xml:space="preserve"> </w:t>
      </w:r>
      <w:r>
        <w:t xml:space="preserve">between the last index value (index A) and the average of the two preceding values (index B), multiplied by the mean</w:t>
      </w:r>
      <w:r>
        <w:t xml:space="preserve"> </w:t>
      </w:r>
      <w:r>
        <w:t xml:space="preserve">catches of the years 2019–2020. The index is estimated to have decreased by 34% and thus the uncertainty cap was not applied. The 1-over-2 rule with an uncertainty cap of 80% with a biomass safeguard is considered precautionary and as</w:t>
      </w:r>
      <w:r>
        <w:t xml:space="preserve"> </w:t>
      </w:r>
      <w:r>
        <w:t xml:space="preserve">such a PA buffer was not considered (ICES, 2012, 2020a, 2020b). Discarding is considered negligible at 0.51% of total catch for 2019–2020.</w:t>
      </w:r>
    </w:p>
    <w:p>
      <w:pPr>
        <w:pStyle w:val="TableCaption"/>
      </w:pPr>
      <w:r>
        <w:t xml:space="preserve">Table 1: Sardine in Subarea 7. The basis for the catch scenarios *.</w:t>
      </w:r>
    </w:p>
    <w:tbl>
      <w:tblPr>
        <w:tblStyle w:val="Table"/>
        <w:tblW w:type="pct" w:w="4583.333333333333"/>
        <w:tblLook w:firstRow="0" w:lastRow="0" w:firstColumn="0" w:lastColumn="0" w:noHBand="0" w:noVBand="0" w:val="0000"/>
        <w:tblCaption w:val="Table 1: Sardine in Subarea 7. The basis for the catch scenarios *."/>
      </w:tblPr>
      <w:tblGrid>
        <w:gridCol w:w="3630"/>
        <w:gridCol w:w="3630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A (2021)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212772 tonnes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B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(2019–2020)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321796 tonnes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ratio (A/B)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Biomass safeguard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(Istat)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Uncertainty cap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Mean catches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(2019–2020)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10745 tonnes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Discard rate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Negligible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Catch advice 2022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  <w:r>
              <w:t xml:space="preserve">**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7105 tonnes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% advice change ^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applicable</w:t>
            </w:r>
          </w:p>
        </w:tc>
      </w:tr>
    </w:tbl>
    <w:p>
      <w:pPr>
        <w:pStyle w:val="BodyText"/>
      </w:pPr>
      <w:r>
        <w:t xml:space="preserve">* The figures in the table are rounded. Calculations were done with unrounded inputs, and computed values may not match exactly when calculated using the rounded figures in the table.</w:t>
      </w:r>
      <w:r>
        <w:br/>
      </w:r>
      <w:r>
        <w:t xml:space="preserve">***[Mean catches (2019–2020)] x [Index ratio]</w:t>
      </w:r>
      <w:r>
        <w:br/>
      </w:r>
      <w:r>
        <w:t xml:space="preserve">^ This is the first quantitative catch advice for this stock.</w:t>
      </w:r>
    </w:p>
    <w:bookmarkEnd w:id="24"/>
    <w:bookmarkStart w:id="25" w:name="basis-of-the-advice"/>
    <w:p>
      <w:pPr>
        <w:pStyle w:val="Heading2"/>
      </w:pPr>
      <w:r>
        <w:t xml:space="preserve">Basis of the advice</w:t>
      </w:r>
    </w:p>
    <w:p>
      <w:pPr>
        <w:pStyle w:val="TableCaption"/>
      </w:pPr>
      <w:r>
        <w:t xml:space="preserve">Table 2: Sardine in Subarea 7. The basis of the advice.</w:t>
      </w:r>
    </w:p>
    <w:tbl>
      <w:tblPr>
        <w:tblStyle w:val="Table"/>
        <w:tblW w:type="pct" w:w="4444.444444444444"/>
        <w:tblLook w:firstRow="0" w:lastRow="0" w:firstColumn="0" w:lastColumn="0" w:noHBand="0" w:noVBand="0" w:val="0000"/>
        <w:tblCaption w:val="Table 2: Sardine in Subarea 7. The basis of the advice."/>
      </w:tblPr>
      <w:tblGrid>
        <w:gridCol w:w="3520"/>
        <w:gridCol w:w="3520"/>
      </w:tblGrid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Advice basis\hspace{120 mm}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Precautionary</w:t>
            </w:r>
            <w:r>
              <w:t xml:space="preserve"> </w:t>
            </w:r>
            <w:r>
              <w:t xml:space="preserve">approach.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Management plan\hspace{120 mm}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ICES is not</w:t>
            </w:r>
            <w:r>
              <w:t xml:space="preserve"> </w:t>
            </w:r>
            <w:r>
              <w:t xml:space="preserve">aware of any agreed</w:t>
            </w:r>
            <w:r>
              <w:t xml:space="preserve"> </w:t>
            </w:r>
            <w:r>
              <w:t xml:space="preserve">precautionary management plan</w:t>
            </w:r>
            <w:r>
              <w:t xml:space="preserve"> </w:t>
            </w:r>
            <w:r>
              <w:t xml:space="preserve">for sardine in this area.</w:t>
            </w:r>
          </w:p>
        </w:tc>
      </w:tr>
    </w:tbl>
    <w:p>
      <w:r>
        <w:br w:type="page"/>
      </w:r>
    </w:p>
    <w:bookmarkEnd w:id="25"/>
    <w:bookmarkStart w:id="28" w:name="quality-of-the-assessment"/>
    <w:p>
      <w:pPr>
        <w:pStyle w:val="Heading2"/>
      </w:pPr>
      <w:r>
        <w:t xml:space="preserve">Quality of the assessment</w:t>
      </w:r>
    </w:p>
    <w:p>
      <w:pPr>
        <w:pStyle w:val="FirstParagraph"/>
      </w:pPr>
      <w:r>
        <w:t xml:space="preserve">This stock was benchmarked in 2021 and the ICES framework for category 3 short-lived stocks using the 1-over-2 rule with</w:t>
      </w:r>
      <w:r>
        <w:t xml:space="preserve"> </w:t>
      </w:r>
      <w:r>
        <w:t xml:space="preserve">an uncertainty cap of 80% and a biomass safeguard (ICES, 2020a) was considered appropriate to provide advice. Since it is</w:t>
      </w:r>
      <w:r>
        <w:t xml:space="preserve"> </w:t>
      </w:r>
      <w:r>
        <w:t xml:space="preserve">the first application of the framework, the initial catch in the rule is taken from the mean of the catch from the previous</w:t>
      </w:r>
      <w:r>
        <w:t xml:space="preserve"> </w:t>
      </w:r>
      <w:r>
        <w:t xml:space="preserve">two years (2019–2020). A SPiCT model based on quarterly landing data and a biomass index derived from the core area of</w:t>
      </w:r>
      <w:r>
        <w:t xml:space="preserve"> </w:t>
      </w:r>
      <w:r>
        <w:t xml:space="preserve">the acoustic survey PELTIC was considered inadequate to provide advice but is used to approximate stock status relative to</w:t>
      </w:r>
      <w:r>
        <w:t xml:space="preserve"> </w:t>
      </w:r>
      <w:r>
        <w:t xml:space="preserve">MSY reference points.</w:t>
      </w:r>
    </w:p>
    <w:p>
      <w:pPr>
        <w:pStyle w:val="BodyText"/>
      </w:pPr>
      <w:r>
        <w:t xml:space="preserve">French catches from ICES rectangles 25E5 and 25E4 (Subarea 7) have been traditionally allocated to Division 8.a, as they</w:t>
      </w:r>
      <w:r>
        <w:t xml:space="preserve"> </w:t>
      </w:r>
      <w:r>
        <w:t xml:space="preserve">occur in the boundary between divisions and are considered to be more closely associated with the sardine stock in</w:t>
      </w:r>
      <w:r>
        <w:t xml:space="preserve"> </w:t>
      </w:r>
      <w:r>
        <w:t xml:space="preserve">divisions 8.a-b and 8.d. However, the boundary between sardine stocks in subarea 7 and 8 is unclear and further studies</w:t>
      </w:r>
      <w:r>
        <w:t xml:space="preserve"> </w:t>
      </w:r>
      <w:r>
        <w:t xml:space="preserve">are needed to support this procedure to allocate catches</w:t>
      </w:r>
    </w:p>
    <w:p>
      <w:pPr>
        <w:pStyle w:val="BodyText"/>
      </w:pPr>
      <w:r>
        <w:drawing>
          <wp:inline>
            <wp:extent cx="2952750" cy="1968500"/>
            <wp:effectExtent b="0" l="0" r="0" t="0"/>
            <wp:docPr descr="notshowing" title="" id="1" name="Picture"/>
            <a:graphic>
              <a:graphicData uri="http://schemas.openxmlformats.org/drawingml/2006/picture">
                <pic:pic>
                  <pic:nvPicPr>
                    <pic:cNvPr descr="output/spict_bbms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952750" cy="1968500"/>
            <wp:effectExtent b="0" l="0" r="0" t="0"/>
            <wp:docPr descr="notshowing" title="" id="1" name="Picture"/>
            <a:graphic>
              <a:graphicData uri="http://schemas.openxmlformats.org/drawingml/2006/picture">
                <pic:pic>
                  <pic:nvPicPr>
                    <pic:cNvPr descr="output/spict_ffms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2: Sardine in subarea 7. SPiCT analysis showing exploitable biomass relative to BMSY and fishing mortality relative to FMSY.</w:t>
      </w:r>
      <w:r>
        <w:t xml:space="preserve"> </w:t>
      </w:r>
      <w:r>
        <w:t xml:space="preserve">The biomass index used was derived from the core area of the acoustic survey PELTIC. The shaded areas in both plots</w:t>
      </w:r>
      <w:r>
        <w:t xml:space="preserve"> </w:t>
      </w:r>
      <w:r>
        <w:t xml:space="preserve">indicate 95% confidence intervals. The horizontal lines indicate levels relative to the FMSY and BMSY.</w:t>
      </w:r>
    </w:p>
    <w:bookmarkEnd w:id="28"/>
    <w:bookmarkStart w:id="29" w:name="issues-relevant-for-the-advice"/>
    <w:p>
      <w:pPr>
        <w:pStyle w:val="Heading2"/>
      </w:pPr>
      <w:r>
        <w:t xml:space="preserve">Issues relevant for the advice</w:t>
      </w:r>
    </w:p>
    <w:p>
      <w:pPr>
        <w:pStyle w:val="FirstParagraph"/>
      </w:pPr>
      <w:r>
        <w:t xml:space="preserve">The 1-over-2 rule performs the best when there is no time-lag between the survey producing the biomass estimate and</w:t>
      </w:r>
      <w:r>
        <w:t xml:space="preserve"> </w:t>
      </w:r>
      <w:r>
        <w:t xml:space="preserve">the TAC implementation (ICES, 2020c). This is especially important for short-lived species, as part of the observed stock</w:t>
      </w:r>
      <w:r>
        <w:t xml:space="preserve"> </w:t>
      </w:r>
      <w:r>
        <w:t xml:space="preserve">will not be available for the fishery when there is a large lag in time. The PELTIC survey is conducted in October and the</w:t>
      </w:r>
      <w:r>
        <w:t xml:space="preserve"> </w:t>
      </w:r>
      <w:r>
        <w:t xml:space="preserve">biomass estimate is already incorporated in the catch advice for the following year, with a time-lag of only two months.</w:t>
      </w:r>
      <w:r>
        <w:t xml:space="preserve"> </w:t>
      </w:r>
      <w:r>
        <w:t xml:space="preserve">The advice for this stock in 2019 was provided for two years since this was a Category 5 stock at the time. As</w:t>
      </w:r>
      <w:r>
        <w:t xml:space="preserve"> </w:t>
      </w:r>
      <w:r>
        <w:t xml:space="preserve">from 2020 the stock is Category 3, and given that a new biomass estimate is available every year catch advice could be</w:t>
      </w:r>
      <w:r>
        <w:t xml:space="preserve"> </w:t>
      </w:r>
      <w:r>
        <w:t xml:space="preserve">provided annually.</w:t>
      </w:r>
    </w:p>
    <w:p>
      <w:r>
        <w:br w:type="page"/>
      </w:r>
    </w:p>
    <w:bookmarkEnd w:id="29"/>
    <w:bookmarkStart w:id="30" w:name="reference-points"/>
    <w:p>
      <w:pPr>
        <w:pStyle w:val="Heading2"/>
      </w:pPr>
      <w:r>
        <w:t xml:space="preserve">Reference points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96"/>
        <w:gridCol w:w="747"/>
        <w:gridCol w:w="597"/>
        <w:gridCol w:w="5118"/>
        <w:gridCol w:w="560"/>
      </w:tblGrid>
      <w:tr>
        <w:tc>
          <w:p>
            <w:pPr>
              <w:pStyle w:val="Compact"/>
              <w:jc w:val="left"/>
            </w:pPr>
            <w:r>
              <w:t xml:space="preserve">Framework</w:t>
            </w:r>
          </w:p>
        </w:tc>
        <w:tc>
          <w:p>
            <w:pPr>
              <w:pStyle w:val="Compact"/>
              <w:jc w:val="left"/>
            </w:pPr>
            <w:r>
              <w:t xml:space="preserve">Reference point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Technical basis</w:t>
            </w:r>
          </w:p>
        </w:tc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M</m:t>
                </m:r>
                <m:r>
                  <m:t>S</m:t>
                </m:r>
                <m:r>
                  <m:t>Y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</m:sub>
                </m:sSub>
                <m:r>
                  <m:t> 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x</m:t>
                </m:r>
                <m:r>
                  <m:t>y</m:t>
                </m:r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0.5</m:t>
                </m:r>
                <m:r>
                  <m:rPr>
                    <m:sty m:val="p"/>
                  </m:rPr>
                  <m:t>*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Relative value from SPiCT model. BMSY is estimated directly from the SPiCT assessment model and changes when the assessment is updated</w:t>
            </w:r>
          </w:p>
        </w:tc>
        <w:tc>
          <w:p>
            <w:pPr>
              <w:pStyle w:val="Compact"/>
              <w:jc w:val="left"/>
            </w:pPr>
            <w:r>
              <w:t xml:space="preserve">(ICES, 2021a)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sub>
                </m:sSub>
                <m:r>
                  <m:t> 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x</m:t>
                </m:r>
                <m:r>
                  <m:t>y</m:t>
                </m:r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F</m:t>
                    </m:r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*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Relative value from SPiCT model. FMSY is estimated directly from the SPiCT assessment model and changes when the assessment is updated.</w:t>
            </w:r>
          </w:p>
        </w:tc>
        <w:tc>
          <w:p>
            <w:pPr>
              <w:pStyle w:val="Compact"/>
              <w:jc w:val="left"/>
            </w:pPr>
            <w:r>
              <w:t xml:space="preserve">(ICES, 2021a)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I</m:t>
                    </m:r>
                  </m:e>
                  <m:sub>
                    <m:r>
                      <m:t>s</m:t>
                    </m:r>
                    <m:r>
                      <m:t>t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113005 tonnes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  <m:r>
                  <m:t>e</m:t>
                </m:r>
                <m:r>
                  <m:t>o</m:t>
                </m:r>
                <m:r>
                  <m:t>m</m:t>
                </m:r>
                <m:r>
                  <m:t>e</m:t>
                </m:r>
                <m:r>
                  <m:t>a</m:t>
                </m:r>
                <m:r>
                  <m:t>n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h</m:t>
                    </m:r>
                    <m:r>
                      <m:t>i</m:t>
                    </m:r>
                    <m:r>
                      <m:t>s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.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t>1.645</m:t>
                </m:r>
                <m:r>
                  <m:rPr>
                    <m:sty m:val="p"/>
                  </m:rPr>
                  <m:t>.</m:t>
                </m:r>
                <m:r>
                  <m:t>s</m:t>
                </m:r>
                <m:r>
                  <m:t>d</m:t>
                </m:r>
                <m:r>
                  <m:rPr>
                    <m:sty m:val="p"/>
                  </m:rPr>
                  <m:t>(</m:t>
                </m:r>
                <m:r>
                  <m:t>l</m:t>
                </m:r>
                <m:r>
                  <m:t>o</m:t>
                </m:r>
                <m:r>
                  <m:t>g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h</m:t>
                    </m:r>
                    <m:r>
                      <m:t>i</m:t>
                    </m:r>
                    <m:r>
                      <m:t>s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oMath>
            </m:oMathPara>
          </w:p>
          <w:p>
            <w:pPr>
              <w:pStyle w:val="Compact"/>
              <w:jc w:val="left"/>
            </w:pPr>
            <w:r>
              <w:t xml:space="preserve"> </w:t>
            </w:r>
            <m:oMath>
              <m:sSub>
                <m:e>
                  <m:r>
                    <m:t>I</m:t>
                  </m:r>
                </m:e>
                <m:sub>
                  <m:r>
                    <m:t>h</m:t>
                  </m:r>
                  <m:r>
                    <m:t>i</m:t>
                  </m:r>
                  <m:r>
                    <m:t>s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is the available historical series of the abundance index (2017-2021)</w:t>
            </w:r>
          </w:p>
        </w:tc>
        <w:tc>
          <w:p>
            <w:pPr>
              <w:pStyle w:val="Compact"/>
              <w:jc w:val="left"/>
            </w:pPr>
            <w:r>
              <w:t xml:space="preserve">(ICES, 2021b)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B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p</m:t>
                    </m:r>
                    <m:r>
                      <m:t>a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p</m:t>
                    </m:r>
                    <m:r>
                      <m:t>a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Management plan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S</m:t>
                </m:r>
                <m:r>
                  <m:t>S</m:t>
                </m:r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  <m:r>
                      <m:t>g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Management plan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  <m:r>
                      <m:t>g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* No reference points are defined for this stock in terms of absolute values. The SPiCT-estimated values of the ratios F/FMSY and B/BMSY</w:t>
      </w:r>
      <w:r>
        <w:t xml:space="preserve"> </w:t>
      </w:r>
      <w:r>
        <w:t xml:space="preserve">are used to estimate stock and exploitation status relative to the proxy MSY reference points.</w:t>
      </w:r>
    </w:p>
    <w:bookmarkEnd w:id="30"/>
    <w:bookmarkStart w:id="31" w:name="basis-of-the-assessment"/>
    <w:p>
      <w:pPr>
        <w:pStyle w:val="Heading2"/>
      </w:pPr>
      <w:r>
        <w:t xml:space="preserve">Basis of the assessment</w:t>
      </w:r>
    </w:p>
    <w:p>
      <w:pPr>
        <w:pStyle w:val="FirstParagraph"/>
      </w:pPr>
      <w:r>
        <w:rPr>
          <w:iCs/>
          <w:i/>
        </w:rPr>
        <w:t xml:space="preserve">Table 4: Sardine in Subarea 7. The basis of the assessment.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15"/>
        <w:gridCol w:w="6705"/>
      </w:tblGrid>
      <w:tr>
        <w:tc>
          <w:p>
            <w:pPr>
              <w:pStyle w:val="Compact"/>
              <w:jc w:val="left"/>
            </w:pPr>
            <w:r>
              <w:t xml:space="preserve">ICES stock data category</w:t>
            </w:r>
          </w:p>
        </w:tc>
        <w:tc>
          <w:p>
            <w:pPr>
              <w:pStyle w:val="Compact"/>
              <w:jc w:val="left"/>
            </w:pPr>
            <w:r>
              <w:t xml:space="preserve">3 (ICES, 2021c).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 type</w:t>
            </w:r>
          </w:p>
        </w:tc>
        <w:tc>
          <w:p>
            <w:pPr>
              <w:pStyle w:val="Compact"/>
              <w:jc w:val="left"/>
            </w:pPr>
            <w:r>
              <w:t xml:space="preserve">Survey trends-based 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p>
            <w:pPr>
              <w:pStyle w:val="Compact"/>
              <w:jc w:val="left"/>
            </w:pPr>
            <w:r>
              <w:t xml:space="preserve">Commercial catch, biomass estimates from the total area of the acoustic survey PELTIC [A6259]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Discards and bycatch</w:t>
            </w:r>
          </w:p>
        </w:tc>
        <w:tc>
          <w:p>
            <w:pPr>
              <w:pStyle w:val="Compact"/>
              <w:jc w:val="left"/>
            </w:pPr>
            <w:r>
              <w:t xml:space="preserve">Discards were not included as discarding is considered negligible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Indicators</w:t>
            </w:r>
          </w:p>
        </w:tc>
        <w:tc>
          <w:p>
            <w:pPr>
              <w:pStyle w:val="Compact"/>
              <w:jc w:val="left"/>
            </w:pPr>
            <w:r>
              <w:t xml:space="preserve">Relative fishing mortality and relative biomass derived from a SPiCT model (input data: landings and biomass from PELTIC [A6259] in the core area).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This stock was benchmarked in 2021 (WKWEST; ICES, 2021a).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group</w:t>
            </w:r>
          </w:p>
        </w:tc>
        <w:tc>
          <w:p>
            <w:pPr>
              <w:pStyle w:val="Compact"/>
              <w:jc w:val="left"/>
            </w:pPr>
            <w:r>
              <w:t xml:space="preserve">Working Group on Southern Horse Mackerel, Anchovy, and Sardine (WGHANSA)</w:t>
            </w:r>
          </w:p>
        </w:tc>
      </w:tr>
    </w:tbl>
    <w:p>
      <w:r>
        <w:br w:type="page"/>
      </w:r>
    </w:p>
    <w:bookmarkEnd w:id="31"/>
    <w:bookmarkStart w:id="32" w:name="X4b017eed60eb3f759df483675041685d13cf4c1"/>
    <w:p>
      <w:pPr>
        <w:pStyle w:val="Heading2"/>
      </w:pPr>
      <w:r>
        <w:t xml:space="preserve">History of the advice, catch, and management</w:t>
      </w:r>
    </w:p>
    <w:p>
      <w:pPr>
        <w:pStyle w:val="TableCaption"/>
      </w:pPr>
      <w:r>
        <w:t xml:space="preserve">Table 5a: Sardine in divisions 8.a–b and 8.d, and Subarea 7 *. ICES advice and official landings. No official TAC is set for this stock. All weights are in tonnes.</w:t>
      </w:r>
      <w:r>
        <w:t xml:space="preserve"> </w:t>
      </w:r>
      <w:r>
        <w:t xml:space="preserve">*. Prior to 2017, sardine in this area was assessed as a single stock combining Subarea 7 (English Channel and Celtic Sea) and divisions</w:t>
      </w:r>
      <w:r>
        <w:t xml:space="preserve"> </w:t>
      </w:r>
      <w:r>
        <w:t xml:space="preserve">8.a–b and 8.d (Bay of Biscay).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5a: Sardine in divisions 8.a–b and 8.d, and Subarea 7 *. ICES advice and official landings. No official TAC is set for this stock. All weights are in tonnes. *. Prior to 2017, sardine in this area was assessed as a single stock combining Subarea 7 (English Channel and Celtic Sea) and divisions 8.a–b and 8.d (Bay of Biscay)."/>
      </w:tblPr>
      <w:tblGrid>
        <w:gridCol w:w="518"/>
        <w:gridCol w:w="2368"/>
        <w:gridCol w:w="2368"/>
        <w:gridCol w:w="1480"/>
        <w:gridCol w:w="1184"/>
      </w:tblGrid>
      <w:tr>
        <w:tc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p>
            <w:pPr>
              <w:pStyle w:val="Compact"/>
              <w:jc w:val="center"/>
            </w:pPr>
            <w:r>
              <w:t xml:space="preserve">ICES advice</w:t>
            </w:r>
          </w:p>
        </w:tc>
        <w:tc>
          <w:p>
            <w:pPr>
              <w:pStyle w:val="Compact"/>
              <w:jc w:val="center"/>
            </w:pPr>
            <w:r>
              <w:t xml:space="preserve">Catch corresponding to advice</w:t>
            </w:r>
          </w:p>
        </w:tc>
        <w:tc>
          <w:p>
            <w:pPr>
              <w:pStyle w:val="Compact"/>
              <w:jc w:val="center"/>
            </w:pPr>
            <w:r>
              <w:t xml:space="preserve">Official landings</w:t>
            </w:r>
          </w:p>
        </w:tc>
        <w:tc>
          <w:p>
            <w:pPr>
              <w:pStyle w:val="Compact"/>
              <w:jc w:val="center"/>
            </w:pPr>
            <w:r>
              <w:t xml:space="preserve">ICES landings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32592</w:t>
            </w:r>
          </w:p>
        </w:tc>
        <w:tc>
          <w:p>
            <w:pPr>
              <w:pStyle w:val="Compact"/>
              <w:jc w:val="center"/>
            </w:pPr>
            <w:r>
              <w:t xml:space="preserve">30287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28847</w:t>
            </w:r>
          </w:p>
        </w:tc>
        <w:tc>
          <w:p>
            <w:pPr>
              <w:pStyle w:val="Compact"/>
              <w:jc w:val="center"/>
            </w:pPr>
            <w:r>
              <w:t xml:space="preserve">28840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37214</w:t>
            </w:r>
          </w:p>
        </w:tc>
        <w:tc>
          <w:p>
            <w:pPr>
              <w:pStyle w:val="Compact"/>
              <w:jc w:val="center"/>
            </w:pPr>
            <w:r>
              <w:t xml:space="preserve">37214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40971</w:t>
            </w:r>
          </w:p>
        </w:tc>
        <w:tc>
          <w:p>
            <w:pPr>
              <w:pStyle w:val="Compact"/>
              <w:jc w:val="center"/>
            </w:pPr>
            <w:r>
              <w:t xml:space="preserve">40130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20% reduction of catches</w:t>
            </w:r>
            <w:r>
              <w:t xml:space="preserve"> </w:t>
            </w:r>
            <w:r>
              <w:t xml:space="preserve">(average of last three years)</w:t>
            </w:r>
          </w:p>
        </w:tc>
        <w:tc>
          <w:p>
            <w:pPr>
              <w:pStyle w:val="Compact"/>
              <w:jc w:val="center"/>
            </w:pPr>
            <w:r>
              <w:t xml:space="preserve">&lt; 27554</w:t>
            </w:r>
          </w:p>
        </w:tc>
        <w:tc>
          <w:p>
            <w:pPr>
              <w:pStyle w:val="Compact"/>
              <w:jc w:val="center"/>
            </w:pPr>
            <w:r>
              <w:t xml:space="preserve">45312</w:t>
            </w:r>
          </w:p>
        </w:tc>
        <w:tc>
          <w:p>
            <w:pPr>
              <w:pStyle w:val="Compact"/>
              <w:jc w:val="center"/>
            </w:pPr>
            <w:r>
              <w:t xml:space="preserve">42015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No new advice, same as for</w:t>
            </w:r>
            <w:r>
              <w:t xml:space="preserve"> </w:t>
            </w: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&lt; 27554</w:t>
            </w:r>
          </w:p>
        </w:tc>
        <w:tc>
          <w:p>
            <w:pPr>
              <w:pStyle w:val="Compact"/>
              <w:jc w:val="center"/>
            </w:pPr>
            <w:r>
              <w:t xml:space="preserve">36928</w:t>
            </w:r>
          </w:p>
        </w:tc>
        <w:tc>
          <w:p>
            <w:pPr>
              <w:pStyle w:val="Compact"/>
              <w:jc w:val="center"/>
            </w:pPr>
            <w:r>
              <w:t xml:space="preserve">38070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Precautionary approach</w:t>
            </w:r>
            <w:r>
              <w:t xml:space="preserve"> </w:t>
            </w:r>
            <w:r>
              <w:t xml:space="preserve">(increase catches by no more</w:t>
            </w:r>
            <w:r>
              <w:t xml:space="preserve"> </w:t>
            </w:r>
            <w:r>
              <w:t xml:space="preserve">than 20%)</w:t>
            </w:r>
          </w:p>
        </w:tc>
        <w:tc>
          <w:p>
            <w:pPr>
              <w:pStyle w:val="Compact"/>
              <w:jc w:val="center"/>
            </w:pPr>
            <w:r>
              <w:t xml:space="preserve">= 33065</w:t>
            </w:r>
          </w:p>
        </w:tc>
        <w:tc>
          <w:p>
            <w:pPr>
              <w:pStyle w:val="Compact"/>
              <w:jc w:val="center"/>
            </w:pPr>
            <w:r>
              <w:t xml:space="preserve">47324</w:t>
            </w:r>
          </w:p>
        </w:tc>
        <w:tc>
          <w:p>
            <w:pPr>
              <w:pStyle w:val="Compact"/>
              <w:jc w:val="center"/>
            </w:pPr>
            <w:r>
              <w:t xml:space="preserve">49161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Precautionary approach (same</w:t>
            </w:r>
            <w:r>
              <w:t xml:space="preserve"> </w:t>
            </w:r>
            <w:r>
              <w:t xml:space="preserve">advised catch value as given</w:t>
            </w:r>
            <w:r>
              <w:t xml:space="preserve"> </w:t>
            </w:r>
            <w:r>
              <w:t xml:space="preserve">for 2016)</w:t>
            </w:r>
          </w:p>
        </w:tc>
        <w:tc>
          <w:p>
            <w:pPr>
              <w:pStyle w:val="Compact"/>
              <w:jc w:val="center"/>
            </w:pPr>
            <w:r>
              <w:t xml:space="preserve">= 33065</w:t>
            </w:r>
          </w:p>
        </w:tc>
        <w:tc>
          <w:p>
            <w:pPr>
              <w:pStyle w:val="Compact"/>
              <w:jc w:val="center"/>
            </w:pPr>
            <w:r>
              <w:t xml:space="preserve">57889</w:t>
            </w:r>
          </w:p>
        </w:tc>
        <w:tc>
          <w:p>
            <w:pPr>
              <w:pStyle w:val="Compact"/>
              <w:jc w:val="center"/>
            </w:pPr>
            <w:r>
              <w:t xml:space="preserve">43101</w:t>
            </w:r>
          </w:p>
        </w:tc>
      </w:tr>
    </w:tbl>
    <w:p/>
    <w:p>
      <w:pPr>
        <w:pStyle w:val="TableCaption"/>
      </w:pPr>
      <w:r>
        <w:t xml:space="preserve">Table 5b: Sardine in Subarea 7. ICES advice and official landings. No official TAC is set for this stock. All weights are in tonnes.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5b: Sardine in Subarea 7. ICES advice and official landings. No official TAC is set for this stock. All weights are in tonnes."/>
      </w:tblPr>
      <w:tblGrid>
        <w:gridCol w:w="513"/>
        <w:gridCol w:w="2420"/>
        <w:gridCol w:w="2346"/>
        <w:gridCol w:w="1466"/>
        <w:gridCol w:w="1173"/>
      </w:tblGrid>
      <w:tr>
        <w:tc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p>
            <w:pPr>
              <w:pStyle w:val="Compact"/>
              <w:jc w:val="center"/>
            </w:pPr>
            <w:r>
              <w:t xml:space="preserve">ICES advice</w:t>
            </w:r>
          </w:p>
        </w:tc>
        <w:tc>
          <w:p>
            <w:pPr>
              <w:pStyle w:val="Compact"/>
              <w:jc w:val="center"/>
            </w:pPr>
            <w:r>
              <w:t xml:space="preserve">Catch corresponding to advice</w:t>
            </w:r>
          </w:p>
        </w:tc>
        <w:tc>
          <w:p>
            <w:pPr>
              <w:pStyle w:val="Compact"/>
              <w:jc w:val="center"/>
            </w:pPr>
            <w:r>
              <w:t xml:space="preserve">Official landings</w:t>
            </w:r>
          </w:p>
        </w:tc>
        <w:tc>
          <w:p>
            <w:pPr>
              <w:pStyle w:val="Compact"/>
              <w:jc w:val="center"/>
            </w:pPr>
            <w:r>
              <w:t xml:space="preserve">ICES landings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Precautionary approach: 20%</w:t>
            </w:r>
            <w:r>
              <w:t xml:space="preserve"> </w:t>
            </w:r>
            <w:r>
              <w:t xml:space="preserve">reduction in catch relative to</w:t>
            </w:r>
            <w:r>
              <w:t xml:space="preserve"> </w:t>
            </w:r>
            <w:r>
              <w:t xml:space="preserve">the 2014–2016 average</w:t>
            </w:r>
          </w:p>
        </w:tc>
        <w:tc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p>
            <w:pPr>
              <w:pStyle w:val="Compact"/>
              <w:jc w:val="center"/>
            </w:pPr>
            <w:r>
              <w:t xml:space="preserve">1065</w:t>
            </w:r>
          </w:p>
        </w:tc>
        <w:tc>
          <w:p>
            <w:pPr>
              <w:pStyle w:val="Compact"/>
              <w:jc w:val="center"/>
            </w:pPr>
            <w:r>
              <w:t xml:space="preserve">10671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Precautionary approach: Same</w:t>
            </w:r>
            <w:r>
              <w:t xml:space="preserve"> </w:t>
            </w:r>
            <w:r>
              <w:t xml:space="preserve">advice as for 2018</w:t>
            </w:r>
          </w:p>
        </w:tc>
        <w:tc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7937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No catch advice</w:t>
            </w:r>
          </w:p>
        </w:tc>
        <w:tc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p>
            <w:pPr>
              <w:pStyle w:val="Compact"/>
              <w:jc w:val="center"/>
            </w:pPr>
            <w:r>
              <w:t xml:space="preserve">3277</w:t>
            </w:r>
          </w:p>
        </w:tc>
        <w:tc>
          <w:p>
            <w:pPr>
              <w:pStyle w:val="Compact"/>
              <w:jc w:val="center"/>
            </w:pPr>
            <w:r>
              <w:t xml:space="preserve">13553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No catch advice</w:t>
            </w:r>
          </w:p>
        </w:tc>
        <w:tc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Precautionary approach</w:t>
            </w:r>
          </w:p>
        </w:tc>
        <w:tc>
          <w:p>
            <w:pPr>
              <w:pStyle w:val="Compact"/>
              <w:jc w:val="center"/>
            </w:pPr>
            <w:r>
              <w:t xml:space="preserve">= 6 906</w:t>
            </w:r>
          </w:p>
        </w:tc>
        <w:tc>
          <w:p/>
        </w:tc>
        <w:tc>
          <w:p/>
        </w:tc>
      </w:tr>
    </w:tbl>
    <w:p>
      <w:r>
        <w:br w:type="page"/>
      </w:r>
    </w:p>
    <w:bookmarkEnd w:id="32"/>
    <w:bookmarkStart w:id="33" w:name="history-of-the-catch-and-landings"/>
    <w:p>
      <w:pPr>
        <w:pStyle w:val="Heading2"/>
      </w:pPr>
      <w:r>
        <w:t xml:space="preserve">History of the catch and landings</w:t>
      </w:r>
    </w:p>
    <w:p>
      <w:pPr>
        <w:pStyle w:val="FirstParagraph"/>
      </w:pPr>
      <w:r>
        <w:rPr>
          <w:iCs/>
          <w:i/>
        </w:rPr>
        <w:t xml:space="preserve">Table 6: Sardine in Subarea 7. Catch distribution by fleet in 2020 as estimated by ICES.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4"/>
        <w:gridCol w:w="1350"/>
        <w:gridCol w:w="1780"/>
        <w:gridCol w:w="1534"/>
        <w:gridCol w:w="736"/>
        <w:gridCol w:w="982"/>
      </w:tblGrid>
      <w:tr>
        <w:tc>
          <w:p>
            <w:pPr>
              <w:pStyle w:val="Compact"/>
              <w:jc w:val="left"/>
            </w:pPr>
            <w:r>
              <w:t xml:space="preserve">Pelagic trawl Landings</w:t>
            </w:r>
          </w:p>
        </w:tc>
        <w:tc>
          <w:p>
            <w:pPr>
              <w:pStyle w:val="Compact"/>
              <w:jc w:val="left"/>
            </w:pPr>
            <w:r>
              <w:t xml:space="preserve">Purse-seine Landings</w:t>
            </w:r>
          </w:p>
        </w:tc>
        <w:tc>
          <w:p>
            <w:pPr>
              <w:pStyle w:val="Compact"/>
              <w:jc w:val="left"/>
            </w:pPr>
            <w:r>
              <w:t xml:space="preserve">Landings from other gears</w:t>
            </w:r>
          </w:p>
        </w:tc>
        <w:tc>
          <w:p>
            <w:pPr>
              <w:pStyle w:val="Compact"/>
              <w:jc w:val="left"/>
            </w:pPr>
            <w:r>
              <w:t xml:space="preserve">Total Landings (tonnes)</w:t>
            </w:r>
          </w:p>
        </w:tc>
        <w:tc>
          <w:p>
            <w:pPr>
              <w:pStyle w:val="Compact"/>
              <w:jc w:val="left"/>
            </w:pPr>
            <w:r>
              <w:t xml:space="preserve">Discards</w:t>
            </w:r>
          </w:p>
        </w:tc>
        <w:tc>
          <w:p>
            <w:pPr>
              <w:pStyle w:val="Compact"/>
              <w:jc w:val="left"/>
            </w:pPr>
            <w:r>
              <w:t xml:space="preserve">Catch (tonnes)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31%</w:t>
            </w:r>
          </w:p>
        </w:tc>
        <w:tc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p>
            <w:pPr>
              <w:pStyle w:val="Compact"/>
              <w:jc w:val="left"/>
            </w:pPr>
            <w:r>
              <w:t xml:space="preserve">23%</w:t>
            </w:r>
          </w:p>
        </w:tc>
        <w:tc>
          <w:p>
            <w:pPr>
              <w:pStyle w:val="Compact"/>
              <w:jc w:val="left"/>
            </w:pPr>
            <w:r>
              <w:t xml:space="preserve">13553</w:t>
            </w:r>
          </w:p>
        </w:tc>
        <w:tc>
          <w:p>
            <w:pPr>
              <w:pStyle w:val="Compact"/>
              <w:jc w:val="left"/>
            </w:pPr>
            <w:r>
              <w:t xml:space="preserve">Negligible</w:t>
            </w:r>
          </w:p>
        </w:tc>
        <w:tc>
          <w:p>
            <w:pPr>
              <w:pStyle w:val="Compact"/>
              <w:jc w:val="left"/>
            </w:pPr>
            <w:r>
              <w:t xml:space="preserve">13553</w:t>
            </w:r>
          </w:p>
        </w:tc>
      </w:tr>
    </w:tbl>
    <w:p/>
    <w:p>
      <w:pPr>
        <w:pStyle w:val="TableCaption"/>
      </w:pPr>
      <w:r>
        <w:t xml:space="preserve">Table 7: Sardine in Subarea 7. History of reported landings; values are presented for each country participating in the fishery. All weights are in tonnes *.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7: Sardine in Subarea 7. History of reported landings; values are presented for each country participating in the fishery. All weights are in tonnes *."/>
      </w:tblPr>
      <w:tblGrid>
        <w:gridCol w:w="465"/>
        <w:gridCol w:w="798"/>
        <w:gridCol w:w="1131"/>
        <w:gridCol w:w="931"/>
        <w:gridCol w:w="665"/>
        <w:gridCol w:w="665"/>
        <w:gridCol w:w="665"/>
        <w:gridCol w:w="798"/>
        <w:gridCol w:w="665"/>
        <w:gridCol w:w="532"/>
        <w:gridCol w:w="598"/>
      </w:tblGrid>
      <w:tr>
        <w:tc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p>
            <w:pPr>
              <w:pStyle w:val="Compact"/>
              <w:jc w:val="center"/>
            </w:pPr>
            <w:r>
              <w:t xml:space="preserve">France **</w:t>
            </w:r>
          </w:p>
        </w:tc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Netherlands</w:t>
            </w:r>
          </w:p>
        </w:tc>
        <w:tc>
          <w:p>
            <w:pPr>
              <w:pStyle w:val="Compact"/>
              <w:jc w:val="center"/>
            </w:pPr>
            <w:r>
              <w:t xml:space="preserve">Ireland</w:t>
            </w:r>
          </w:p>
        </w:tc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Denmark</w:t>
            </w:r>
          </w:p>
        </w:tc>
        <w:tc>
          <w:p>
            <w:pPr>
              <w:pStyle w:val="Compact"/>
              <w:jc w:val="center"/>
            </w:pPr>
            <w:r>
              <w:t xml:space="preserve">Lithuania</w:t>
            </w:r>
          </w:p>
        </w:tc>
        <w:tc>
          <w:p>
            <w:pPr>
              <w:pStyle w:val="Compact"/>
              <w:jc w:val="center"/>
            </w:pPr>
            <w:r>
              <w:t xml:space="preserve">Belgium</w:t>
            </w:r>
          </w:p>
        </w:tc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1970</w:t>
            </w:r>
          </w:p>
        </w:tc>
        <w:tc>
          <w:p>
            <w:pPr>
              <w:pStyle w:val="Compact"/>
              <w:jc w:val="center"/>
            </w:pPr>
            <w:r>
              <w:t xml:space="preserve">1014</w:t>
            </w:r>
          </w:p>
        </w:tc>
        <w:tc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2112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1971</w:t>
            </w:r>
          </w:p>
        </w:tc>
        <w:tc>
          <w:p>
            <w:pPr>
              <w:pStyle w:val="Compact"/>
              <w:jc w:val="center"/>
            </w:pPr>
            <w:r>
              <w:t xml:space="preserve">1350</w:t>
            </w:r>
          </w:p>
        </w:tc>
        <w:tc>
          <w:p>
            <w:pPr>
              <w:pStyle w:val="Compact"/>
              <w:jc w:val="center"/>
            </w:pPr>
            <w:r>
              <w:t xml:space="preserve">1242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3362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p>
            <w:pPr>
              <w:pStyle w:val="Compact"/>
              <w:jc w:val="center"/>
            </w:pPr>
            <w:r>
              <w:t xml:space="preserve">1297</w:t>
            </w:r>
          </w:p>
        </w:tc>
        <w:tc>
          <w:p>
            <w:pPr>
              <w:pStyle w:val="Compact"/>
              <w:jc w:val="center"/>
            </w:pPr>
            <w:r>
              <w:t xml:space="preserve">2190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1553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1973</w:t>
            </w:r>
          </w:p>
        </w:tc>
        <w:tc>
          <w:p>
            <w:pPr>
              <w:pStyle w:val="Compact"/>
              <w:jc w:val="center"/>
            </w:pPr>
            <w:r>
              <w:t xml:space="preserve">1603</w:t>
            </w:r>
          </w:p>
        </w:tc>
        <w:tc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2577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1974</w:t>
            </w:r>
          </w:p>
        </w:tc>
        <w:tc>
          <w:p>
            <w:pPr>
              <w:pStyle w:val="Compact"/>
              <w:jc w:val="center"/>
            </w:pPr>
            <w:r>
              <w:t xml:space="preserve">833</w:t>
            </w:r>
          </w:p>
        </w:tc>
        <w:tc>
          <w:p>
            <w:pPr>
              <w:pStyle w:val="Compact"/>
              <w:jc w:val="center"/>
            </w:pPr>
            <w:r>
              <w:t xml:space="preserve">1280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1826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1975</w:t>
            </w:r>
          </w:p>
        </w:tc>
        <w:tc>
          <w:p>
            <w:pPr>
              <w:pStyle w:val="Compact"/>
              <w:jc w:val="center"/>
            </w:pPr>
            <w:r>
              <w:t xml:space="preserve">678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561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1976</w:t>
            </w:r>
          </w:p>
        </w:tc>
        <w:tc>
          <w:p>
            <w:pPr>
              <w:pStyle w:val="Compact"/>
              <w:jc w:val="center"/>
            </w:pPr>
            <w:r>
              <w:t xml:space="preserve">1284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3544</w:t>
            </w:r>
          </w:p>
        </w:tc>
        <w:tc>
          <w:p>
            <w:pPr>
              <w:pStyle w:val="Compact"/>
              <w:jc w:val="center"/>
            </w:pPr>
            <w:r>
              <w:t xml:space="preserve">10778</w:t>
            </w:r>
          </w:p>
        </w:tc>
        <w:tc>
          <w:p>
            <w:pPr>
              <w:pStyle w:val="Compact"/>
              <w:jc w:val="center"/>
            </w:pPr>
            <w:r>
              <w:t xml:space="preserve">623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1978</w:t>
            </w:r>
          </w:p>
        </w:tc>
        <w:tc>
          <w:p>
            <w:pPr>
              <w:pStyle w:val="Compact"/>
              <w:jc w:val="center"/>
            </w:pPr>
            <w:r>
              <w:t xml:space="preserve">2773</w:t>
            </w:r>
          </w:p>
        </w:tc>
        <w:tc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p>
            <w:pPr>
              <w:pStyle w:val="Compact"/>
              <w:jc w:val="center"/>
            </w:pPr>
            <w:r>
              <w:t xml:space="preserve">1523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1463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1979</w:t>
            </w:r>
          </w:p>
        </w:tc>
        <w:tc>
          <w:p>
            <w:pPr>
              <w:pStyle w:val="Compact"/>
              <w:jc w:val="center"/>
            </w:pPr>
            <w:r>
              <w:t xml:space="preserve">3247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1321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1188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1980</w:t>
            </w:r>
          </w:p>
        </w:tc>
        <w:tc>
          <w:p>
            <w:pPr>
              <w:pStyle w:val="Compact"/>
              <w:jc w:val="center"/>
            </w:pPr>
            <w:r>
              <w:t xml:space="preserve">3573</w:t>
            </w:r>
          </w:p>
        </w:tc>
        <w:tc>
          <w:p>
            <w:pPr>
              <w:pStyle w:val="Compact"/>
              <w:jc w:val="center"/>
            </w:pPr>
            <w:r>
              <w:t xml:space="preserve">753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1981</w:t>
            </w:r>
          </w:p>
        </w:tc>
        <w:tc>
          <w:p>
            <w:pPr>
              <w:pStyle w:val="Compact"/>
              <w:jc w:val="center"/>
            </w:pPr>
            <w:r>
              <w:t xml:space="preserve">1125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553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4471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908</w:t>
            </w:r>
          </w:p>
        </w:tc>
        <w:tc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p>
            <w:pPr>
              <w:pStyle w:val="Compact"/>
              <w:jc w:val="center"/>
            </w:pPr>
            <w:r>
              <w:t xml:space="preserve">928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1983</w:t>
            </w:r>
          </w:p>
        </w:tc>
        <w:tc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795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4743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1984</w:t>
            </w:r>
          </w:p>
        </w:tc>
        <w:tc>
          <w:p>
            <w:pPr>
              <w:pStyle w:val="Compact"/>
              <w:jc w:val="center"/>
            </w:pPr>
            <w:r>
              <w:t xml:space="preserve">817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1985</w:t>
            </w:r>
          </w:p>
        </w:tc>
        <w:tc>
          <w:p>
            <w:pPr>
              <w:pStyle w:val="Compact"/>
              <w:jc w:val="center"/>
            </w:pPr>
            <w:r>
              <w:t xml:space="preserve">2089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1986</w:t>
            </w:r>
          </w:p>
        </w:tc>
        <w:tc>
          <w:p>
            <w:pPr>
              <w:pStyle w:val="Compact"/>
              <w:jc w:val="center"/>
            </w:pPr>
            <w:r>
              <w:t xml:space="preserve">2570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965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1573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1988</w:t>
            </w:r>
          </w:p>
        </w:tc>
        <w:tc>
          <w:p>
            <w:pPr>
              <w:pStyle w:val="Compact"/>
              <w:jc w:val="center"/>
            </w:pPr>
            <w:r>
              <w:t xml:space="preserve">2586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3234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1989</w:t>
            </w:r>
          </w:p>
        </w:tc>
        <w:tc>
          <w:p>
            <w:pPr>
              <w:pStyle w:val="Compact"/>
              <w:jc w:val="center"/>
            </w:pPr>
            <w:r>
              <w:t xml:space="preserve">1219</w:t>
            </w:r>
          </w:p>
        </w:tc>
        <w:tc>
          <w:p>
            <w:pPr>
              <w:pStyle w:val="Compact"/>
              <w:jc w:val="center"/>
            </w:pPr>
            <w:r>
              <w:t xml:space="preserve">1660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1990</w:t>
            </w:r>
          </w:p>
        </w:tc>
        <w:tc>
          <w:p>
            <w:pPr>
              <w:pStyle w:val="Compact"/>
              <w:jc w:val="center"/>
            </w:pPr>
            <w:r>
              <w:t xml:space="preserve">1128</w:t>
            </w:r>
          </w:p>
        </w:tc>
        <w:tc>
          <w:p>
            <w:pPr>
              <w:pStyle w:val="Compact"/>
              <w:jc w:val="center"/>
            </w:pPr>
            <w:r>
              <w:t xml:space="preserve">2078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p>
            <w:pPr>
              <w:pStyle w:val="Compact"/>
              <w:jc w:val="center"/>
            </w:pPr>
            <w:r>
              <w:t xml:space="preserve">6113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1991</w:t>
            </w:r>
          </w:p>
        </w:tc>
        <w:tc>
          <w:p>
            <w:pPr>
              <w:pStyle w:val="Compact"/>
              <w:jc w:val="center"/>
            </w:pPr>
            <w:r>
              <w:t xml:space="preserve">1963</w:t>
            </w:r>
          </w:p>
        </w:tc>
        <w:tc>
          <w:p>
            <w:pPr>
              <w:pStyle w:val="Compact"/>
              <w:jc w:val="center"/>
            </w:pPr>
            <w:r>
              <w:t xml:space="preserve">2952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1777</w:t>
            </w:r>
          </w:p>
        </w:tc>
        <w:tc>
          <w:p>
            <w:pPr>
              <w:pStyle w:val="Compact"/>
              <w:jc w:val="center"/>
            </w:pPr>
            <w:r>
              <w:t xml:space="preserve">4493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17843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1993</w:t>
            </w:r>
          </w:p>
        </w:tc>
        <w:tc>
          <w:p>
            <w:pPr>
              <w:pStyle w:val="Compact"/>
              <w:jc w:val="center"/>
            </w:pPr>
            <w:r>
              <w:t xml:space="preserve">1135</w:t>
            </w:r>
          </w:p>
        </w:tc>
        <w:tc>
          <w:p>
            <w:pPr>
              <w:pStyle w:val="Compact"/>
              <w:jc w:val="center"/>
            </w:pPr>
            <w:r>
              <w:t xml:space="preserve">4917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13395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1994</w:t>
            </w:r>
          </w:p>
        </w:tc>
        <w:tc>
          <w:p>
            <w:pPr>
              <w:pStyle w:val="Compact"/>
              <w:jc w:val="center"/>
            </w:pPr>
            <w:r>
              <w:t xml:space="preserve">1285</w:t>
            </w:r>
          </w:p>
        </w:tc>
        <w:tc>
          <w:p>
            <w:pPr>
              <w:pStyle w:val="Compact"/>
              <w:jc w:val="center"/>
            </w:pPr>
            <w:r>
              <w:t xml:space="preserve">2081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20804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1995</w:t>
            </w:r>
          </w:p>
        </w:tc>
        <w:tc>
          <w:p>
            <w:pPr>
              <w:pStyle w:val="Compact"/>
              <w:jc w:val="center"/>
            </w:pPr>
            <w:r>
              <w:t xml:space="preserve">1282</w:t>
            </w:r>
          </w:p>
        </w:tc>
        <w:tc>
          <w:p>
            <w:pPr>
              <w:pStyle w:val="Compact"/>
              <w:jc w:val="center"/>
            </w:pPr>
            <w:r>
              <w:t xml:space="preserve">7133</w:t>
            </w:r>
          </w:p>
        </w:tc>
        <w:tc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9603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1996</w:t>
            </w:r>
          </w:p>
        </w:tc>
        <w:tc>
          <w:p>
            <w:pPr>
              <w:pStyle w:val="Compact"/>
              <w:jc w:val="center"/>
            </w:pPr>
            <w:r>
              <w:t xml:space="preserve">1563</w:t>
            </w:r>
          </w:p>
        </w:tc>
        <w:tc>
          <w:p>
            <w:pPr>
              <w:pStyle w:val="Compact"/>
              <w:jc w:val="center"/>
            </w:pPr>
            <w:r>
              <w:t xml:space="preserve">7304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1396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3346</w:t>
            </w:r>
          </w:p>
        </w:tc>
        <w:tc>
          <w:p>
            <w:pPr>
              <w:pStyle w:val="Compact"/>
              <w:jc w:val="center"/>
            </w:pPr>
            <w:r>
              <w:t xml:space="preserve">7280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1124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p>
            <w:pPr>
              <w:pStyle w:val="Compact"/>
              <w:jc w:val="center"/>
            </w:pPr>
            <w:r>
              <w:t xml:space="preserve">1974</w:t>
            </w:r>
          </w:p>
        </w:tc>
        <w:tc>
          <w:p>
            <w:pPr>
              <w:pStyle w:val="Compact"/>
              <w:jc w:val="center"/>
            </w:pPr>
            <w:r>
              <w:t xml:space="preserve">6873</w:t>
            </w:r>
          </w:p>
        </w:tc>
        <w:tc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p>
            <w:pPr>
              <w:pStyle w:val="Compact"/>
              <w:jc w:val="center"/>
            </w:pPr>
            <w:r>
              <w:t xml:space="preserve">192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14316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1999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4815</w:t>
            </w:r>
          </w:p>
        </w:tc>
        <w:tc>
          <w:p>
            <w:pPr>
              <w:pStyle w:val="Compact"/>
              <w:jc w:val="center"/>
            </w:pPr>
            <w:r>
              <w:t xml:space="preserve">5166</w:t>
            </w:r>
          </w:p>
        </w:tc>
        <w:tc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3490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p>
            <w:pPr>
              <w:pStyle w:val="Compact"/>
              <w:jc w:val="center"/>
            </w:pPr>
            <w:r>
              <w:t xml:space="preserve">4074</w:t>
            </w:r>
          </w:p>
        </w:tc>
        <w:tc>
          <w:p>
            <w:pPr>
              <w:pStyle w:val="Compact"/>
              <w:jc w:val="center"/>
            </w:pPr>
            <w:r>
              <w:t xml:space="preserve">4353</w:t>
            </w:r>
          </w:p>
        </w:tc>
        <w:tc>
          <w:p>
            <w:pPr>
              <w:pStyle w:val="Compact"/>
              <w:jc w:val="center"/>
            </w:pPr>
            <w:r>
              <w:t xml:space="preserve">6586</w:t>
            </w:r>
          </w:p>
        </w:tc>
        <w:tc>
          <w:p>
            <w:pPr>
              <w:pStyle w:val="Compact"/>
              <w:jc w:val="center"/>
            </w:pPr>
            <w:r>
              <w:t xml:space="preserve">354</w:t>
            </w:r>
          </w:p>
        </w:tc>
        <w:tc>
          <w:p>
            <w:pPr>
              <w:pStyle w:val="Compact"/>
              <w:jc w:val="center"/>
            </w:pPr>
            <w:r>
              <w:t xml:space="preserve">436</w:t>
            </w:r>
          </w:p>
        </w:tc>
        <w:tc>
          <w:p>
            <w:pPr>
              <w:pStyle w:val="Compact"/>
              <w:jc w:val="center"/>
            </w:pPr>
            <w:r>
              <w:t xml:space="preserve">1682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p>
            <w:pPr>
              <w:pStyle w:val="Compact"/>
              <w:jc w:val="center"/>
            </w:pPr>
            <w:r>
              <w:t xml:space="preserve">8589</w:t>
            </w:r>
          </w:p>
        </w:tc>
        <w:tc>
          <w:p>
            <w:pPr>
              <w:pStyle w:val="Compact"/>
              <w:jc w:val="center"/>
            </w:pPr>
            <w:r>
              <w:t xml:space="preserve">10375</w:t>
            </w:r>
          </w:p>
        </w:tc>
        <w:tc>
          <w:p>
            <w:pPr>
              <w:pStyle w:val="Compact"/>
              <w:jc w:val="center"/>
            </w:pPr>
            <w:r>
              <w:t xml:space="preserve">6609</w:t>
            </w:r>
          </w:p>
        </w:tc>
        <w:tc>
          <w:p>
            <w:pPr>
              <w:pStyle w:val="Compact"/>
              <w:jc w:val="center"/>
            </w:pPr>
            <w:r>
              <w:t xml:space="preserve">1060</w:t>
            </w:r>
          </w:p>
        </w:tc>
        <w:tc>
          <w:p>
            <w:pPr>
              <w:pStyle w:val="Compact"/>
              <w:jc w:val="center"/>
            </w:pPr>
            <w:r>
              <w:t xml:space="preserve">454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5324</w:t>
            </w:r>
          </w:p>
        </w:tc>
        <w:tc>
          <w:p>
            <w:pPr>
              <w:pStyle w:val="Compact"/>
              <w:jc w:val="center"/>
            </w:pPr>
            <w:r>
              <w:t xml:space="preserve">7858</w:t>
            </w:r>
          </w:p>
        </w:tc>
        <w:tc>
          <w:p>
            <w:pPr>
              <w:pStyle w:val="Compact"/>
              <w:jc w:val="center"/>
            </w:pPr>
            <w:r>
              <w:t xml:space="preserve">1905</w:t>
            </w:r>
          </w:p>
        </w:tc>
        <w:tc>
          <w:p>
            <w:pPr>
              <w:pStyle w:val="Compact"/>
              <w:jc w:val="center"/>
            </w:pPr>
            <w:r>
              <w:t xml:space="preserve">2652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p>
            <w:pPr>
              <w:pStyle w:val="Compact"/>
              <w:jc w:val="center"/>
            </w:pPr>
            <w:r>
              <w:t xml:space="preserve">6594</w:t>
            </w:r>
          </w:p>
        </w:tc>
        <w:tc>
          <w:p>
            <w:pPr>
              <w:pStyle w:val="Compact"/>
              <w:jc w:val="center"/>
            </w:pPr>
            <w:r>
              <w:t xml:space="preserve">4358</w:t>
            </w:r>
          </w:p>
        </w:tc>
        <w:tc>
          <w:p>
            <w:pPr>
              <w:pStyle w:val="Compact"/>
              <w:jc w:val="center"/>
            </w:pPr>
            <w:r>
              <w:t xml:space="preserve">6897</w:t>
            </w:r>
          </w:p>
        </w:tc>
        <w:tc>
          <w:p>
            <w:pPr>
              <w:pStyle w:val="Compact"/>
              <w:jc w:val="center"/>
            </w:pPr>
            <w:r>
              <w:t xml:space="preserve">2580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p>
            <w:pPr>
              <w:pStyle w:val="Compact"/>
              <w:jc w:val="center"/>
            </w:pPr>
            <w:r>
              <w:t xml:space="preserve">6681</w:t>
            </w:r>
          </w:p>
        </w:tc>
        <w:tc>
          <w:p>
            <w:pPr>
              <w:pStyle w:val="Compact"/>
              <w:jc w:val="center"/>
            </w:pPr>
            <w:r>
              <w:t xml:space="preserve">2681</w:t>
            </w:r>
          </w:p>
        </w:tc>
        <w:tc>
          <w:p>
            <w:pPr>
              <w:pStyle w:val="Compact"/>
              <w:jc w:val="center"/>
            </w:pPr>
            <w:r>
              <w:t xml:space="preserve">2187</w:t>
            </w:r>
          </w:p>
        </w:tc>
        <w:tc>
          <w:p>
            <w:pPr>
              <w:pStyle w:val="Compact"/>
              <w:jc w:val="center"/>
            </w:pPr>
            <w:r>
              <w:t xml:space="preserve">6195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742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11113</w:t>
            </w:r>
          </w:p>
        </w:tc>
        <w:tc>
          <w:p>
            <w:pPr>
              <w:pStyle w:val="Compact"/>
              <w:jc w:val="center"/>
            </w:pPr>
            <w:r>
              <w:t xml:space="preserve">3631</w:t>
            </w:r>
          </w:p>
        </w:tc>
        <w:tc>
          <w:p>
            <w:pPr>
              <w:pStyle w:val="Compact"/>
              <w:jc w:val="center"/>
            </w:pPr>
            <w:r>
              <w:t xml:space="preserve">2231</w:t>
            </w:r>
          </w:p>
        </w:tc>
        <w:tc>
          <w:p>
            <w:pPr>
              <w:pStyle w:val="Compact"/>
              <w:jc w:val="center"/>
            </w:pPr>
            <w:r>
              <w:t xml:space="preserve">2083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12965</w:t>
            </w:r>
          </w:p>
        </w:tc>
        <w:tc>
          <w:p>
            <w:pPr>
              <w:pStyle w:val="Compact"/>
              <w:jc w:val="center"/>
            </w:pPr>
            <w:r>
              <w:t xml:space="preserve">1925</w:t>
            </w:r>
          </w:p>
        </w:tc>
        <w:tc>
          <w:p>
            <w:pPr>
              <w:pStyle w:val="Compact"/>
              <w:jc w:val="center"/>
            </w:pPr>
            <w:r>
              <w:t xml:space="preserve">2287</w:t>
            </w:r>
          </w:p>
        </w:tc>
        <w:tc>
          <w:p>
            <w:pPr>
              <w:pStyle w:val="Compact"/>
              <w:jc w:val="center"/>
            </w:pPr>
            <w:r>
              <w:t xml:space="preserve">698</w:t>
            </w:r>
          </w:p>
        </w:tc>
        <w:tc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8865</w:t>
            </w:r>
          </w:p>
        </w:tc>
        <w:tc>
          <w:p>
            <w:pPr>
              <w:pStyle w:val="Compact"/>
              <w:jc w:val="center"/>
            </w:pPr>
            <w:r>
              <w:t xml:space="preserve">2654</w:t>
            </w:r>
          </w:p>
        </w:tc>
        <w:tc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8665</w:t>
            </w:r>
          </w:p>
        </w:tc>
        <w:tc>
          <w:p>
            <w:pPr>
              <w:pStyle w:val="Compact"/>
              <w:jc w:val="center"/>
            </w:pPr>
            <w:r>
              <w:t xml:space="preserve">3470</w:t>
            </w:r>
          </w:p>
        </w:tc>
        <w:tc>
          <w:p>
            <w:pPr>
              <w:pStyle w:val="Compact"/>
              <w:jc w:val="center"/>
            </w:pPr>
            <w:r>
              <w:t xml:space="preserve">2073</w:t>
            </w:r>
          </w:p>
        </w:tc>
        <w:tc>
          <w:p>
            <w:pPr>
              <w:pStyle w:val="Compact"/>
              <w:jc w:val="center"/>
            </w:pPr>
            <w:r>
              <w:t xml:space="preserve">875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4135</w:t>
            </w:r>
          </w:p>
        </w:tc>
        <w:tc>
          <w:p>
            <w:pPr>
              <w:pStyle w:val="Compact"/>
              <w:jc w:val="center"/>
            </w:pPr>
            <w:r>
              <w:t xml:space="preserve">2541</w:t>
            </w:r>
          </w:p>
        </w:tc>
        <w:tc>
          <w:p>
            <w:pPr>
              <w:pStyle w:val="Compact"/>
              <w:jc w:val="center"/>
            </w:pPr>
            <w:r>
              <w:t xml:space="preserve">3406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850</w:t>
            </w:r>
          </w:p>
        </w:tc>
        <w:tc>
          <w:p>
            <w:pPr>
              <w:pStyle w:val="Compact"/>
              <w:jc w:val="center"/>
            </w:pPr>
            <w:r>
              <w:t xml:space="preserve">2521</w:t>
            </w:r>
          </w:p>
        </w:tc>
        <w:tc>
          <w:p>
            <w:pPr>
              <w:pStyle w:val="Compact"/>
              <w:jc w:val="center"/>
            </w:pPr>
            <w:r>
              <w:t xml:space="preserve">6645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center"/>
            </w:pPr>
            <w:r>
              <w:t xml:space="preserve">3604</w:t>
            </w:r>
          </w:p>
        </w:tc>
        <w:tc>
          <w:p>
            <w:pPr>
              <w:pStyle w:val="Compact"/>
              <w:jc w:val="center"/>
            </w:pPr>
            <w:r>
              <w:t xml:space="preserve">513</w:t>
            </w:r>
          </w:p>
        </w:tc>
        <w:tc>
          <w:p>
            <w:pPr>
              <w:pStyle w:val="Compact"/>
              <w:jc w:val="center"/>
            </w:pPr>
            <w:r>
              <w:t xml:space="preserve">983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444</w:t>
            </w:r>
          </w:p>
        </w:tc>
        <w:tc>
          <w:p>
            <w:pPr>
              <w:pStyle w:val="Compact"/>
              <w:jc w:val="center"/>
            </w:pPr>
            <w:r>
              <w:t xml:space="preserve">4423</w:t>
            </w:r>
          </w:p>
        </w:tc>
        <w:tc>
          <w:p>
            <w:pPr>
              <w:pStyle w:val="Compact"/>
              <w:jc w:val="center"/>
            </w:pPr>
            <w:r>
              <w:t xml:space="preserve">1439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1768</w:t>
            </w:r>
          </w:p>
        </w:tc>
        <w:tc>
          <w:p>
            <w:pPr>
              <w:pStyle w:val="Compact"/>
              <w:jc w:val="center"/>
            </w:pPr>
            <w:r>
              <w:t xml:space="preserve">3722</w:t>
            </w:r>
          </w:p>
        </w:tc>
        <w:tc>
          <w:p>
            <w:pPr>
              <w:pStyle w:val="Compact"/>
              <w:jc w:val="center"/>
            </w:pPr>
            <w:r>
              <w:t xml:space="preserve">1804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p>
            <w:pPr>
              <w:pStyle w:val="Compact"/>
              <w:jc w:val="center"/>
            </w:pPr>
            <w:r>
              <w:t xml:space="preserve">3889</w:t>
            </w:r>
          </w:p>
        </w:tc>
        <w:tc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953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p>
            <w:pPr>
              <w:pStyle w:val="Compact"/>
              <w:jc w:val="center"/>
            </w:pPr>
            <w:r>
              <w:t xml:space="preserve">4293</w:t>
            </w:r>
          </w:p>
        </w:tc>
        <w:tc>
          <w:p>
            <w:pPr>
              <w:pStyle w:val="Compact"/>
              <w:jc w:val="center"/>
            </w:pPr>
            <w:r>
              <w:t xml:space="preserve">1137</w:t>
            </w:r>
          </w:p>
        </w:tc>
        <w:tc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p>
            <w:pPr>
              <w:pStyle w:val="Compact"/>
              <w:jc w:val="center"/>
            </w:pPr>
            <w:r>
              <w:t xml:space="preserve">1551</w:t>
            </w:r>
          </w:p>
        </w:tc>
        <w:tc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863</w:t>
            </w:r>
          </w:p>
        </w:tc>
        <w:tc>
          <w:p>
            <w:pPr>
              <w:pStyle w:val="Compact"/>
              <w:jc w:val="center"/>
            </w:pPr>
            <w:r>
              <w:t xml:space="preserve">9389</w:t>
            </w:r>
          </w:p>
        </w:tc>
        <w:tc>
          <w:p>
            <w:pPr>
              <w:pStyle w:val="Compact"/>
              <w:jc w:val="center"/>
            </w:pPr>
            <w:r>
              <w:t xml:space="preserve">4697</w:t>
            </w:r>
          </w:p>
        </w:tc>
        <w:tc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p>
            <w:pPr>
              <w:pStyle w:val="Compact"/>
              <w:jc w:val="center"/>
            </w:pPr>
            <w:r>
              <w:t xml:space="preserve">1941</w:t>
            </w:r>
          </w:p>
        </w:tc>
        <w:tc>
          <w:p>
            <w:pPr>
              <w:pStyle w:val="Compact"/>
              <w:jc w:val="center"/>
            </w:pPr>
            <w:r>
              <w:t xml:space="preserve">2286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726</w:t>
            </w:r>
          </w:p>
        </w:tc>
        <w:tc>
          <w:p>
            <w:pPr>
              <w:pStyle w:val="Compact"/>
              <w:jc w:val="center"/>
            </w:pPr>
            <w:r>
              <w:t xml:space="preserve">7623</w:t>
            </w:r>
          </w:p>
        </w:tc>
        <w:tc>
          <w:p>
            <w:pPr>
              <w:pStyle w:val="Compact"/>
              <w:jc w:val="center"/>
            </w:pPr>
            <w:r>
              <w:t xml:space="preserve">1349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1095</w:t>
            </w:r>
          </w:p>
        </w:tc>
        <w:tc>
          <w:p>
            <w:pPr>
              <w:pStyle w:val="Compact"/>
              <w:jc w:val="center"/>
            </w:pPr>
            <w:r>
              <w:t xml:space="preserve">2459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p>
            <w:pPr>
              <w:pStyle w:val="Compact"/>
              <w:jc w:val="center"/>
            </w:pPr>
            <w:r>
              <w:t xml:space="preserve">8141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490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873</w:t>
            </w:r>
          </w:p>
        </w:tc>
        <w:tc>
          <w:p>
            <w:pPr>
              <w:pStyle w:val="Compact"/>
              <w:jc w:val="center"/>
            </w:pPr>
            <w:r>
              <w:t xml:space="preserve">6430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* Only catches from 2002 to 2019 were revised by all countries for the benchmark in 2021. Therefore, catches prior 2002 were excluded from Figure 1.</w:t>
      </w:r>
      <w:r>
        <w:br/>
      </w:r>
      <w:r>
        <w:t xml:space="preserve">** French catches from ICES rectangles 25E5 and 25E4 are not included.</w:t>
      </w:r>
    </w:p>
    <w:bookmarkEnd w:id="33"/>
    <w:bookmarkStart w:id="34" w:name="summary-of-the-assessment"/>
    <w:p>
      <w:pPr>
        <w:pStyle w:val="Heading2"/>
      </w:pPr>
      <w:r>
        <w:t xml:space="preserve">Summary of the assessment</w:t>
      </w:r>
    </w:p>
    <w:p>
      <w:pPr>
        <w:pStyle w:val="TableCaption"/>
      </w:pPr>
      <w:r>
        <w:t xml:space="preserve">Table 8 Sardine in Subarea 7. Assessment summary. The high and low columns represent the 95% confidence intervals of the biomass index. All values are in tonnes.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8 Sardine in Subarea 7. Assessment summary. The high and low columns represent the 95% confidence intervals of the biomass index. All values are in tonnes."/>
      </w:tblPr>
      <w:tblGrid>
        <w:gridCol w:w="630"/>
        <w:gridCol w:w="2430"/>
        <w:gridCol w:w="810"/>
        <w:gridCol w:w="810"/>
        <w:gridCol w:w="990"/>
        <w:gridCol w:w="990"/>
        <w:gridCol w:w="1260"/>
      </w:tblGrid>
      <w:tr>
        <w:tc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p>
            <w:pPr>
              <w:pStyle w:val="Compact"/>
              <w:jc w:val="center"/>
            </w:pPr>
            <w:r>
              <w:t xml:space="preserve">Biomass index total area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Landings</w:t>
            </w:r>
          </w:p>
        </w:tc>
        <w:tc>
          <w:p>
            <w:pPr>
              <w:pStyle w:val="Compact"/>
              <w:jc w:val="center"/>
            </w:pPr>
            <w:r>
              <w:t xml:space="preserve">Discards</w:t>
            </w:r>
          </w:p>
        </w:tc>
        <w:tc>
          <w:p>
            <w:pPr>
              <w:pStyle w:val="Compact"/>
              <w:jc w:val="center"/>
            </w:pPr>
            <w:r>
              <w:t xml:space="preserve">BMS landing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29287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23276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14488</w:t>
            </w:r>
          </w:p>
        </w:tc>
        <w:tc>
          <w:p>
            <w:pPr>
              <w:pStyle w:val="Compact"/>
              <w:jc w:val="center"/>
            </w:pPr>
            <w:r>
              <w:t xml:space="preserve">737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17354</w:t>
            </w:r>
          </w:p>
        </w:tc>
        <w:tc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17994</w:t>
            </w:r>
          </w:p>
        </w:tc>
        <w:tc>
          <w:p>
            <w:pPr>
              <w:pStyle w:val="Compact"/>
              <w:jc w:val="center"/>
            </w:pPr>
            <w:r>
              <w:t xml:space="preserve">785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11108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14675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9957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10017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6337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7075</w:t>
            </w:r>
          </w:p>
        </w:tc>
        <w:tc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7891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6157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9783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19634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176696</w:t>
            </w:r>
          </w:p>
        </w:tc>
        <w:tc>
          <w:p>
            <w:pPr>
              <w:pStyle w:val="Compact"/>
              <w:jc w:val="center"/>
            </w:pPr>
            <w:r>
              <w:t xml:space="preserve">248358</w:t>
            </w:r>
          </w:p>
        </w:tc>
        <w:tc>
          <w:p>
            <w:pPr>
              <w:pStyle w:val="Compact"/>
              <w:jc w:val="center"/>
            </w:pPr>
            <w:r>
              <w:t xml:space="preserve">105035</w:t>
            </w:r>
          </w:p>
        </w:tc>
        <w:tc>
          <w:p>
            <w:pPr>
              <w:pStyle w:val="Compact"/>
              <w:jc w:val="center"/>
            </w:pPr>
            <w:r>
              <w:t xml:space="preserve">12662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143845</w:t>
            </w:r>
          </w:p>
        </w:tc>
        <w:tc>
          <w:p>
            <w:pPr>
              <w:pStyle w:val="Compact"/>
              <w:jc w:val="center"/>
            </w:pPr>
            <w:r>
              <w:t xml:space="preserve">178548</w:t>
            </w:r>
          </w:p>
        </w:tc>
        <w:tc>
          <w:p>
            <w:pPr>
              <w:pStyle w:val="Compact"/>
              <w:jc w:val="center"/>
            </w:pPr>
            <w:r>
              <w:t xml:space="preserve">109141</w:t>
            </w:r>
          </w:p>
        </w:tc>
        <w:tc>
          <w:p>
            <w:pPr>
              <w:pStyle w:val="Compact"/>
              <w:jc w:val="center"/>
            </w:pPr>
            <w:r>
              <w:t xml:space="preserve">10670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358028</w:t>
            </w:r>
          </w:p>
        </w:tc>
        <w:tc>
          <w:p>
            <w:pPr>
              <w:pStyle w:val="Compact"/>
              <w:jc w:val="center"/>
            </w:pPr>
            <w:r>
              <w:t xml:space="preserve">490975</w:t>
            </w:r>
          </w:p>
        </w:tc>
        <w:tc>
          <w:p>
            <w:pPr>
              <w:pStyle w:val="Compact"/>
              <w:jc w:val="center"/>
            </w:pPr>
            <w:r>
              <w:t xml:space="preserve">225081</w:t>
            </w:r>
          </w:p>
        </w:tc>
        <w:tc>
          <w:p>
            <w:pPr>
              <w:pStyle w:val="Compact"/>
              <w:jc w:val="center"/>
            </w:pPr>
            <w:r>
              <w:t xml:space="preserve">7317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620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285564</w:t>
            </w:r>
          </w:p>
        </w:tc>
        <w:tc>
          <w:p>
            <w:pPr>
              <w:pStyle w:val="Compact"/>
              <w:jc w:val="center"/>
            </w:pPr>
            <w:r>
              <w:t xml:space="preserve">402929</w:t>
            </w:r>
          </w:p>
        </w:tc>
        <w:tc>
          <w:p>
            <w:pPr>
              <w:pStyle w:val="Compact"/>
              <w:jc w:val="center"/>
            </w:pPr>
            <w:r>
              <w:t xml:space="preserve">168200</w:t>
            </w:r>
          </w:p>
        </w:tc>
        <w:tc>
          <w:p>
            <w:pPr>
              <w:pStyle w:val="Compact"/>
              <w:jc w:val="center"/>
            </w:pPr>
            <w:r>
              <w:t xml:space="preserve">12852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212772</w:t>
            </w:r>
          </w:p>
        </w:tc>
        <w:tc>
          <w:p>
            <w:pPr>
              <w:pStyle w:val="Compact"/>
              <w:jc w:val="center"/>
            </w:pPr>
            <w:r>
              <w:t xml:space="preserve">292836</w:t>
            </w:r>
          </w:p>
        </w:tc>
        <w:tc>
          <w:p>
            <w:pPr>
              <w:pStyle w:val="Compact"/>
              <w:jc w:val="center"/>
            </w:pPr>
            <w:r>
              <w:t xml:space="preserve">132707</w:t>
            </w:r>
          </w:p>
        </w:tc>
        <w:tc>
          <w:p/>
        </w:tc>
        <w:tc>
          <w:p/>
        </w:tc>
        <w:tc>
          <w:p/>
        </w:tc>
      </w:tr>
    </w:tbl>
    <w:p>
      <w:r>
        <w:br w:type="page"/>
      </w:r>
    </w:p>
    <w:bookmarkEnd w:id="34"/>
    <w:bookmarkStart w:id="43" w:name="sources-and-references"/>
    <w:p>
      <w:pPr>
        <w:pStyle w:val="Heading2"/>
      </w:pPr>
      <w:r>
        <w:t xml:space="preserve">Sources and references</w:t>
      </w:r>
    </w:p>
    <w:p>
      <w:pPr>
        <w:pStyle w:val="FirstParagraph"/>
      </w:pPr>
      <w:r>
        <w:t xml:space="preserve">ICES. 2012. ICES Implementation of Advice for Data-limited Stocks in 2012 in its 2012 Advice. ICES CM 2012/ACOM:68.</w:t>
      </w:r>
      <w:r>
        <w:t xml:space="preserve"> </w:t>
      </w:r>
      <w:r>
        <w:t xml:space="preserve">42 pp. </w:t>
      </w:r>
      <w:hyperlink r:id="rId35">
        <w:r>
          <w:rPr>
            <w:rStyle w:val="Hyperlink"/>
          </w:rPr>
          <w:t xml:space="preserve">https://doi.org/10.17895/ices.pub.5322</w:t>
        </w:r>
      </w:hyperlink>
      <w:r>
        <w:br/>
      </w:r>
      <w:r>
        <w:br/>
      </w:r>
      <w:r>
        <w:t xml:space="preserve">ICES. 2020a. Tenth Workshop on the Development of Quantitative Assessment Methodologies based on LIFE-history traits,</w:t>
      </w:r>
      <w:r>
        <w:t xml:space="preserve"> </w:t>
      </w:r>
      <w:r>
        <w:t xml:space="preserve">exploitation characteristics, and other relevant parameters for data-limited stocks(WKLIFE X). ICES Scientific Reports. 2:98.</w:t>
      </w:r>
      <w:r>
        <w:t xml:space="preserve"> </w:t>
      </w:r>
      <w:r>
        <w:t xml:space="preserve">72 pp. </w:t>
      </w:r>
      <w:hyperlink r:id="rId36">
        <w:r>
          <w:rPr>
            <w:rStyle w:val="Hyperlink"/>
          </w:rPr>
          <w:t xml:space="preserve">http://doi.org/10.17895/ices.pub.5985</w:t>
        </w:r>
      </w:hyperlink>
      <w:r>
        <w:br/>
      </w:r>
      <w:r>
        <w:br/>
      </w:r>
      <w:r>
        <w:t xml:space="preserve">ICES. 2020b. Workshop on Data-limited Stocks of Short-Lived Species (WKDLSSLS2). ICES Scientific Reports. 2:99. 119 pp.</w:t>
      </w:r>
      <w:r>
        <w:t xml:space="preserve"> </w:t>
      </w:r>
      <w:hyperlink r:id="rId37">
        <w:r>
          <w:rPr>
            <w:rStyle w:val="Hyperlink"/>
          </w:rPr>
          <w:t xml:space="preserve">http://doi.org/10.17895/ices.pub.5984</w:t>
        </w:r>
      </w:hyperlink>
      <w:r>
        <w:br/>
      </w:r>
      <w:r>
        <w:br/>
      </w:r>
      <w:r>
        <w:t xml:space="preserve">ICES. 2021a. Benchmark Workshop on selected stocks in the Western Waters in 2021 (WKWEST). ICES Scientific Reports.</w:t>
      </w:r>
      <w:r>
        <w:t xml:space="preserve"> </w:t>
      </w:r>
      <w:r>
        <w:t xml:space="preserve">3:31. 504 pp. </w:t>
      </w:r>
      <w:hyperlink r:id="rId38">
        <w:r>
          <w:rPr>
            <w:rStyle w:val="Hyperlink"/>
          </w:rPr>
          <w:t xml:space="preserve">https://doi.org/10.17895/ices.pub.8137</w:t>
        </w:r>
      </w:hyperlink>
      <w:r>
        <w:br/>
      </w:r>
      <w:r>
        <w:br/>
      </w:r>
      <w:r>
        <w:t xml:space="preserve">ICES. 2021b. Working Group on Southern Horse Mackerel Anchovy and Sardine (WGHANSA). ICES Scientific Reports. 3:55.</w:t>
      </w:r>
      <w:r>
        <w:t xml:space="preserve"> </w:t>
      </w:r>
      <w:r>
        <w:t xml:space="preserve">679 pp. </w:t>
      </w:r>
      <w:hyperlink r:id="rId39">
        <w:r>
          <w:rPr>
            <w:rStyle w:val="Hyperlink"/>
          </w:rPr>
          <w:t xml:space="preserve">https://doi.org/10.17895/ices.pub.8138</w:t>
        </w:r>
      </w:hyperlink>
      <w:r>
        <w:br/>
      </w:r>
      <w:r>
        <w:br/>
      </w:r>
      <w:r>
        <w:t xml:space="preserve">ICES. 2021c. Advice on fishing opportunities. In Report of the ICES Advisory Committee, 2021. ICES Advice 2021, section</w:t>
      </w:r>
      <w:r>
        <w:t xml:space="preserve"> </w:t>
      </w:r>
      <w:r>
        <w:t xml:space="preserve">1.1.1.</w:t>
      </w:r>
      <w:r>
        <w:t xml:space="preserve"> </w:t>
      </w:r>
      <w:hyperlink r:id="rId40">
        <w:r>
          <w:rPr>
            <w:rStyle w:val="Hyperlink"/>
          </w:rPr>
          <w:t xml:space="preserve">https://doi.org/10.17895/ices.advice.7720</w:t>
        </w:r>
      </w:hyperlink>
      <w:r>
        <w:br/>
      </w:r>
      <w:r>
        <w:br/>
      </w:r>
      <w:r>
        <w:t xml:space="preserve">ICES. 2021d. Workshop on Data-Limited Stocks of Short-Lived Species (WKDLSSLS3). ICES Scientific Reports. 3:86. 60pp.</w:t>
      </w:r>
      <w:r>
        <w:t xml:space="preserve"> </w:t>
      </w:r>
      <w:hyperlink r:id="rId41">
        <w:r>
          <w:rPr>
            <w:rStyle w:val="Hyperlink"/>
          </w:rPr>
          <w:t xml:space="preserve">https://doi.org/10.17895/ices.pub.8145</w:t>
        </w:r>
      </w:hyperlink>
      <w:r>
        <w:br/>
      </w:r>
      <w:r>
        <w:br/>
      </w:r>
      <w:r>
        <w:br/>
      </w:r>
    </w:p>
    <w:p>
      <w:pPr>
        <w:pStyle w:val="BodyText"/>
      </w:pPr>
      <w:r>
        <w:t xml:space="preserve">Download the stock assessment data and figures.</w:t>
      </w:r>
      <w:r>
        <w:br/>
      </w:r>
      <w:r>
        <w:br/>
      </w:r>
      <w:r>
        <w:t xml:space="preserve">Recommended citation: ICES. 2021. Sardine (Sardina pilchardus) in Subarea 7 (Southern Celtic Seas, English Channel).</w:t>
      </w:r>
      <w:r>
        <w:t xml:space="preserve"> </w:t>
      </w:r>
      <w:r>
        <w:t xml:space="preserve">In Report of the ICES Advisory Committee, 2021. ICES Advice 2021, pil.27.7,</w:t>
      </w:r>
      <w:r>
        <w:t xml:space="preserve"> </w:t>
      </w:r>
      <w:hyperlink r:id="rId42">
        <w:r>
          <w:rPr>
            <w:rStyle w:val="Hyperlink"/>
          </w:rPr>
          <w:t xml:space="preserve">https://doi.org/10.17895/ices.advice.7814</w:t>
        </w:r>
      </w:hyperlink>
    </w:p>
    <w:bookmarkEnd w:id="43"/>
    <w:bookmarkEnd w:id="44"/>
    <w:sectPr w:rsidR="00684909" w:rsidRPr="00A34E63" w:rsidSect="001E0B45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B4C3" w14:textId="77777777" w:rsidR="00A0153B" w:rsidRDefault="00684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F05A" w14:textId="77777777" w:rsidR="008A1A76" w:rsidRDefault="00644D93">
    <w:pPr>
      <w:pStyle w:val="Footer"/>
    </w:pPr>
    <w:r>
      <w:rPr>
        <w:i/>
        <w:iCs/>
        <w:szCs w:val="18"/>
      </w:rPr>
      <w:t>ICES Advice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5F56" w14:textId="77777777" w:rsidR="00A0153B" w:rsidRDefault="0068490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DED5" w14:textId="77777777" w:rsidR="00A0153B" w:rsidRDefault="00684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088B" w14:textId="77777777" w:rsidR="00E702F2" w:rsidRPr="0004401D" w:rsidRDefault="00644D93" w:rsidP="00E702F2">
    <w:pPr>
      <w:pStyle w:val="Header"/>
      <w:tabs>
        <w:tab w:val="right" w:pos="9809"/>
      </w:tabs>
      <w:rPr>
        <w:rFonts w:cs="Times New Roman"/>
        <w:i/>
        <w:szCs w:val="18"/>
      </w:rPr>
    </w:pPr>
    <w:bookmarkStart w:id="0" w:name="STOCK_CODE_HEADER_2"/>
    <w:bookmarkEnd w:id="0"/>
    <w:r w:rsidRPr="0004401D">
      <w:rPr>
        <w:rFonts w:cs="Times New Roman"/>
        <w:i/>
        <w:szCs w:val="18"/>
      </w:rPr>
      <w:t>ICES Advice on fishing opportunities, catch</w:t>
    </w:r>
    <w:r>
      <w:rPr>
        <w:rFonts w:cs="Times New Roman"/>
        <w:i/>
        <w:szCs w:val="18"/>
      </w:rPr>
      <w:t>,</w:t>
    </w:r>
    <w:r w:rsidRPr="0004401D">
      <w:rPr>
        <w:rFonts w:cs="Times New Roman"/>
        <w:i/>
        <w:szCs w:val="18"/>
      </w:rPr>
      <w:t xml:space="preserve"> and effort</w:t>
    </w:r>
    <w:r w:rsidRPr="0004401D">
      <w:rPr>
        <w:rFonts w:cs="Times New Roman"/>
        <w:i/>
        <w:szCs w:val="18"/>
      </w:rPr>
      <w:tab/>
    </w:r>
  </w:p>
  <w:p w14:paraId="3E339E5A" w14:textId="77777777" w:rsidR="00E702F2" w:rsidRDefault="00644D93" w:rsidP="00E702F2">
    <w:pPr>
      <w:spacing w:before="20" w:after="20"/>
      <w:ind w:left="20" w:right="20"/>
    </w:pPr>
    <w:r>
      <w:rPr>
        <w:i/>
        <w:color w:val="000000"/>
      </w:rPr>
      <w:t>pil.27.7</w:t>
    </w:r>
  </w:p>
  <w:p w14:paraId="5D4EC539" w14:textId="77777777" w:rsidR="00E2278E" w:rsidRPr="00E702F2" w:rsidRDefault="00684909" w:rsidP="00E702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B36A" w14:textId="77777777" w:rsidR="00A0153B" w:rsidRDefault="006849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5FB8A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AE401"/>
    <w:multiLevelType w:val="multilevel"/>
    <w:tmpl w:val="BB52B9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E2A4954"/>
    <w:multiLevelType w:val="multilevel"/>
    <w:tmpl w:val="A3BAC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90575792">
    <w:abstractNumId w:val="0"/>
  </w:num>
  <w:num w:numId="2" w16cid:durableId="2044673964">
    <w:abstractNumId w:val="2"/>
  </w:num>
  <w:num w:numId="3" w16cid:durableId="2139490240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7876"/>
    <w:rPr>
      <w:rFonts w:ascii="Palatino Linotype" w:hAnsi="Palatino Linotype"/>
      <w:sz w:val="18"/>
    </w:rPr>
  </w:style>
  <w:style w:type="paragraph" w:styleId="Heading1">
    <w:name w:val="heading 1"/>
    <w:basedOn w:val="Normal"/>
    <w:next w:val="BodyText"/>
    <w:uiPriority w:val="9"/>
    <w:qFormat/>
    <w:rsid w:val="00007876"/>
    <w:pPr>
      <w:keepNext/>
      <w:keepLines/>
      <w:spacing w:before="480" w:after="0"/>
      <w:outlineLvl w:val="0"/>
    </w:pPr>
    <w:rPr>
      <w:rFonts w:ascii="Futura Md BT" w:eastAsiaTheme="majorEastAsia" w:hAnsi="Futura Md BT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5223"/>
    <w:pPr>
      <w:keepNext/>
      <w:keepLines/>
      <w:shd w:val="clear" w:color="auto" w:fill="9EBEBC"/>
      <w:spacing w:before="200" w:after="0"/>
      <w:outlineLvl w:val="1"/>
    </w:pPr>
    <w:rPr>
      <w:rFonts w:ascii="Futura Md BT" w:eastAsiaTheme="majorEastAsia" w:hAnsi="Futura Md BT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E0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E0B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E0B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1E0B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E0B4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E0B45"/>
  </w:style>
  <w:style w:type="paragraph" w:customStyle="1" w:styleId="Compact">
    <w:name w:val="Compact"/>
    <w:basedOn w:val="BodyText"/>
    <w:qFormat/>
    <w:rsid w:val="003C3288"/>
    <w:pPr>
      <w:spacing w:before="0" w:after="0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1E0B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1E0B4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E0B45"/>
    <w:pPr>
      <w:keepNext/>
      <w:keepLines/>
      <w:jc w:val="center"/>
    </w:pPr>
  </w:style>
  <w:style w:type="paragraph" w:styleId="Date">
    <w:name w:val="Date"/>
    <w:next w:val="BodyText"/>
    <w:qFormat/>
    <w:rsid w:val="001E0B4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E0B4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E0B45"/>
  </w:style>
  <w:style w:type="paragraph" w:styleId="BlockText">
    <w:name w:val="Block Text"/>
    <w:basedOn w:val="BodyText"/>
    <w:next w:val="BodyText"/>
    <w:uiPriority w:val="9"/>
    <w:unhideWhenUsed/>
    <w:qFormat/>
    <w:rsid w:val="001E0B45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1E0B45"/>
  </w:style>
  <w:style w:type="paragraph" w:customStyle="1" w:styleId="DefinitionTerm">
    <w:name w:val="Definition Term"/>
    <w:basedOn w:val="Normal"/>
    <w:next w:val="Definition"/>
    <w:rsid w:val="001E0B4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E0B45"/>
  </w:style>
  <w:style w:type="paragraph" w:styleId="Caption">
    <w:name w:val="caption"/>
    <w:basedOn w:val="Normal"/>
    <w:link w:val="CaptionChar"/>
    <w:rsid w:val="001E0B45"/>
    <w:pPr>
      <w:spacing w:after="120"/>
    </w:pPr>
    <w:rPr>
      <w:i/>
    </w:rPr>
  </w:style>
  <w:style w:type="paragraph" w:customStyle="1" w:styleId="TableCaption">
    <w:name w:val="Table Caption"/>
    <w:basedOn w:val="Caption"/>
    <w:rsid w:val="001E0B45"/>
    <w:pPr>
      <w:keepNext/>
    </w:pPr>
  </w:style>
  <w:style w:type="paragraph" w:customStyle="1" w:styleId="ImageCaption">
    <w:name w:val="Image Caption"/>
    <w:basedOn w:val="Caption"/>
    <w:rsid w:val="001E0B45"/>
  </w:style>
  <w:style w:type="paragraph" w:customStyle="1" w:styleId="Figure">
    <w:name w:val="Figure"/>
    <w:basedOn w:val="Normal"/>
    <w:rsid w:val="001E0B45"/>
  </w:style>
  <w:style w:type="paragraph" w:customStyle="1" w:styleId="FigurewithCaption">
    <w:name w:val="Figure with Caption"/>
    <w:basedOn w:val="Figure"/>
    <w:rsid w:val="001E0B45"/>
    <w:pPr>
      <w:keepNext/>
    </w:pPr>
  </w:style>
  <w:style w:type="character" w:customStyle="1" w:styleId="CaptionChar">
    <w:name w:val="Caption Char"/>
    <w:basedOn w:val="DefaultParagraphFont"/>
    <w:link w:val="Caption"/>
    <w:rsid w:val="001E0B45"/>
  </w:style>
  <w:style w:type="character" w:customStyle="1" w:styleId="VerbatimChar">
    <w:name w:val="Verbatim Char"/>
    <w:basedOn w:val="CaptionChar"/>
    <w:link w:val="SourceCode"/>
    <w:rsid w:val="001E0B45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1E0B45"/>
    <w:rPr>
      <w:vertAlign w:val="superscript"/>
    </w:rPr>
  </w:style>
  <w:style w:type="character" w:styleId="Hyperlink">
    <w:name w:val="Hyperlink"/>
    <w:basedOn w:val="CaptionChar"/>
    <w:rsid w:val="001E0B45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E0B4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E0B4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E0B45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1E0B45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1E0B45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1E0B45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E0B45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1E0B45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1E0B45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1E0B45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1E0B45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1E0B45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1E0B45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1E0B45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1E0B45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1E0B4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1E0B4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1E0B4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1E0B45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1E0B45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1E0B45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1E0B45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1E0B45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1E0B45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1E0B45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1E0B45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1E0B45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1E0B45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1E0B4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1E0B4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1E0B45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1E0B45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E0B45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922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22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2278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278E"/>
  </w:style>
  <w:style w:type="paragraph" w:styleId="Footer">
    <w:name w:val="footer"/>
    <w:basedOn w:val="Normal"/>
    <w:link w:val="FooterChar"/>
    <w:rsid w:val="00E2278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2278E"/>
  </w:style>
  <w:style w:type="table" w:styleId="TableGrid">
    <w:name w:val="Table Grid"/>
    <w:basedOn w:val="TableNormal"/>
    <w:rsid w:val="006849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styleId="ColorfulGrid">
    <w:name w:val="Colorful Grid"/>
    <w:aliases w:val="TableNormal"/>
    <w:basedOn w:val="TableNormal"/>
    <w:rsid w:val="007B39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rsid w:val="00A36A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Table">
    <w:name w:val="Table"/>
    <w:basedOn w:val="TableNormal"/>
    <w:uiPriority w:val="99"/>
    <w:qFormat/>
    <w:rsid w:val="00684909"/>
    <w:pPr>
      <w:spacing w:after="0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PhotoCaption">
    <w:name w:val="Photo Caption"/>
    <w:basedOn w:val="Normal"/>
    <w:qFormat/>
    <w:rsid w:val="00096E7C"/>
    <w:pPr>
      <w:spacing w:after="0"/>
    </w:pPr>
    <w:rPr>
      <w:rFonts w:asciiTheme="minorHAnsi" w:hAnsiTheme="minorHAnsi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7" Target="http://doi.org/10.17895/ices.pub.5984" TargetMode="External" /><Relationship Type="http://schemas.openxmlformats.org/officeDocument/2006/relationships/hyperlink" Id="rId36" Target="http://doi.org/10.17895/ices.pub.5985" TargetMode="External" /><Relationship Type="http://schemas.openxmlformats.org/officeDocument/2006/relationships/hyperlink" Id="rId40" Target="https://doi.org/10.17895/ices.advice.7720" TargetMode="External" /><Relationship Type="http://schemas.openxmlformats.org/officeDocument/2006/relationships/hyperlink" Id="rId42" Target="https://doi.org/10.17895/ices.advice.7814" TargetMode="External" /><Relationship Type="http://schemas.openxmlformats.org/officeDocument/2006/relationships/hyperlink" Id="rId35" Target="https://doi.org/10.17895/ices.pub.5322" TargetMode="External" /><Relationship Type="http://schemas.openxmlformats.org/officeDocument/2006/relationships/hyperlink" Id="rId38" Target="https://doi.org/10.17895/ices.pub.8137" TargetMode="External" /><Relationship Type="http://schemas.openxmlformats.org/officeDocument/2006/relationships/hyperlink" Id="rId39" Target="https://doi.org/10.17895/ices.pub.8138" TargetMode="External" /><Relationship Type="http://schemas.openxmlformats.org/officeDocument/2006/relationships/hyperlink" Id="rId41" Target="https://doi.org/10.17895/ices.pub.814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oi.org/10.17895/ices.pub.5984" TargetMode="External" /><Relationship Type="http://schemas.openxmlformats.org/officeDocument/2006/relationships/hyperlink" Id="rId36" Target="http://doi.org/10.17895/ices.pub.5985" TargetMode="External" /><Relationship Type="http://schemas.openxmlformats.org/officeDocument/2006/relationships/hyperlink" Id="rId40" Target="https://doi.org/10.17895/ices.advice.7720" TargetMode="External" /><Relationship Type="http://schemas.openxmlformats.org/officeDocument/2006/relationships/hyperlink" Id="rId42" Target="https://doi.org/10.17895/ices.advice.7814" TargetMode="External" /><Relationship Type="http://schemas.openxmlformats.org/officeDocument/2006/relationships/hyperlink" Id="rId35" Target="https://doi.org/10.17895/ices.pub.5322" TargetMode="External" /><Relationship Type="http://schemas.openxmlformats.org/officeDocument/2006/relationships/hyperlink" Id="rId38" Target="https://doi.org/10.17895/ices.pub.8137" TargetMode="External" /><Relationship Type="http://schemas.openxmlformats.org/officeDocument/2006/relationships/hyperlink" Id="rId39" Target="https://doi.org/10.17895/ices.pub.8138" TargetMode="External" /><Relationship Type="http://schemas.openxmlformats.org/officeDocument/2006/relationships/hyperlink" Id="rId41" Target="https://doi.org/10.17895/ices.pub.81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templateTAF.dotx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2022-08-04T12:47:59Z</dcterms:created>
  <dcterms:modified xsi:type="dcterms:W3CDTF">2022-08-04T12:47:59Z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