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Employee Onboarding Guide</w:t>
      </w:r>
    </w:p>
    <w:p>
      <w:r>
        <w:t>This document is designed to test import and publish functionality in StructuredDocs. It contains hierarchical headings, images, hyperlinks, tables, lists, and formatted text.</w:t>
      </w:r>
    </w:p>
    <w:p>
      <w:pPr>
        <w:pStyle w:val="Heading2"/>
      </w:pPr>
      <w:r>
        <w:t>Getting Started</w:t>
      </w:r>
    </w:p>
    <w:p>
      <w:r>
        <w:t>Welcome to the organisation. This section covers everything you need to do before your first day and during your first week. Please read each topic carefully and complete the checklist at the end.</w:t>
      </w:r>
    </w:p>
    <w:p>
      <w:pPr>
        <w:pStyle w:val="Heading3"/>
      </w:pPr>
      <w:r>
        <w:t>Before Your First Day</w:t>
      </w:r>
    </w:p>
    <w:p>
      <w:r>
        <w:t>Complete the following steps to ensure a smooth start. All forms must be submitted at least 48 hours before your start date.</w:t>
      </w:r>
    </w:p>
    <w:p>
      <w:pPr>
        <w:pStyle w:val="ListBullet"/>
      </w:pPr>
      <w:r>
        <w:t>Sign and return your employment contract</w:t>
      </w:r>
    </w:p>
    <w:p>
      <w:pPr>
        <w:pStyle w:val="ListBullet"/>
      </w:pPr>
      <w:r>
        <w:t>Submit your tax file number declaration</w:t>
      </w:r>
    </w:p>
    <w:p>
      <w:pPr>
        <w:pStyle w:val="ListBullet"/>
      </w:pPr>
      <w:r>
        <w:t>Provide proof of right-to-work documentation</w:t>
      </w:r>
    </w:p>
    <w:p>
      <w:pPr>
        <w:pStyle w:val="ListBullet"/>
      </w:pPr>
      <w:r>
        <w:t>Set up your corporate email account</w:t>
      </w:r>
    </w:p>
    <w:p>
      <w:pPr>
        <w:pStyle w:val="Heading3"/>
      </w:pPr>
      <w:r>
        <w:t>Your First Week</w:t>
      </w:r>
    </w:p>
    <w:p>
      <w:r>
        <w:t>During your first week you will complete mandatory inductions and meet your team. Your manager will schedule the following sessions:</w:t>
      </w:r>
    </w:p>
    <w:p>
      <w:pPr>
        <w:pStyle w:val="ListNumber"/>
      </w:pPr>
      <w:r>
        <w:t>IT systems orientation (Day 1, 9:00 AM)</w:t>
      </w:r>
    </w:p>
    <w:p>
      <w:pPr>
        <w:pStyle w:val="ListNumber"/>
      </w:pPr>
      <w:r>
        <w:t>HR policy induction (Day 1, 2:00 PM)</w:t>
      </w:r>
    </w:p>
    <w:p>
      <w:pPr>
        <w:pStyle w:val="ListNumber"/>
      </w:pPr>
      <w:r>
        <w:t>Security and access briefing (Day 2)</w:t>
      </w:r>
    </w:p>
    <w:p>
      <w:pPr>
        <w:pStyle w:val="ListNumber"/>
      </w:pPr>
      <w:r>
        <w:t>Meet the leadership team (Day 3)</w:t>
      </w:r>
    </w:p>
    <w:p>
      <w:pPr>
        <w:pStyle w:val="ListNumber"/>
      </w:pPr>
      <w:r>
        <w:t>Role-specific onboarding (Days 4–5)</w:t>
      </w:r>
    </w:p>
    <w:p>
      <w:pPr>
        <w:pStyle w:val="Heading2"/>
      </w:pPr>
      <w:r>
        <w:t>IT &amp; Systems Access</w:t>
      </w:r>
    </w:p>
    <w:p>
      <w:r>
        <w:t>All employees are provisioned with access to the core systems listed below. Requests for additional access must be approved by your line manager and submitted via the IT Service Desk.</w:t>
      </w:r>
    </w:p>
    <w:p>
      <w:r>
        <w:t xml:space="preserve">Submit access requests via the </w:t>
      </w:r>
      <w:hyperlink r:id="rId9">
        <w:r>
          <w:rPr>
            <w:rStyle w:val="Hyperlink"/>
          </w:rPr>
          <w:t>IT Service Desk portal</w:t>
        </w:r>
      </w:hyperlink>
      <w:r>
        <w:t>. Allow up to 2 business days for provisioning.</w:t>
      </w:r>
    </w:p>
    <w:p>
      <w:pPr>
        <w:pStyle w:val="Heading3"/>
      </w:pPr>
      <w:r>
        <w:t>Core Systems</w:t>
      </w:r>
    </w:p>
    <w:p>
      <w:r>
        <w:t>The table below lists the core systems you will have access to on Day 1.</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System</w:t>
            </w:r>
          </w:p>
        </w:tc>
        <w:tc>
          <w:tcPr>
            <w:tcW w:type="dxa" w:w="2880"/>
          </w:tcPr>
          <w:p>
            <w:r>
              <w:rPr>
                <w:b/>
              </w:rPr>
              <w:t>Purpose</w:t>
            </w:r>
          </w:p>
        </w:tc>
        <w:tc>
          <w:tcPr>
            <w:tcW w:type="dxa" w:w="2880"/>
          </w:tcPr>
          <w:p>
            <w:r>
              <w:rPr>
                <w:b/>
              </w:rPr>
              <w:t>Access Level</w:t>
            </w:r>
          </w:p>
        </w:tc>
      </w:tr>
      <w:tr>
        <w:tc>
          <w:tcPr>
            <w:tcW w:type="dxa" w:w="2880"/>
          </w:tcPr>
          <w:p>
            <w:r>
              <w:t>Microsoft 365</w:t>
            </w:r>
          </w:p>
        </w:tc>
        <w:tc>
          <w:tcPr>
            <w:tcW w:type="dxa" w:w="2880"/>
          </w:tcPr>
          <w:p>
            <w:r>
              <w:t>Email, calendar, and collaboration</w:t>
            </w:r>
          </w:p>
        </w:tc>
        <w:tc>
          <w:tcPr>
            <w:tcW w:type="dxa" w:w="2880"/>
          </w:tcPr>
          <w:p>
            <w:r>
              <w:t>Full</w:t>
            </w:r>
          </w:p>
        </w:tc>
      </w:tr>
      <w:tr>
        <w:tc>
          <w:tcPr>
            <w:tcW w:type="dxa" w:w="2880"/>
          </w:tcPr>
          <w:p>
            <w:r>
              <w:t>Confluence</w:t>
            </w:r>
          </w:p>
        </w:tc>
        <w:tc>
          <w:tcPr>
            <w:tcW w:type="dxa" w:w="2880"/>
          </w:tcPr>
          <w:p>
            <w:r>
              <w:t>Internal knowledge base</w:t>
            </w:r>
          </w:p>
        </w:tc>
        <w:tc>
          <w:tcPr>
            <w:tcW w:type="dxa" w:w="2880"/>
          </w:tcPr>
          <w:p>
            <w:r>
              <w:t>Read / Write</w:t>
            </w:r>
          </w:p>
        </w:tc>
      </w:tr>
      <w:tr>
        <w:tc>
          <w:tcPr>
            <w:tcW w:type="dxa" w:w="2880"/>
          </w:tcPr>
          <w:p>
            <w:r>
              <w:t>Jira</w:t>
            </w:r>
          </w:p>
        </w:tc>
        <w:tc>
          <w:tcPr>
            <w:tcW w:type="dxa" w:w="2880"/>
          </w:tcPr>
          <w:p>
            <w:r>
              <w:t>Project and task tracking</w:t>
            </w:r>
          </w:p>
        </w:tc>
        <w:tc>
          <w:tcPr>
            <w:tcW w:type="dxa" w:w="2880"/>
          </w:tcPr>
          <w:p>
            <w:r>
              <w:t>Read / Write</w:t>
            </w:r>
          </w:p>
        </w:tc>
      </w:tr>
      <w:tr>
        <w:tc>
          <w:tcPr>
            <w:tcW w:type="dxa" w:w="2880"/>
          </w:tcPr>
          <w:p>
            <w:r>
              <w:t>Workday</w:t>
            </w:r>
          </w:p>
        </w:tc>
        <w:tc>
          <w:tcPr>
            <w:tcW w:type="dxa" w:w="2880"/>
          </w:tcPr>
          <w:p>
            <w:r>
              <w:t>HR self-service and payroll</w:t>
            </w:r>
          </w:p>
        </w:tc>
        <w:tc>
          <w:tcPr>
            <w:tcW w:type="dxa" w:w="2880"/>
          </w:tcPr>
          <w:p>
            <w:r>
              <w:t>Employee Self-Service</w:t>
            </w:r>
          </w:p>
        </w:tc>
      </w:tr>
      <w:tr>
        <w:tc>
          <w:tcPr>
            <w:tcW w:type="dxa" w:w="2880"/>
          </w:tcPr>
          <w:p>
            <w:r>
              <w:t>VPN</w:t>
            </w:r>
          </w:p>
        </w:tc>
        <w:tc>
          <w:tcPr>
            <w:tcW w:type="dxa" w:w="2880"/>
          </w:tcPr>
          <w:p>
            <w:r>
              <w:t>Secure remote network access</w:t>
            </w:r>
          </w:p>
        </w:tc>
        <w:tc>
          <w:tcPr>
            <w:tcW w:type="dxa" w:w="2880"/>
          </w:tcPr>
          <w:p>
            <w:r>
              <w:t>Standard</w:t>
            </w:r>
          </w:p>
        </w:tc>
      </w:tr>
    </w:tbl>
    <w:p/>
    <w:p>
      <w:pPr>
        <w:pStyle w:val="Heading3"/>
      </w:pPr>
      <w:r>
        <w:t>Password Policy</w:t>
      </w:r>
    </w:p>
    <w:p>
      <w:r>
        <w:rPr>
          <w:b w:val="0"/>
        </w:rPr>
        <w:t xml:space="preserve">All passwords must meet the following requirements. </w:t>
      </w:r>
      <w:r>
        <w:rPr>
          <w:b/>
        </w:rPr>
        <w:t>Failure to comply may result in account lockout.</w:t>
      </w:r>
    </w:p>
    <w:p>
      <w:pPr>
        <w:pStyle w:val="ListBullet"/>
      </w:pPr>
      <w:r>
        <w:t>Minimum 14 characters</w:t>
      </w:r>
    </w:p>
    <w:p>
      <w:pPr>
        <w:pStyle w:val="ListBullet"/>
      </w:pPr>
      <w:r>
        <w:t>At least one uppercase letter, one lowercase letter, one digit, and one special character</w:t>
      </w:r>
    </w:p>
    <w:p>
      <w:pPr>
        <w:pStyle w:val="ListBullet"/>
      </w:pPr>
      <w:r>
        <w:t>Must not contain your name or username</w:t>
      </w:r>
    </w:p>
    <w:p>
      <w:pPr>
        <w:pStyle w:val="ListBullet"/>
      </w:pPr>
      <w:r>
        <w:t>Must be changed every 90 days</w:t>
      </w:r>
    </w:p>
    <w:p>
      <w:pPr>
        <w:pStyle w:val="ListBullet"/>
      </w:pPr>
      <w:r>
        <w:t>Previous 12 passwords may not be reused</w:t>
      </w:r>
    </w:p>
    <w:p>
      <w:pPr>
        <w:pStyle w:val="Heading2"/>
      </w:pPr>
      <w:r>
        <w:t>Workplace Health &amp; Safety</w:t>
      </w:r>
    </w:p>
    <w:p>
      <w:r>
        <w:t>The health, safety and wellbeing of all employees is our highest priority. All staff must complete the WHS induction before commencing work on site.</w:t>
      </w:r>
    </w:p>
    <w:p>
      <w:pPr>
        <w:pStyle w:val="Heading3"/>
      </w:pPr>
      <w:r>
        <w:t>Emergency Procedures</w:t>
      </w:r>
    </w:p>
    <w:p>
      <w:r>
        <w:t>The emergency assembly point is located in the car park on the northern side of the building (Area B). Familiarise yourself with all emergency exits before starting work.</w:t>
      </w:r>
    </w:p>
    <w:p>
      <w:pPr>
        <w:jc w:val="center"/>
      </w:pPr>
      <w:r>
        <w:drawing>
          <wp:inline xmlns:a="http://schemas.openxmlformats.org/drawingml/2006/main" xmlns:pic="http://schemas.openxmlformats.org/drawingml/2006/picture">
            <wp:extent cx="3657600" cy="1828800"/>
            <wp:docPr id="1" name="Picture 1"/>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3657600" cy="1828800"/>
                    </a:xfrm>
                    <a:prstGeom prst="rect"/>
                  </pic:spPr>
                </pic:pic>
              </a:graphicData>
            </a:graphic>
          </wp:inline>
        </w:drawing>
      </w:r>
    </w:p>
    <w:p>
      <w:pPr>
        <w:jc w:val="center"/>
      </w:pPr>
      <w:r>
        <w:rPr>
          <w:i/>
        </w:rPr>
        <w:t>Figure 1: Emergency evacuation map — Northern Campus</w:t>
      </w:r>
    </w:p>
    <w:p>
      <w:pPr>
        <w:pStyle w:val="Heading3"/>
      </w:pPr>
      <w:r>
        <w:t>Incident Reporting</w:t>
      </w:r>
    </w:p>
    <w:p>
      <w:r>
        <w:t>All incidents, near-misses, and hazards must be reported within 24 hours using the online portal. Serious incidents must be reported immediately to your manager and the WHS team.</w:t>
      </w:r>
    </w:p>
    <w:p>
      <w:r>
        <w:t xml:space="preserve">Report incidents at: </w:t>
      </w:r>
      <w:hyperlink r:id="rId11">
        <w:r>
          <w:rPr>
            <w:rStyle w:val="Hyperlink"/>
          </w:rPr>
          <w:t>WHS Incident Reporting Portal</w:t>
        </w:r>
      </w:hyperlink>
    </w:p>
    <w:p>
      <w:pPr>
        <w:pStyle w:val="Heading2"/>
      </w:pPr>
      <w:r>
        <w:t>Code of Conduct</w:t>
      </w:r>
    </w:p>
    <w:p>
      <w:r>
        <w:t>All employees are expected to uphold the highest standards of professional conduct. The Code of Conduct applies at all times, including when representing the organisation externally.</w:t>
      </w:r>
    </w:p>
    <w:p>
      <w:pPr>
        <w:pStyle w:val="Heading3"/>
      </w:pPr>
      <w:r>
        <w:t>Values</w:t>
      </w:r>
    </w:p>
    <w:p>
      <w:r>
        <w:t>Our organisation is guided by the following core values:</w:t>
      </w:r>
    </w:p>
    <w:p>
      <w:pPr>
        <w:pStyle w:val="ListBullet"/>
      </w:pPr>
      <w:r>
        <w:rPr>
          <w:b/>
        </w:rPr>
        <w:t xml:space="preserve">Integrity: </w:t>
      </w:r>
      <w:r>
        <w:t>We act honestly and ethically in everything we do.</w:t>
      </w:r>
    </w:p>
    <w:p>
      <w:pPr>
        <w:pStyle w:val="ListBullet"/>
      </w:pPr>
      <w:r>
        <w:rPr>
          <w:b/>
        </w:rPr>
        <w:t xml:space="preserve">Respect: </w:t>
      </w:r>
      <w:r>
        <w:t>We treat everyone with dignity and fairness.</w:t>
      </w:r>
    </w:p>
    <w:p>
      <w:pPr>
        <w:pStyle w:val="ListBullet"/>
      </w:pPr>
      <w:r>
        <w:rPr>
          <w:b/>
        </w:rPr>
        <w:t xml:space="preserve">Collaboration: </w:t>
      </w:r>
      <w:r>
        <w:t>We achieve more together than alone.</w:t>
      </w:r>
    </w:p>
    <w:p>
      <w:pPr>
        <w:pStyle w:val="ListBullet"/>
      </w:pPr>
      <w:r>
        <w:rPr>
          <w:b/>
        </w:rPr>
        <w:t xml:space="preserve">Innovation: </w:t>
      </w:r>
      <w:r>
        <w:t>We embrace new ideas and continuous improvement.</w:t>
      </w:r>
    </w:p>
    <w:p>
      <w:pPr>
        <w:pStyle w:val="ListBullet"/>
      </w:pPr>
      <w:r>
        <w:rPr>
          <w:b/>
        </w:rPr>
        <w:t xml:space="preserve">Accountability: </w:t>
      </w:r>
      <w:r>
        <w:t>We take ownership of our actions and outcomes.</w:t>
      </w:r>
    </w:p>
    <w:p>
      <w:pPr>
        <w:pStyle w:val="Heading3"/>
      </w:pPr>
      <w:r>
        <w:t>Social Media Policy</w:t>
      </w:r>
    </w:p>
    <w:p>
      <w:r>
        <w:t>Employees must not post confidential information, client details, or content that could damage the reputation of the organisation on any social media platform. Refer to the full policy for details.</w:t>
      </w:r>
    </w:p>
    <w:p>
      <w:r>
        <w:t xml:space="preserve">Full policy: </w:t>
      </w:r>
      <w:hyperlink r:id="rId12">
        <w:r>
          <w:rPr>
            <w:rStyle w:val="Hyperlink"/>
          </w:rPr>
          <w:t>Social Media Policy (Intranet)</w:t>
        </w:r>
      </w:hyperlink>
    </w:p>
    <w:p>
      <w:pPr>
        <w:pStyle w:val="Heading2"/>
      </w:pPr>
      <w:r>
        <w:t>Benefits &amp; Leave Entitlements</w:t>
      </w:r>
    </w:p>
    <w:p>
      <w:r>
        <w:t>This section summarises your entitlements as a permanent employee. Casual and contract staff should refer to their individual agreements.</w:t>
      </w:r>
    </w:p>
    <w:p>
      <w:pPr>
        <w:pStyle w:val="Heading3"/>
      </w:pPr>
      <w:r>
        <w:t>Leave Types</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Leave Type</w:t>
            </w:r>
          </w:p>
        </w:tc>
        <w:tc>
          <w:tcPr>
            <w:tcW w:type="dxa" w:w="2880"/>
          </w:tcPr>
          <w:p>
            <w:r>
              <w:rPr>
                <w:b/>
              </w:rPr>
              <w:t>Annual Entitlement</w:t>
            </w:r>
          </w:p>
        </w:tc>
        <w:tc>
          <w:tcPr>
            <w:tcW w:type="dxa" w:w="2880"/>
          </w:tcPr>
          <w:p>
            <w:r>
              <w:rPr>
                <w:b/>
              </w:rPr>
              <w:t>Notes</w:t>
            </w:r>
          </w:p>
        </w:tc>
      </w:tr>
      <w:tr>
        <w:tc>
          <w:tcPr>
            <w:tcW w:type="dxa" w:w="2880"/>
          </w:tcPr>
          <w:p>
            <w:r>
              <w:t>Annual Leave</w:t>
            </w:r>
          </w:p>
        </w:tc>
        <w:tc>
          <w:tcPr>
            <w:tcW w:type="dxa" w:w="2880"/>
          </w:tcPr>
          <w:p>
            <w:r>
              <w:t>20 days</w:t>
            </w:r>
          </w:p>
        </w:tc>
        <w:tc>
          <w:tcPr>
            <w:tcW w:type="dxa" w:w="2880"/>
          </w:tcPr>
          <w:p>
            <w:r>
              <w:t>Accrues from Day 1; unused leave carries over up to 40 days</w:t>
            </w:r>
          </w:p>
        </w:tc>
      </w:tr>
      <w:tr>
        <w:tc>
          <w:tcPr>
            <w:tcW w:type="dxa" w:w="2880"/>
          </w:tcPr>
          <w:p>
            <w:r>
              <w:t>Personal / Carer's Leave</w:t>
            </w:r>
          </w:p>
        </w:tc>
        <w:tc>
          <w:tcPr>
            <w:tcW w:type="dxa" w:w="2880"/>
          </w:tcPr>
          <w:p>
            <w:r>
              <w:t>10 days</w:t>
            </w:r>
          </w:p>
        </w:tc>
        <w:tc>
          <w:tcPr>
            <w:tcW w:type="dxa" w:w="2880"/>
          </w:tcPr>
          <w:p>
            <w:r>
              <w:t>Can be used for illness or to care for a family member</w:t>
            </w:r>
          </w:p>
        </w:tc>
      </w:tr>
      <w:tr>
        <w:tc>
          <w:tcPr>
            <w:tcW w:type="dxa" w:w="2880"/>
          </w:tcPr>
          <w:p>
            <w:r>
              <w:t>Parental Leave</w:t>
            </w:r>
          </w:p>
        </w:tc>
        <w:tc>
          <w:tcPr>
            <w:tcW w:type="dxa" w:w="2880"/>
          </w:tcPr>
          <w:p>
            <w:r>
              <w:t>Up to 18 weeks</w:t>
            </w:r>
          </w:p>
        </w:tc>
        <w:tc>
          <w:tcPr>
            <w:tcW w:type="dxa" w:w="2880"/>
          </w:tcPr>
          <w:p>
            <w:r>
              <w:t>Paid at the primary carer rate; secondary carer 2 weeks</w:t>
            </w:r>
          </w:p>
        </w:tc>
      </w:tr>
      <w:tr>
        <w:tc>
          <w:tcPr>
            <w:tcW w:type="dxa" w:w="2880"/>
          </w:tcPr>
          <w:p>
            <w:r>
              <w:t>Compassionate Leave</w:t>
            </w:r>
          </w:p>
        </w:tc>
        <w:tc>
          <w:tcPr>
            <w:tcW w:type="dxa" w:w="2880"/>
          </w:tcPr>
          <w:p>
            <w:r>
              <w:t>3 days per occasion</w:t>
            </w:r>
          </w:p>
        </w:tc>
        <w:tc>
          <w:tcPr>
            <w:tcW w:type="dxa" w:w="2880"/>
          </w:tcPr>
          <w:p>
            <w:r>
              <w:t>For bereavement of an immediate family member</w:t>
            </w:r>
          </w:p>
        </w:tc>
      </w:tr>
      <w:tr>
        <w:tc>
          <w:tcPr>
            <w:tcW w:type="dxa" w:w="2880"/>
          </w:tcPr>
          <w:p>
            <w:r>
              <w:t>Study Leave</w:t>
            </w:r>
          </w:p>
        </w:tc>
        <w:tc>
          <w:tcPr>
            <w:tcW w:type="dxa" w:w="2880"/>
          </w:tcPr>
          <w:p>
            <w:r>
              <w:t>5 days</w:t>
            </w:r>
          </w:p>
        </w:tc>
        <w:tc>
          <w:tcPr>
            <w:tcW w:type="dxa" w:w="2880"/>
          </w:tcPr>
          <w:p>
            <w:r>
              <w:t>Subject to manager approval; must be work-related</w:t>
            </w:r>
          </w:p>
        </w:tc>
      </w:tr>
      <w:tr>
        <w:tc>
          <w:tcPr>
            <w:tcW w:type="dxa" w:w="2880"/>
          </w:tcPr>
          <w:p>
            <w:r>
              <w:t>Jury Duty</w:t>
            </w:r>
          </w:p>
        </w:tc>
        <w:tc>
          <w:tcPr>
            <w:tcW w:type="dxa" w:w="2880"/>
          </w:tcPr>
          <w:p>
            <w:r>
              <w:t>As required</w:t>
            </w:r>
          </w:p>
        </w:tc>
        <w:tc>
          <w:tcPr>
            <w:tcW w:type="dxa" w:w="2880"/>
          </w:tcPr>
          <w:p>
            <w:r>
              <w:t>Full pay maintained; court attendance documentation required</w:t>
            </w:r>
          </w:p>
        </w:tc>
      </w:tr>
    </w:tbl>
    <w:p/>
    <w:p>
      <w:pPr>
        <w:pStyle w:val="Heading3"/>
      </w:pPr>
      <w:r>
        <w:t>Employee Assistance Programme</w:t>
      </w:r>
    </w:p>
    <w:p>
      <w:r>
        <w:t>All employees and their immediate family members have free access to the Employee Assistance Programme (EAP), providing confidential counselling and support services.</w:t>
      </w:r>
    </w:p>
    <w:p>
      <w:pPr>
        <w:jc w:val="center"/>
      </w:pPr>
      <w:r>
        <w:drawing>
          <wp:inline xmlns:a="http://schemas.openxmlformats.org/drawingml/2006/main" xmlns:pic="http://schemas.openxmlformats.org/drawingml/2006/picture">
            <wp:extent cx="2743200" cy="822960"/>
            <wp:docPr id="2" name="Picture 2"/>
            <wp:cNvGraphicFramePr>
              <a:graphicFrameLocks noChangeAspect="1"/>
            </wp:cNvGraphicFramePr>
            <a:graphic>
              <a:graphicData uri="http://schemas.openxmlformats.org/drawingml/2006/picture">
                <pic:pic>
                  <pic:nvPicPr>
                    <pic:cNvPr id="0" name="image.png"/>
                    <pic:cNvPicPr/>
                  </pic:nvPicPr>
                  <pic:blipFill>
                    <a:blip r:embed="rId13"/>
                    <a:stretch>
                      <a:fillRect/>
                    </a:stretch>
                  </pic:blipFill>
                  <pic:spPr>
                    <a:xfrm>
                      <a:off x="0" y="0"/>
                      <a:ext cx="2743200" cy="822960"/>
                    </a:xfrm>
                    <a:prstGeom prst="rect"/>
                  </pic:spPr>
                </pic:pic>
              </a:graphicData>
            </a:graphic>
          </wp:inline>
        </w:drawing>
      </w:r>
    </w:p>
    <w:p>
      <w:pPr>
        <w:jc w:val="center"/>
      </w:pPr>
      <w:r>
        <w:rPr>
          <w:i/>
        </w:rPr>
        <w:t>Figure 2: EAP services overview</w:t>
      </w:r>
    </w:p>
    <w:p>
      <w:r>
        <w:t xml:space="preserve">Contact the EAP provider 24/7 at </w:t>
      </w:r>
      <w:hyperlink r:id="rId14">
        <w:r>
          <w:rPr>
            <w:rStyle w:val="Hyperlink"/>
          </w:rPr>
          <w:t>eap.example.com</w:t>
        </w:r>
      </w:hyperlink>
      <w:r>
        <w:t xml:space="preserve"> or call 1800 000 123.</w:t>
      </w:r>
    </w:p>
    <w:p>
      <w:pPr>
        <w:pStyle w:val="Heading2"/>
      </w:pPr>
      <w:r>
        <w:t>Learning &amp; Development</w:t>
      </w:r>
    </w:p>
    <w:p>
      <w:r>
        <w:t>We invest in the growth of our people. All employees have access to a personal learning budget and a catalogue of internal and external training opportunities.</w:t>
      </w:r>
    </w:p>
    <w:p>
      <w:pPr>
        <w:pStyle w:val="Heading3"/>
      </w:pPr>
      <w:r>
        <w:t>Mandatory Training</w:t>
      </w:r>
    </w:p>
    <w:p>
      <w:r>
        <w:t>The following courses must be completed within your first 30 days. All courses are available on the Learning Management System (LMS).</w:t>
      </w:r>
    </w:p>
    <w:p>
      <w:pPr>
        <w:pStyle w:val="ListNumber"/>
      </w:pPr>
      <w:r>
        <w:t>WHS Induction (online, 45 min)</w:t>
      </w:r>
    </w:p>
    <w:p>
      <w:pPr>
        <w:pStyle w:val="ListNumber"/>
      </w:pPr>
      <w:r>
        <w:t>Privacy and Data Protection (online, 30 min)</w:t>
      </w:r>
    </w:p>
    <w:p>
      <w:pPr>
        <w:pStyle w:val="ListNumber"/>
      </w:pPr>
      <w:r>
        <w:t>Code of Conduct (online, 20 min)</w:t>
      </w:r>
    </w:p>
    <w:p>
      <w:pPr>
        <w:pStyle w:val="ListNumber"/>
      </w:pPr>
      <w:r>
        <w:t>Cyber Security Awareness (online, 60 min)</w:t>
      </w:r>
    </w:p>
    <w:p>
      <w:pPr>
        <w:pStyle w:val="ListNumber"/>
      </w:pPr>
      <w:r>
        <w:t>Diversity and Inclusion (online, 40 min)</w:t>
      </w:r>
    </w:p>
    <w:p>
      <w:r>
        <w:t xml:space="preserve">Access the LMS at </w:t>
      </w:r>
      <w:hyperlink r:id="rId15">
        <w:r>
          <w:rPr>
            <w:rStyle w:val="Hyperlink"/>
          </w:rPr>
          <w:t>lms.example.com</w:t>
        </w:r>
      </w:hyperlink>
      <w:r>
        <w:t>.</w:t>
      </w:r>
    </w:p>
    <w:p>
      <w:pPr>
        <w:pStyle w:val="Heading3"/>
      </w:pPr>
      <w:r>
        <w:t>Development Plans</w:t>
      </w:r>
    </w:p>
    <w:p>
      <w:r>
        <w:t>Within your first 90 days, you and your manager will co-create a 12-month Individual Development Plan (IDP). This plan will be reviewed quarterly and updated annually during the performance review cycle.</w:t>
      </w:r>
    </w:p>
    <w:p>
      <w:r>
        <w:rPr>
          <w:b/>
        </w:rPr>
        <w:t xml:space="preserve">Note: </w:t>
      </w:r>
      <w:r>
        <w:t>All external training requests over $500 must be approved by your department head and submitted to HR at least 4 weeks in advance.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servicedesk.example.com/access" TargetMode="External"/><Relationship Id="rId10" Type="http://schemas.openxmlformats.org/officeDocument/2006/relationships/image" Target="media/image1.png"/><Relationship Id="rId11" Type="http://schemas.openxmlformats.org/officeDocument/2006/relationships/hyperlink" Target="https://whs.example.com/report" TargetMode="External"/><Relationship Id="rId12" Type="http://schemas.openxmlformats.org/officeDocument/2006/relationships/hyperlink" Target="https://intranet.example.com/policies/social-media" TargetMode="External"/><Relationship Id="rId13" Type="http://schemas.openxmlformats.org/officeDocument/2006/relationships/image" Target="media/image2.png"/><Relationship Id="rId14" Type="http://schemas.openxmlformats.org/officeDocument/2006/relationships/hyperlink" Target="https://eap.example.com" TargetMode="External"/><Relationship Id="rId15" Type="http://schemas.openxmlformats.org/officeDocument/2006/relationships/hyperlink" Target="https://lms.example.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