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28"/>
          <w:szCs w:val="28"/>
        </w:rPr>
        <w:t xml:space="preserve">MEMORANDUM FOR RECORD</w:t>
      </w:r>
    </w:p>
    <w:p>
      <w:pPr>
        <w:spacing w:after="240"/>
        <w:jc w:val="center"/>
      </w:pPr>
      <w:r>
        <w:rPr>
          <w:rFonts w:ascii="Times New Roman" w:cs="Times New Roman" w:eastAsia="Times New Roman" w:hAnsi="Times New Roman"/>
          <w:sz w:val="22"/>
          <w:szCs w:val="22"/>
        </w:rPr>
        <w:t xml:space="preserve">U.S. Army Corps of Engineers, Portland District</w:t>
      </w:r>
    </w:p>
    <w:tbl>
      <w:tblPr>
        <w:tblW w:type="dxa" w:w="9360"/>
        <w:tblBorders>
          <w:top w:val="single" w:color="7A869A" w:sz="4"/>
          <w:left w:val="single" w:color="7A869A" w:sz="4"/>
          <w:bottom w:val="single" w:color="7A869A" w:sz="4"/>
          <w:right w:val="single" w:color="7A869A" w:sz="4"/>
          <w:insideH w:val="single" w:color="B7C0CC" w:sz="2"/>
          <w:insideV w:val="single" w:color="B7C0CC" w:sz="2"/>
        </w:tblBorders>
      </w:tblPr>
      <w:tblGrid>
        <w:gridCol w:w="1500"/>
        <w:gridCol w:w="7860"/>
      </w:tblGrid>
      <w:tr>
        <w:trPr>
          <w:tblHeader/>
        </w:trPr>
        <w:tc>
          <w:tcPr>
            <w:tcW w:type="dxa" w:w="15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21"/>
                <w:szCs w:val="21"/>
              </w:rPr>
              <w:t xml:space="preserve">Item</w:t>
            </w:r>
          </w:p>
        </w:tc>
        <w:tc>
          <w:tcPr>
            <w:tcW w:type="dxa" w:w="786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21"/>
                <w:szCs w:val="21"/>
              </w:rPr>
              <w:t xml:space="preserve">Description</w:t>
            </w:r>
          </w:p>
        </w:tc>
      </w:tr>
      <w:tr>
        <w:trPr>
          <w:tblHeader w:val="false"/>
        </w:trPr>
        <w:tc>
          <w:tcPr>
            <w:tcW w:type="dxa" w:w="15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21"/>
                <w:szCs w:val="21"/>
              </w:rPr>
              <w:t xml:space="preserve">Subject</w:t>
            </w:r>
          </w:p>
        </w:tc>
        <w:tc>
          <w:tcPr>
            <w:tcW w:type="dxa" w:w="78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21"/>
                <w:szCs w:val="21"/>
              </w:rPr>
              <w:t xml:space="preserve">Unregulated Flow Frequency, Cowlitz River at Castle Rock, Washington (USGS 14243000)</w:t>
            </w:r>
          </w:p>
        </w:tc>
      </w:tr>
      <w:tr>
        <w:trPr>
          <w:tblHeader w:val="false"/>
        </w:trPr>
        <w:tc>
          <w:tcPr>
            <w:tcW w:type="dxa" w:w="15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21"/>
                <w:szCs w:val="21"/>
              </w:rPr>
              <w:t xml:space="preserve">From</w:t>
            </w:r>
          </w:p>
        </w:tc>
        <w:tc>
          <w:tcPr>
            <w:tcW w:type="dxa" w:w="78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21"/>
                <w:szCs w:val="21"/>
              </w:rPr>
              <w:t xml:space="preserve">Hydrology and Hydraulics Branch, Portland District</w:t>
            </w:r>
          </w:p>
        </w:tc>
      </w:tr>
      <w:tr>
        <w:trPr>
          <w:tblHeader w:val="false"/>
        </w:trPr>
        <w:tc>
          <w:tcPr>
            <w:tcW w:type="dxa" w:w="15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21"/>
                <w:szCs w:val="21"/>
              </w:rPr>
              <w:t xml:space="preserve">Date</w:t>
            </w:r>
          </w:p>
        </w:tc>
        <w:tc>
          <w:tcPr>
            <w:tcW w:type="dxa" w:w="78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21"/>
                <w:szCs w:val="21"/>
              </w:rPr>
              <w:t xml:space="preserve">August 2026</w:t>
            </w:r>
          </w:p>
        </w:tc>
      </w:tr>
      <w:tr>
        <w:trPr>
          <w:tblHeader w:val="false"/>
        </w:trPr>
        <w:tc>
          <w:tcPr>
            <w:tcW w:type="dxa" w:w="15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21"/>
                <w:szCs w:val="21"/>
              </w:rPr>
              <w:t xml:space="preserve">Status</w:t>
            </w:r>
          </w:p>
        </w:tc>
        <w:tc>
          <w:tcPr>
            <w:tcW w:type="dxa" w:w="78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21"/>
                <w:szCs w:val="21"/>
              </w:rPr>
              <w:t xml:space="preserve">Final</w:t>
            </w:r>
          </w:p>
        </w:tc>
      </w:tr>
    </w:tbl>
    <w:p>
      <w:pPr>
        <w:spacing w:after="200" w:line="276"/>
        <w:jc w:val="left"/>
      </w:pPr>
      <w:r>
        <w:rPr>
          <w:rFonts w:ascii="Times New Roman" w:cs="Times New Roman" w:eastAsia="Times New Roman" w:hAnsi="Times New Roman"/>
          <w:b w:val="false"/>
          <w:bCs w:val="false"/>
          <w:i w:val="false"/>
          <w:iCs w:val="false"/>
          <w:sz w:val="22"/>
          <w:szCs w:val="22"/>
        </w:rPr>
        <w:t xml:space="preserve"/>
      </w:r>
    </w:p>
    <w:p>
      <w:pPr>
        <w:pStyle w:val="Heading1"/>
        <w:spacing w:after="140" w:before="300"/>
      </w:pPr>
      <w:r>
        <w:rPr>
          <w:rFonts w:ascii="Times New Roman" w:cs="Times New Roman" w:eastAsia="Times New Roman" w:hAnsi="Times New Roman"/>
          <w:b/>
          <w:bCs/>
          <w:sz w:val="26"/>
          <w:szCs w:val="26"/>
        </w:rPr>
        <w:t xml:space="preserve">1. Purpose</w:t>
      </w:r>
    </w:p>
    <w:p>
      <w:pPr>
        <w:spacing w:after="160" w:line="276"/>
        <w:jc w:val="left"/>
      </w:pPr>
      <w:r>
        <w:rPr>
          <w:rFonts w:ascii="Times New Roman" w:cs="Times New Roman" w:eastAsia="Times New Roman" w:hAnsi="Times New Roman"/>
          <w:b w:val="false"/>
          <w:bCs w:val="false"/>
          <w:i w:val="false"/>
          <w:iCs w:val="false"/>
          <w:sz w:val="22"/>
          <w:szCs w:val="22"/>
        </w:rPr>
        <w:t xml:space="preserve">This memorandum documents the development of an unregulated annual maximum flow record and the resulting unregulated flow frequency curves for the Cowlitz River at Castle Rock, Washington. Curves were developed for the instantaneous peak and for the 1-, 3-, and 5-day durations using water years 1927 through 2026.</w:t>
      </w:r>
    </w:p>
    <w:p>
      <w:pPr>
        <w:spacing w:after="160" w:line="276"/>
        <w:jc w:val="left"/>
      </w:pPr>
      <w:r>
        <w:rPr>
          <w:rFonts w:ascii="Times New Roman" w:cs="Times New Roman" w:eastAsia="Times New Roman" w:hAnsi="Times New Roman"/>
          <w:b w:val="false"/>
          <w:bCs w:val="false"/>
          <w:i w:val="false"/>
          <w:iCs w:val="false"/>
          <w:sz w:val="22"/>
          <w:szCs w:val="22"/>
        </w:rPr>
        <w:t xml:space="preserve">The unregulated curves are an intermediate product. They are the input to the regulated flow frequency analysis that follows in the next phase of the study, and the regulated curves in turn support levee fragility assessment and floodplain mapping in the lower Cowlitz valley. The unregulated record is developed first because regulated frequency cannot be estimated directly from the regulated gage record: reservoir operations have changed over the period of record, so the regulated peaks are not a homogeneous sample. The standard approach is to establish the frequency of the natural inflow, then route that population of events through the current operating rules.</w:t>
      </w:r>
    </w:p>
    <w:p>
      <w:pPr>
        <w:pStyle w:val="Heading1"/>
        <w:spacing w:after="140" w:before="300"/>
      </w:pPr>
      <w:r>
        <w:rPr>
          <w:rFonts w:ascii="Times New Roman" w:cs="Times New Roman" w:eastAsia="Times New Roman" w:hAnsi="Times New Roman"/>
          <w:b/>
          <w:bCs/>
          <w:sz w:val="26"/>
          <w:szCs w:val="26"/>
        </w:rPr>
        <w:t xml:space="preserve">2. Background</w:t>
      </w:r>
    </w:p>
    <w:p>
      <w:pPr>
        <w:pStyle w:val="Heading2"/>
        <w:spacing w:after="140" w:before="300"/>
      </w:pPr>
      <w:r>
        <w:rPr>
          <w:rFonts w:ascii="Times New Roman" w:cs="Times New Roman" w:eastAsia="Times New Roman" w:hAnsi="Times New Roman"/>
          <w:b/>
          <w:bCs/>
          <w:sz w:val="23"/>
          <w:szCs w:val="23"/>
        </w:rPr>
        <w:t xml:space="preserve">2.1 Basin and Water Resource Projects</w:t>
      </w:r>
    </w:p>
    <w:p>
      <w:pPr>
        <w:spacing w:after="160" w:line="276"/>
        <w:jc w:val="left"/>
      </w:pPr>
      <w:r>
        <w:rPr>
          <w:rFonts w:ascii="Times New Roman" w:cs="Times New Roman" w:eastAsia="Times New Roman" w:hAnsi="Times New Roman"/>
          <w:b w:val="false"/>
          <w:bCs w:val="false"/>
          <w:i w:val="false"/>
          <w:iCs w:val="false"/>
          <w:sz w:val="22"/>
          <w:szCs w:val="22"/>
        </w:rPr>
        <w:t xml:space="preserve">The Cowlitz River drains the southern Washington Cascades and enters the Columbia River near Longview. The Castle Rock gage sits in the lower valley, downstream of the Toutle River confluence and downstream of all of the basin's storage projects, so it integrates the entire regulated and unregulated response above the leveed reach of interest.</w:t>
      </w:r>
    </w:p>
    <w:p>
      <w:pPr>
        <w:spacing w:after="160" w:line="276"/>
        <w:jc w:val="left"/>
      </w:pPr>
      <w:r>
        <w:rPr>
          <w:rFonts w:ascii="Times New Roman" w:cs="Times New Roman" w:eastAsia="Times New Roman" w:hAnsi="Times New Roman"/>
          <w:b w:val="false"/>
          <w:bCs w:val="false"/>
          <w:i w:val="false"/>
          <w:iCs w:val="false"/>
          <w:sz w:val="22"/>
          <w:szCs w:val="22"/>
        </w:rPr>
        <w:t xml:space="preserve">Three non-Federal hydroelectric projects lie on the mainstem. Mayfield Dam, completed in 1963, and Mossyrock Dam, completed in 1968, are operated by Tacoma Power as part of the Cowlitz Hydroelectric Project. Cowlitz Falls Dam, completed in 1994 and operated by the Lewis County Public Utility District, is farther upstream. Mossyrock, which impounds Riffe Lake, holds essentially all of the usable storage in the basin and is the only project that materially reshapes flood hydrographs at Castle Rock. Mossyrock began actively impounding the river in December 1968; water years 1927 through 1968 are therefore treated as unregulated.</w:t>
      </w:r>
    </w:p>
    <w:p>
      <w:pPr>
        <w:spacing w:after="40" w:before="160"/>
        <w:jc w:val="center"/>
      </w:pPr>
      <w:r>
        <w:drawing>
          <wp:inline distT="0" distB="0" distL="0" distR="0">
            <wp:extent cx="59436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01752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9"/>
          <w:szCs w:val="19"/>
        </w:rPr>
        <w:t xml:space="preserve">Figure 2-1. Cowlitz River basin schematic showing the mainstem projects, the two gages used in this analysis, and the Toutle River confluence. Not to scale.</w:t>
      </w:r>
    </w:p>
    <w:p>
      <w:pPr>
        <w:pStyle w:val="Heading2"/>
        <w:spacing w:after="140" w:before="300"/>
      </w:pPr>
      <w:r>
        <w:rPr>
          <w:rFonts w:ascii="Times New Roman" w:cs="Times New Roman" w:eastAsia="Times New Roman" w:hAnsi="Times New Roman"/>
          <w:b/>
          <w:bCs/>
          <w:sz w:val="23"/>
          <w:szCs w:val="23"/>
        </w:rPr>
        <w:t xml:space="preserve">2.2 Why Only Mossyrock Is Removed</w:t>
      </w:r>
    </w:p>
    <w:p>
      <w:pPr>
        <w:spacing w:after="160" w:line="276"/>
        <w:jc w:val="left"/>
      </w:pPr>
      <w:r>
        <w:rPr>
          <w:rFonts w:ascii="Times New Roman" w:cs="Times New Roman" w:eastAsia="Times New Roman" w:hAnsi="Times New Roman"/>
          <w:b w:val="false"/>
          <w:bCs w:val="false"/>
          <w:i w:val="false"/>
          <w:iCs w:val="false"/>
          <w:sz w:val="22"/>
          <w:szCs w:val="22"/>
        </w:rPr>
        <w:t xml:space="preserve">Mayfield operates as a re-regulating pool immediately below Mossyrock. Its usable pond is small relative to Riffe Lake, and its storage fluctuations are a daily operating cycle that largely cancels over the 1-day and longer averaging windows used in this study. Mayfield is not ignored, however. The hourly analysis takes observed Mayfield outflow as the upstream boundary and routes it downstream, so whatever Mayfield does is already carried in the routed record. Only the Mossyrock storage signal has to be added back to reconstruct unregulated flow. Cowlitz Falls is run-of-river and stores nothing of consequence at flood time scales.</w:t>
      </w:r>
    </w:p>
    <w:p>
      <w:pPr>
        <w:pStyle w:val="Heading2"/>
        <w:spacing w:after="140" w:before="300"/>
      </w:pPr>
      <w:r>
        <w:rPr>
          <w:rFonts w:ascii="Times New Roman" w:cs="Times New Roman" w:eastAsia="Times New Roman" w:hAnsi="Times New Roman"/>
          <w:b/>
          <w:bCs/>
          <w:sz w:val="23"/>
          <w:szCs w:val="23"/>
        </w:rPr>
        <w:t xml:space="preserve">2.3 Previous Study</w:t>
      </w:r>
    </w:p>
    <w:p>
      <w:pPr>
        <w:spacing w:after="160" w:line="276"/>
        <w:jc w:val="left"/>
      </w:pPr>
      <w:r>
        <w:rPr>
          <w:rFonts w:ascii="Times New Roman" w:cs="Times New Roman" w:eastAsia="Times New Roman" w:hAnsi="Times New Roman"/>
          <w:b w:val="false"/>
          <w:bCs w:val="false"/>
          <w:i w:val="false"/>
          <w:iCs w:val="false"/>
          <w:sz w:val="22"/>
          <w:szCs w:val="22"/>
        </w:rPr>
        <w:t xml:space="preserve">The previously adopted unregulated frequency curves at Castle Rock come from the 2009 Cowlitz Hydrology Restudy. That study predates Bulletin 17C, used a shorter systematic record, and reported its shortest duration as a 0.20-day average rather than an instantaneous peak. The present study extends the record by roughly seventeen water years, adopts the Bulletin 17C expected moments algorithm, and uses the current published regional skew studies. Section 11 compares the two sets of curves.</w:t>
      </w:r>
    </w:p>
    <w:p>
      <w:pPr>
        <w:pStyle w:val="Heading1"/>
        <w:spacing w:after="140" w:before="300"/>
      </w:pPr>
      <w:r>
        <w:rPr>
          <w:rFonts w:ascii="Times New Roman" w:cs="Times New Roman" w:eastAsia="Times New Roman" w:hAnsi="Times New Roman"/>
          <w:b/>
          <w:bCs/>
          <w:sz w:val="26"/>
          <w:szCs w:val="26"/>
        </w:rPr>
        <w:t xml:space="preserve">3. Data Used</w:t>
      </w:r>
    </w:p>
    <w:p>
      <w:pPr>
        <w:spacing w:after="160" w:line="276"/>
        <w:jc w:val="left"/>
      </w:pPr>
      <w:r>
        <w:rPr>
          <w:rFonts w:ascii="Times New Roman" w:cs="Times New Roman" w:eastAsia="Times New Roman" w:hAnsi="Times New Roman"/>
          <w:b w:val="false"/>
          <w:bCs w:val="false"/>
          <w:i w:val="false"/>
          <w:iCs w:val="false"/>
          <w:sz w:val="22"/>
          <w:szCs w:val="22"/>
        </w:rPr>
        <w:t xml:space="preserve">Table 3-1 lists the datasets used to build the record and the purpose each one served.</w:t>
      </w:r>
    </w:p>
    <w:tbl>
      <w:tblPr>
        <w:tblW w:type="dxa" w:w="9360"/>
        <w:tblBorders>
          <w:top w:val="single" w:color="7A869A" w:sz="4"/>
          <w:left w:val="single" w:color="7A869A" w:sz="4"/>
          <w:bottom w:val="single" w:color="7A869A" w:sz="4"/>
          <w:right w:val="single" w:color="7A869A" w:sz="4"/>
          <w:insideH w:val="single" w:color="B7C0CC" w:sz="2"/>
          <w:insideV w:val="single" w:color="B7C0CC" w:sz="2"/>
        </w:tblBorders>
      </w:tblPr>
      <w:tblGrid>
        <w:gridCol w:w="2900"/>
        <w:gridCol w:w="1700"/>
        <w:gridCol w:w="4760"/>
      </w:tblGrid>
      <w:tr>
        <w:trPr>
          <w:tblHeader/>
        </w:trPr>
        <w:tc>
          <w:tcPr>
            <w:tcW w:type="dxa" w:w="29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Dataset</w:t>
            </w:r>
          </w:p>
        </w:tc>
        <w:tc>
          <w:tcPr>
            <w:tcW w:type="dxa" w:w="17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Period Used</w:t>
            </w:r>
          </w:p>
        </w:tc>
        <w:tc>
          <w:tcPr>
            <w:tcW w:type="dxa" w:w="476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Purpose</w:t>
            </w:r>
          </w:p>
        </w:tc>
      </w:tr>
      <w:tr>
        <w:trPr>
          <w:tblHeader w:val="false"/>
        </w:trPr>
        <w:tc>
          <w:tcPr>
            <w:tcW w:type="dxa" w:w="29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Mossyrock pool elevation, hourly</w:t>
            </w:r>
          </w:p>
        </w:tc>
        <w:tc>
          <w:tcPr>
            <w:tcW w:type="dxa" w:w="17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Nov 1974 - May 2026</w:t>
            </w:r>
          </w:p>
        </w:tc>
        <w:tc>
          <w:tcPr>
            <w:tcW w:type="dxa" w:w="47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Reservoir storage change at hourly resolution; basis for the hourly unregulated peak estimates.</w:t>
            </w:r>
          </w:p>
        </w:tc>
      </w:tr>
      <w:tr>
        <w:trPr>
          <w:tblHeader w:val="false"/>
        </w:trPr>
        <w:tc>
          <w:tcPr>
            <w:tcW w:type="dxa" w:w="29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Mossyrock storage telemetry, hourly</w:t>
            </w:r>
          </w:p>
        </w:tc>
        <w:tc>
          <w:tcPr>
            <w:tcW w:type="dxa" w:w="17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Regulated era</w:t>
            </w:r>
          </w:p>
        </w:tc>
        <w:tc>
          <w:tcPr>
            <w:tcW w:type="dxa" w:w="47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Data quality screen. The number of valid readings per day determines which days of the hourly elevation record are trusted.</w:t>
            </w:r>
          </w:p>
        </w:tc>
      </w:tr>
      <w:tr>
        <w:trPr>
          <w:tblHeader w:val="false"/>
        </w:trPr>
        <w:tc>
          <w:tcPr>
            <w:tcW w:type="dxa" w:w="29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Mossyrock pool elevation, daily</w:t>
            </w:r>
          </w:p>
        </w:tc>
        <w:tc>
          <w:tcPr>
            <w:tcW w:type="dxa" w:w="17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Oct 1973 - present</w:t>
            </w:r>
          </w:p>
        </w:tc>
        <w:tc>
          <w:tcPr>
            <w:tcW w:type="dxa" w:w="47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Storage change used for the regression predictors and for the daily mass balance. A separate record, not daily means of the hourly record.</w:t>
            </w:r>
          </w:p>
        </w:tc>
      </w:tr>
      <w:tr>
        <w:trPr>
          <w:tblHeader w:val="false"/>
        </w:trPr>
        <w:tc>
          <w:tcPr>
            <w:tcW w:type="dxa" w:w="29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Mossyrock elevation-storage relation</w:t>
            </w:r>
          </w:p>
        </w:tc>
        <w:tc>
          <w:tcPr>
            <w:tcW w:type="dxa" w:w="17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2014 Water Control Manual</w:t>
            </w:r>
          </w:p>
        </w:tc>
        <w:tc>
          <w:tcPr>
            <w:tcW w:type="dxa" w:w="47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Converts pool elevation to reservoir storage.</w:t>
            </w:r>
          </w:p>
        </w:tc>
      </w:tr>
      <w:tr>
        <w:trPr>
          <w:tblHeader w:val="false"/>
        </w:trPr>
        <w:tc>
          <w:tcPr>
            <w:tcW w:type="dxa" w:w="29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Castle Rock streamflow, hourly (USGS 14243000)</w:t>
            </w:r>
          </w:p>
        </w:tc>
        <w:tc>
          <w:tcPr>
            <w:tcW w:type="dxa" w:w="17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Regulated era</w:t>
            </w:r>
          </w:p>
        </w:tc>
        <w:tc>
          <w:tcPr>
            <w:tcW w:type="dxa" w:w="47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Regulated flow at the study location; source of the regulated peak.</w:t>
            </w:r>
          </w:p>
        </w:tc>
      </w:tr>
      <w:tr>
        <w:trPr>
          <w:tblHeader w:val="false"/>
        </w:trPr>
        <w:tc>
          <w:tcPr>
            <w:tcW w:type="dxa" w:w="29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Castle Rock streamflow, daily (USGS 14243000)</w:t>
            </w:r>
          </w:p>
        </w:tc>
        <w:tc>
          <w:tcPr>
            <w:tcW w:type="dxa" w:w="17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WY1927 - present</w:t>
            </w:r>
          </w:p>
        </w:tc>
        <w:tc>
          <w:tcPr>
            <w:tcW w:type="dxa" w:w="47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Pre-regulation durations, and the regulated daily flow used in the mass balance.</w:t>
            </w:r>
          </w:p>
        </w:tc>
      </w:tr>
      <w:tr>
        <w:trPr>
          <w:tblHeader w:val="false"/>
        </w:trPr>
        <w:tc>
          <w:tcPr>
            <w:tcW w:type="dxa" w:w="29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Castle Rock annual peak flows (USGS 14243000)</w:t>
            </w:r>
          </w:p>
        </w:tc>
        <w:tc>
          <w:tcPr>
            <w:tcW w:type="dxa" w:w="17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WY1927 - present</w:t>
            </w:r>
          </w:p>
        </w:tc>
        <w:tc>
          <w:tcPr>
            <w:tcW w:type="dxa" w:w="47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Pre-regulation peaks, and the regulated peak for years that the hourly record does not cover.</w:t>
            </w:r>
          </w:p>
        </w:tc>
      </w:tr>
      <w:tr>
        <w:trPr>
          <w:tblHeader w:val="false"/>
        </w:trPr>
        <w:tc>
          <w:tcPr>
            <w:tcW w:type="dxa" w:w="29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Mayfield outflow, hourly (USGS 14238000)</w:t>
            </w:r>
          </w:p>
        </w:tc>
        <w:tc>
          <w:tcPr>
            <w:tcW w:type="dxa" w:w="17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Regulated era</w:t>
            </w:r>
          </w:p>
        </w:tc>
        <w:tc>
          <w:tcPr>
            <w:tcW w:type="dxa" w:w="47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Upstream boundary for routing the reservoir signal to Castle Rock.</w:t>
            </w:r>
          </w:p>
        </w:tc>
      </w:tr>
    </w:tbl>
    <w:p>
      <w:pPr>
        <w:spacing w:after="240" w:before="80"/>
        <w:jc w:val="center"/>
      </w:pPr>
      <w:r>
        <w:rPr>
          <w:rFonts w:ascii="Times New Roman" w:cs="Times New Roman" w:eastAsia="Times New Roman" w:hAnsi="Times New Roman"/>
          <w:i/>
          <w:iCs/>
          <w:sz w:val="19"/>
          <w:szCs w:val="19"/>
        </w:rPr>
        <w:t xml:space="preserve">Table 3-1. Datasets used and their purpose.</w:t>
      </w:r>
    </w:p>
    <w:p>
      <w:pPr>
        <w:spacing w:after="160" w:line="276"/>
        <w:jc w:val="left"/>
      </w:pPr>
      <w:r>
        <w:rPr>
          <w:rFonts w:ascii="Times New Roman" w:cs="Times New Roman" w:eastAsia="Times New Roman" w:hAnsi="Times New Roman"/>
          <w:b w:val="false"/>
          <w:bCs w:val="false"/>
          <w:i w:val="false"/>
          <w:iCs w:val="false"/>
          <w:sz w:val="22"/>
          <w:szCs w:val="22"/>
        </w:rPr>
        <w:t xml:space="preserve">The hourly Mossyrock elevation record required substantial manual cleaning before it could be used. That work was performed iteratively in HEC-DSSVue and is a manual product; the cleaned record, and the edits behind it, are retained with the study files.</w:t>
      </w:r>
    </w:p>
    <w:p>
      <w:pPr>
        <w:pStyle w:val="Heading1"/>
        <w:spacing w:after="140" w:before="300"/>
      </w:pPr>
      <w:r>
        <w:rPr>
          <w:rFonts w:ascii="Times New Roman" w:cs="Times New Roman" w:eastAsia="Times New Roman" w:hAnsi="Times New Roman"/>
          <w:b/>
          <w:bCs/>
          <w:sz w:val="26"/>
          <w:szCs w:val="26"/>
        </w:rPr>
        <w:t xml:space="preserve">4. Overall Approach</w:t>
      </w:r>
    </w:p>
    <w:p>
      <w:pPr>
        <w:spacing w:after="160" w:line="276"/>
        <w:jc w:val="left"/>
      </w:pPr>
      <w:r>
        <w:rPr>
          <w:rFonts w:ascii="Times New Roman" w:cs="Times New Roman" w:eastAsia="Times New Roman" w:hAnsi="Times New Roman"/>
          <w:b w:val="false"/>
          <w:bCs w:val="false"/>
          <w:i w:val="false"/>
          <w:iCs w:val="false"/>
          <w:sz w:val="22"/>
          <w:szCs w:val="22"/>
        </w:rPr>
        <w:t xml:space="preserve">Unregulated flow is the flow that would have occurred at Castle Rock in the absence of Mossyrock. Because Mossyrock changes downstream flow only by storing and releasing water, the unregulated hydrograph can be reconstructed by adding back the rate at which the reservoir was filling. That quantity, the change in reservoir storage expressed as a flow rate, is referred to throughout this memorandum as the holdout: the flow held out of the river by the project. A positive holdout means the reservoir was filling and withholding water from the reach below.</w:t>
      </w:r>
    </w:p>
    <w:p>
      <w:pPr>
        <w:spacing w:after="160" w:line="276"/>
        <w:jc w:val="left"/>
      </w:pPr>
      <w:r>
        <w:rPr>
          <w:rFonts w:ascii="Times New Roman" w:cs="Times New Roman" w:eastAsia="Times New Roman" w:hAnsi="Times New Roman"/>
          <w:b w:val="false"/>
          <w:bCs w:val="false"/>
          <w:i w:val="false"/>
          <w:iCs w:val="false"/>
          <w:sz w:val="22"/>
          <w:szCs w:val="22"/>
        </w:rPr>
        <w:t xml:space="preserve">Three periods were treated differently, according to what the data supported.</w:t>
      </w:r>
    </w:p>
    <w:p>
      <w:pPr>
        <w:spacing w:after="160" w:line="276"/>
        <w:jc w:val="left"/>
      </w:pPr>
      <w:r>
        <w:rPr>
          <w:rFonts w:ascii="Times New Roman" w:cs="Times New Roman" w:eastAsia="Times New Roman" w:hAnsi="Times New Roman"/>
          <w:b w:val="false"/>
          <w:bCs w:val="false"/>
          <w:i w:val="false"/>
          <w:iCs w:val="false"/>
          <w:sz w:val="22"/>
          <w:szCs w:val="22"/>
        </w:rPr>
        <w:t xml:space="preserve">For the pre-regulation period, water years 1927 through 1968, the gage record is unregulated by definition and was used as observed.</w:t>
      </w:r>
    </w:p>
    <w:p>
      <w:pPr>
        <w:spacing w:after="160" w:line="276"/>
        <w:jc w:val="left"/>
      </w:pPr>
      <w:r>
        <w:rPr>
          <w:rFonts w:ascii="Times New Roman" w:cs="Times New Roman" w:eastAsia="Times New Roman" w:hAnsi="Times New Roman"/>
          <w:b w:val="false"/>
          <w:bCs w:val="false"/>
          <w:i w:val="false"/>
          <w:iCs w:val="false"/>
          <w:sz w:val="22"/>
          <w:szCs w:val="22"/>
        </w:rPr>
        <w:t xml:space="preserve">For the regulated period, the reconstruction was carried out at whatever resolution the reservoir record supported. Where the hourly elevation record was clean enough to compute an hourly holdout, the holdout was routed downstream and added to observed flow, producing an hourly unregulated hydrograph from which the peak and the 1-day maximum were taken. Where it was not, the peak was estimated by regression from the daily reservoir record, as described in Section 7.</w:t>
      </w:r>
    </w:p>
    <w:p>
      <w:pPr>
        <w:spacing w:after="160" w:line="276"/>
        <w:jc w:val="left"/>
      </w:pPr>
      <w:r>
        <w:rPr>
          <w:rFonts w:ascii="Times New Roman" w:cs="Times New Roman" w:eastAsia="Times New Roman" w:hAnsi="Times New Roman"/>
          <w:b w:val="false"/>
          <w:bCs w:val="false"/>
          <w:i w:val="false"/>
          <w:iCs w:val="false"/>
          <w:sz w:val="22"/>
          <w:szCs w:val="22"/>
        </w:rPr>
        <w:t xml:space="preserve">For the 3- and 5-day durations, hourly resolution is unnecessary. Those values were computed from a daily mass balance that requires only the daily reservoir elevation record and the daily gage record, both of which are essentially complete through the regulated era.</w:t>
      </w:r>
    </w:p>
    <w:p>
      <w:pPr>
        <w:pStyle w:val="Heading1"/>
        <w:spacing w:after="140" w:before="300"/>
      </w:pPr>
      <w:r>
        <w:rPr>
          <w:rFonts w:ascii="Times New Roman" w:cs="Times New Roman" w:eastAsia="Times New Roman" w:hAnsi="Times New Roman"/>
          <w:b/>
          <w:bCs/>
          <w:sz w:val="26"/>
          <w:szCs w:val="26"/>
        </w:rPr>
        <w:t xml:space="preserve">5. Hourly Unregulated Record</w:t>
      </w:r>
    </w:p>
    <w:p>
      <w:pPr>
        <w:spacing w:after="160" w:line="276"/>
        <w:jc w:val="left"/>
      </w:pPr>
      <w:r>
        <w:rPr>
          <w:rFonts w:ascii="Times New Roman" w:cs="Times New Roman" w:eastAsia="Times New Roman" w:hAnsi="Times New Roman"/>
          <w:b w:val="false"/>
          <w:bCs w:val="false"/>
          <w:i w:val="false"/>
          <w:iCs w:val="false"/>
          <w:sz w:val="22"/>
          <w:szCs w:val="22"/>
        </w:rPr>
        <w:t xml:space="preserve">The cleaned hourly pool elevation was converted to storage using the 2014 Water Control Manual rating curve and differenced to obtain an hourly holdout in cubic feet per second. The result was smoothed with a three-hour centered moving average to suppress gage noise amplified by the differencing, and restricted to the October through March flood season. Days on which the underlying storage telemetry carried fewer than four valid readings were blanked, with manual date-range overrides where record quality was known to differ from the reading count.</w:t>
      </w:r>
    </w:p>
    <w:p>
      <w:pPr>
        <w:spacing w:after="160" w:line="276"/>
        <w:jc w:val="left"/>
      </w:pPr>
      <w:r>
        <w:rPr>
          <w:rFonts w:ascii="Times New Roman" w:cs="Times New Roman" w:eastAsia="Times New Roman" w:hAnsi="Times New Roman"/>
          <w:b w:val="false"/>
          <w:bCs w:val="false"/>
          <w:i w:val="false"/>
          <w:iCs w:val="false"/>
          <w:sz w:val="22"/>
          <w:szCs w:val="22"/>
        </w:rPr>
        <w:t xml:space="preserve">The reservoir signal was then translated to the study location. Mayfield outflow plus the holdout was routed to Castle Rock, and Mayfield outflow alone was routed to Castle Rock; the difference between the two routed hydrographs is the routed effect of the reservoir, which was added to observed Castle Rock flow to give the hourly unregulated estimate. Routing used three chained SSARR reaches spanning Mayfield to Castle Rock, with the parameters in Table 5-1 adopted without change from the calibrated lower Cowlitz routing model used in District modeling of this reach. The Toutle River reach was excluded because only the mainstem reservoir signal is being routed, not the Toutle inflow itself, which is already present in the observed Castle Rock record.</w:t>
      </w:r>
    </w:p>
    <w:tbl>
      <w:tblPr>
        <w:tblW w:type="dxa" w:w="9360"/>
        <w:tblBorders>
          <w:top w:val="single" w:color="7A869A" w:sz="4"/>
          <w:left w:val="single" w:color="7A869A" w:sz="4"/>
          <w:bottom w:val="single" w:color="7A869A" w:sz="4"/>
          <w:right w:val="single" w:color="7A869A" w:sz="4"/>
          <w:insideH w:val="single" w:color="B7C0CC" w:sz="2"/>
          <w:insideV w:val="single" w:color="B7C0CC" w:sz="2"/>
        </w:tblBorders>
      </w:tblPr>
      <w:tblGrid>
        <w:gridCol w:w="4400"/>
        <w:gridCol w:w="1300"/>
        <w:gridCol w:w="1300"/>
        <w:gridCol w:w="2360"/>
      </w:tblGrid>
      <w:tr>
        <w:trPr>
          <w:tblHeader/>
        </w:trPr>
        <w:tc>
          <w:tcPr>
            <w:tcW w:type="dxa" w:w="44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Reach</w:t>
            </w:r>
          </w:p>
        </w:tc>
        <w:tc>
          <w:tcPr>
            <w:tcW w:type="dxa" w:w="13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KTS</w:t>
            </w:r>
          </w:p>
        </w:tc>
        <w:tc>
          <w:tcPr>
            <w:tcW w:type="dxa" w:w="13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n</w:t>
            </w:r>
          </w:p>
        </w:tc>
        <w:tc>
          <w:tcPr>
            <w:tcW w:type="dxa" w:w="236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Phases</w:t>
            </w:r>
          </w:p>
        </w:tc>
      </w:tr>
      <w:tr>
        <w:trPr>
          <w:tblHeader w:val="false"/>
        </w:trPr>
        <w:tc>
          <w:tcPr>
            <w:tcW w:type="dxa" w:w="4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Mayfield outflow to Cowlitz River above Toutle River</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5</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0.1</w:t>
            </w:r>
          </w:p>
        </w:tc>
        <w:tc>
          <w:tcPr>
            <w:tcW w:type="dxa" w:w="23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5</w:t>
            </w:r>
          </w:p>
        </w:tc>
      </w:tr>
      <w:tr>
        <w:trPr>
          <w:tblHeader w:val="false"/>
        </w:trPr>
        <w:tc>
          <w:tcPr>
            <w:tcW w:type="dxa" w:w="4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Cowlitz River above Toutle River to Cowlitz River below Toutle River</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1</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0.2</w:t>
            </w:r>
          </w:p>
        </w:tc>
        <w:tc>
          <w:tcPr>
            <w:tcW w:type="dxa" w:w="23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1</w:t>
            </w:r>
          </w:p>
        </w:tc>
      </w:tr>
      <w:tr>
        <w:trPr>
          <w:tblHeader w:val="false"/>
        </w:trPr>
        <w:tc>
          <w:tcPr>
            <w:tcW w:type="dxa" w:w="4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Cowlitz River below Toutle River to Castle Rock</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1</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0.2</w:t>
            </w:r>
          </w:p>
        </w:tc>
        <w:tc>
          <w:tcPr>
            <w:tcW w:type="dxa" w:w="23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5</w:t>
            </w:r>
          </w:p>
        </w:tc>
      </w:tr>
    </w:tbl>
    <w:p>
      <w:pPr>
        <w:spacing w:after="240" w:before="80"/>
        <w:jc w:val="center"/>
      </w:pPr>
      <w:r>
        <w:rPr>
          <w:rFonts w:ascii="Times New Roman" w:cs="Times New Roman" w:eastAsia="Times New Roman" w:hAnsi="Times New Roman"/>
          <w:i/>
          <w:iCs/>
          <w:sz w:val="19"/>
          <w:szCs w:val="19"/>
        </w:rPr>
        <w:t xml:space="preserve">Table 5-1. SSARR routing parameters, from the calibrated lower Cowlitz routing model.</w:t>
      </w:r>
    </w:p>
    <w:p>
      <w:pPr>
        <w:spacing w:after="160" w:line="276"/>
        <w:jc w:val="left"/>
      </w:pPr>
      <w:r>
        <w:rPr>
          <w:rFonts w:ascii="Times New Roman" w:cs="Times New Roman" w:eastAsia="Times New Roman" w:hAnsi="Times New Roman"/>
          <w:b w:val="false"/>
          <w:bCs w:val="false"/>
          <w:i w:val="false"/>
          <w:iCs w:val="false"/>
          <w:sz w:val="22"/>
          <w:szCs w:val="22"/>
        </w:rPr>
        <w:t xml:space="preserve">Twenty-three water years produced holdout-based peaks: 1992, 1997, 1999, 2003, 2004, and 2008 through 2026. Much of the post-1974 hourly elevation record proved unusable at hourly resolution and could not support a holdout.</w:t>
      </w:r>
    </w:p>
    <w:p>
      <w:pPr>
        <w:pStyle w:val="Heading1"/>
        <w:spacing w:after="140" w:before="300"/>
      </w:pPr>
      <w:r>
        <w:rPr>
          <w:rFonts w:ascii="Times New Roman" w:cs="Times New Roman" w:eastAsia="Times New Roman" w:hAnsi="Times New Roman"/>
          <w:b/>
          <w:bCs/>
          <w:sz w:val="26"/>
          <w:szCs w:val="26"/>
        </w:rPr>
        <w:t xml:space="preserve">6. Screening the Hourly Estimates</w:t>
      </w:r>
    </w:p>
    <w:p>
      <w:pPr>
        <w:spacing w:after="160" w:line="276"/>
        <w:jc w:val="left"/>
      </w:pPr>
      <w:r>
        <w:rPr>
          <w:rFonts w:ascii="Times New Roman" w:cs="Times New Roman" w:eastAsia="Times New Roman" w:hAnsi="Times New Roman"/>
          <w:b w:val="false"/>
          <w:bCs w:val="false"/>
          <w:i w:val="false"/>
          <w:iCs w:val="false"/>
          <w:sz w:val="22"/>
          <w:szCs w:val="22"/>
        </w:rPr>
        <w:t xml:space="preserve">A peak computed from an incomplete record is only the annual maximum if the record covered the largest event of the year. The purpose of the screen was therefore to confirm, year by year, that the unregulated estimate had data through the basin's biggest flood before that year's peak was accepted.</w:t>
      </w:r>
    </w:p>
    <w:p>
      <w:pPr>
        <w:spacing w:after="160" w:line="276"/>
        <w:jc w:val="left"/>
      </w:pPr>
      <w:r>
        <w:rPr>
          <w:rFonts w:ascii="Times New Roman" w:cs="Times New Roman" w:eastAsia="Times New Roman" w:hAnsi="Times New Roman"/>
          <w:b w:val="false"/>
          <w:bCs w:val="false"/>
          <w:i w:val="false"/>
          <w:iCs w:val="false"/>
          <w:sz w:val="22"/>
          <w:szCs w:val="22"/>
        </w:rPr>
        <w:t xml:space="preserve">Two intuitive tests were rejected. Season-wide completeness is too blunt: water year 2016 is missing a quarter of the flood season yet has continuous data through the annual flood, with the nearest gap more than a month away, and a completeness threshold would have discarded a directly computed peak in favor of a regression estimate. Agreement between the timing of the regulated and unregulated peaks is also the wrong test, because regulation decides which storm produces the largest regulated flow; the unregulated maximum can legitimately fall on a different event.</w:t>
      </w:r>
    </w:p>
    <w:p>
      <w:pPr>
        <w:spacing w:after="160" w:line="276"/>
        <w:jc w:val="left"/>
      </w:pPr>
      <w:r>
        <w:rPr>
          <w:rFonts w:ascii="Times New Roman" w:cs="Times New Roman" w:eastAsia="Times New Roman" w:hAnsi="Times New Roman"/>
          <w:b w:val="false"/>
          <w:bCs w:val="false"/>
          <w:i w:val="false"/>
          <w:iCs w:val="false"/>
          <w:sz w:val="22"/>
          <w:szCs w:val="22"/>
        </w:rPr>
        <w:t xml:space="preserve">The test adopted was whether the unregulated series had data covering the event that produced the regulated annual peak. Every gap of three hours or more in either series during the flood season was cataloged along with its distance from that year's computed peak, and years that failed were carried forward to the regression described in Section 7. One water year, 2001, passed the event test but covered only 39 percent of the flood season, leaving enough of the year unobserved that a larger unregulated event could have been missed; it was retained but flagged.</w:t>
      </w:r>
    </w:p>
    <w:p>
      <w:pPr>
        <w:pStyle w:val="Heading1"/>
        <w:spacing w:after="140" w:before="300"/>
      </w:pPr>
      <w:r>
        <w:rPr>
          <w:rFonts w:ascii="Times New Roman" w:cs="Times New Roman" w:eastAsia="Times New Roman" w:hAnsi="Times New Roman"/>
          <w:b/>
          <w:bCs/>
          <w:sz w:val="26"/>
          <w:szCs w:val="26"/>
        </w:rPr>
        <w:t xml:space="preserve">7. Peak Estimation by Storage-Change Regression</w:t>
      </w:r>
    </w:p>
    <w:p>
      <w:pPr>
        <w:spacing w:after="160" w:line="276"/>
        <w:jc w:val="left"/>
      </w:pPr>
      <w:r>
        <w:rPr>
          <w:rFonts w:ascii="Times New Roman" w:cs="Times New Roman" w:eastAsia="Times New Roman" w:hAnsi="Times New Roman"/>
          <w:b w:val="false"/>
          <w:bCs w:val="false"/>
          <w:i w:val="false"/>
          <w:iCs w:val="false"/>
          <w:sz w:val="22"/>
          <w:szCs w:val="22"/>
        </w:rPr>
        <w:t xml:space="preserve">Roughly a third of the regulated era has no usable hourly reservoir record, so another way to estimate the unregulated peak was needed for those years. Two formulations were considered: regress the unregulated peak directly on a predictor, or regress the adjustment from regulated to unregulated and apply it to the observed regulated peak.</w:t>
      </w:r>
    </w:p>
    <w:p>
      <w:pPr>
        <w:spacing w:after="160" w:line="276"/>
        <w:jc w:val="left"/>
      </w:pPr>
      <w:r>
        <w:rPr>
          <w:rFonts w:ascii="Times New Roman" w:cs="Times New Roman" w:eastAsia="Times New Roman" w:hAnsi="Times New Roman"/>
          <w:b w:val="false"/>
          <w:bCs w:val="false"/>
          <w:i w:val="false"/>
          <w:iCs w:val="false"/>
          <w:sz w:val="22"/>
          <w:szCs w:val="22"/>
        </w:rPr>
        <w:t xml:space="preserve">The second was selected, for two reasons. First, it uses only data that exist for every regulated year. The daily reservoir elevation record and the regulated annual peak record are both essentially complete, so a relation built on those two quantities can be applied throughout the regulated era, including the years before the hourly record begins. Second, and more important, it puts the regression error in the smaller number. The regulated peak is observed, so the only estimated quantity is the adjustment, which is a fraction of the flow being reconstructed. An error of a given percentage on the adjustment translates to a much smaller error on the resulting unregulated peak than the same percentage error would if the unregulated flow were regressed directly.</w:t>
      </w:r>
    </w:p>
    <w:p>
      <w:pPr>
        <w:spacing w:after="160" w:line="276"/>
        <w:jc w:val="left"/>
      </w:pPr>
      <w:r>
        <w:rPr>
          <w:rFonts w:ascii="Times New Roman" w:cs="Times New Roman" w:eastAsia="Times New Roman" w:hAnsi="Times New Roman"/>
          <w:b w:val="false"/>
          <w:bCs w:val="false"/>
          <w:i w:val="false"/>
          <w:iCs w:val="false"/>
          <w:sz w:val="22"/>
          <w:szCs w:val="22"/>
        </w:rPr>
        <w:t xml:space="preserve">The predictor is the largest increase in Mossyrock storage near the event, computed from the daily elevation record over candidate windows of one to four days falling within seven days of the regulated peak. Table 7-1 summarizes the four candidate relations. The two-day window was adopted: it has the highest coefficient of determination and the lowest standard error, and the fit is good enough that the resulting estimates are defensible for frequency analysis.</w:t>
      </w:r>
    </w:p>
    <w:tbl>
      <w:tblPr>
        <w:tblW w:type="dxa" w:w="9360"/>
        <w:tblBorders>
          <w:top w:val="single" w:color="7A869A" w:sz="4"/>
          <w:left w:val="single" w:color="7A869A" w:sz="4"/>
          <w:bottom w:val="single" w:color="7A869A" w:sz="4"/>
          <w:right w:val="single" w:color="7A869A" w:sz="4"/>
          <w:insideH w:val="single" w:color="B7C0CC" w:sz="2"/>
          <w:insideV w:val="single" w:color="B7C0CC" w:sz="2"/>
        </w:tblBorders>
      </w:tblPr>
      <w:tblGrid>
        <w:gridCol w:w="2200"/>
        <w:gridCol w:w="1800"/>
        <w:gridCol w:w="2000"/>
        <w:gridCol w:w="1600"/>
        <w:gridCol w:w="1760"/>
      </w:tblGrid>
      <w:tr>
        <w:trPr>
          <w:tblHeader/>
        </w:trPr>
        <w:tc>
          <w:tcPr>
            <w:tcW w:type="dxa" w:w="22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Storage-change window</w:t>
            </w:r>
          </w:p>
        </w:tc>
        <w:tc>
          <w:tcPr>
            <w:tcW w:type="dxa" w:w="18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Slope</w:t>
            </w:r>
          </w:p>
        </w:tc>
        <w:tc>
          <w:tcPr>
            <w:tcW w:type="dxa" w:w="20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Intercept (cfs)</w:t>
            </w:r>
          </w:p>
        </w:tc>
        <w:tc>
          <w:tcPr>
            <w:tcW w:type="dxa" w:w="16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R-squared</w:t>
            </w:r>
          </w:p>
        </w:tc>
        <w:tc>
          <w:tcPr>
            <w:tcW w:type="dxa" w:w="176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Standard error (cfs)</w:t>
            </w:r>
          </w:p>
        </w:tc>
      </w:tr>
      <w:tr>
        <w:trPr>
          <w:tblHeader w:val="false"/>
        </w:trPr>
        <w:tc>
          <w:tcPr>
            <w:tcW w:type="dxa" w:w="22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1-day</w:t>
            </w:r>
          </w:p>
        </w:tc>
        <w:tc>
          <w:tcPr>
            <w:tcW w:type="dxa" w:w="1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-0.673</w:t>
            </w:r>
          </w:p>
        </w:tc>
        <w:tc>
          <w:tcPr>
            <w:tcW w:type="dxa" w:w="20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-7,751</w:t>
            </w:r>
          </w:p>
        </w:tc>
        <w:tc>
          <w:tcPr>
            <w:tcW w:type="dxa" w:w="16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0.759</w:t>
            </w:r>
          </w:p>
        </w:tc>
        <w:tc>
          <w:tcPr>
            <w:tcW w:type="dxa" w:w="17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7,565</w:t>
            </w:r>
          </w:p>
        </w:tc>
      </w:tr>
      <w:tr>
        <w:trPr>
          <w:tblHeader w:val="false"/>
        </w:trPr>
        <w:tc>
          <w:tcPr>
            <w:tcW w:type="dxa" w:w="22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2-day (adopted)</w:t>
            </w:r>
          </w:p>
        </w:tc>
        <w:tc>
          <w:tcPr>
            <w:tcW w:type="dxa" w:w="1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-0.869</w:t>
            </w:r>
          </w:p>
        </w:tc>
        <w:tc>
          <w:tcPr>
            <w:tcW w:type="dxa" w:w="20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-3,836</w:t>
            </w:r>
          </w:p>
        </w:tc>
        <w:tc>
          <w:tcPr>
            <w:tcW w:type="dxa" w:w="16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0.871</w:t>
            </w:r>
          </w:p>
        </w:tc>
        <w:tc>
          <w:tcPr>
            <w:tcW w:type="dxa" w:w="17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5,528</w:t>
            </w:r>
          </w:p>
        </w:tc>
      </w:tr>
      <w:tr>
        <w:trPr>
          <w:tblHeader w:val="false"/>
        </w:trPr>
        <w:tc>
          <w:tcPr>
            <w:tcW w:type="dxa" w:w="22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3-day</w:t>
            </w:r>
          </w:p>
        </w:tc>
        <w:tc>
          <w:tcPr>
            <w:tcW w:type="dxa" w:w="1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-0.983</w:t>
            </w:r>
          </w:p>
        </w:tc>
        <w:tc>
          <w:tcPr>
            <w:tcW w:type="dxa" w:w="20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-4,537</w:t>
            </w:r>
          </w:p>
        </w:tc>
        <w:tc>
          <w:tcPr>
            <w:tcW w:type="dxa" w:w="16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0.853</w:t>
            </w:r>
          </w:p>
        </w:tc>
        <w:tc>
          <w:tcPr>
            <w:tcW w:type="dxa" w:w="17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5,896</w:t>
            </w:r>
          </w:p>
        </w:tc>
      </w:tr>
      <w:tr>
        <w:trPr>
          <w:tblHeader w:val="false"/>
        </w:trPr>
        <w:tc>
          <w:tcPr>
            <w:tcW w:type="dxa" w:w="22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4-day</w:t>
            </w:r>
          </w:p>
        </w:tc>
        <w:tc>
          <w:tcPr>
            <w:tcW w:type="dxa" w:w="1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-1.140</w:t>
            </w:r>
          </w:p>
        </w:tc>
        <w:tc>
          <w:tcPr>
            <w:tcW w:type="dxa" w:w="20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-4,770</w:t>
            </w:r>
          </w:p>
        </w:tc>
        <w:tc>
          <w:tcPr>
            <w:tcW w:type="dxa" w:w="16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0.836</w:t>
            </w:r>
          </w:p>
        </w:tc>
        <w:tc>
          <w:tcPr>
            <w:tcW w:type="dxa" w:w="17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6,239</w:t>
            </w:r>
          </w:p>
        </w:tc>
      </w:tr>
    </w:tbl>
    <w:p>
      <w:pPr>
        <w:spacing w:after="240" w:before="80"/>
        <w:jc w:val="center"/>
      </w:pPr>
      <w:r>
        <w:rPr>
          <w:rFonts w:ascii="Times New Roman" w:cs="Times New Roman" w:eastAsia="Times New Roman" w:hAnsi="Times New Roman"/>
          <w:i/>
          <w:iCs/>
          <w:sz w:val="19"/>
          <w:szCs w:val="19"/>
        </w:rPr>
        <w:t xml:space="preserve">Table 7-1. Candidate regressions of the regulated-minus-unregulated peak difference on Mossyrock storage change, fit to 17 water years.</w:t>
      </w:r>
    </w:p>
    <w:p>
      <w:pPr>
        <w:spacing w:after="160" w:line="276"/>
        <w:jc w:val="left"/>
      </w:pPr>
      <w:r>
        <w:rPr>
          <w:rFonts w:ascii="Times New Roman" w:cs="Times New Roman" w:eastAsia="Times New Roman" w:hAnsi="Times New Roman"/>
          <w:b w:val="false"/>
          <w:bCs w:val="false"/>
          <w:i w:val="false"/>
          <w:iCs w:val="false"/>
          <w:sz w:val="22"/>
          <w:szCs w:val="22"/>
        </w:rPr>
        <w:t xml:space="preserve">The adopted relation is a peak difference, regulated minus unregulated, of -0.869 times the two-day storage change less 3,836 cubic feet per second, with a coefficient of determination of 0.871, a standard error of about 5,530 cubic feet per second, and seventeen years in the fit set. The unregulated peak is the regulated peak minus the predicted difference.</w:t>
      </w:r>
    </w:p>
    <w:p>
      <w:pPr>
        <w:spacing w:after="40" w:before="160"/>
        <w:jc w:val="center"/>
      </w:pPr>
      <w:r>
        <w:drawing>
          <wp:inline distT="0" distB="0" distL="0" distR="0">
            <wp:extent cx="5303520" cy="38313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3520" cy="3831336"/>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9"/>
          <w:szCs w:val="19"/>
        </w:rPr>
        <w:t xml:space="preserve">Figure 7-1. Adopted two-day storage-change regression. Points are labeled by water year.</w:t>
      </w:r>
    </w:p>
    <w:p>
      <w:pPr>
        <w:spacing w:after="160" w:line="276"/>
        <w:jc w:val="left"/>
      </w:pPr>
      <w:r>
        <w:rPr>
          <w:rFonts w:ascii="Times New Roman" w:cs="Times New Roman" w:eastAsia="Times New Roman" w:hAnsi="Times New Roman"/>
          <w:b w:val="false"/>
          <w:bCs w:val="false"/>
          <w:i w:val="false"/>
          <w:iCs w:val="false"/>
          <w:sz w:val="22"/>
          <w:szCs w:val="22"/>
        </w:rPr>
        <w:t xml:space="preserve">Pairs whose regulated and unregulated peaks fell more than 72 hours apart would have been treated as different storms and excluded from the fit. In the fit set the offsets ranged from -69 to +6 hours with a median of -3 hours, so no pair was excluded.</w:t>
      </w:r>
    </w:p>
    <w:p>
      <w:pPr>
        <w:spacing w:after="160" w:line="276"/>
        <w:jc w:val="left"/>
      </w:pPr>
      <w:r>
        <w:rPr>
          <w:rFonts w:ascii="Times New Roman" w:cs="Times New Roman" w:eastAsia="Times New Roman" w:hAnsi="Times New Roman"/>
          <w:b w:val="false"/>
          <w:bCs w:val="false"/>
          <w:i w:val="false"/>
          <w:iCs w:val="false"/>
          <w:sz w:val="22"/>
          <w:szCs w:val="22"/>
        </w:rPr>
        <w:t xml:space="preserve">Thirty water years were filled by regression. For water years 1974 through 1991, which the hourly record does not cover, the regulated peak came from the USGS annual peak record and the peak date centered the storage-change window. For the remaining twelve, the regulated peak came from the hourly record. Ten of those had no computable unregulated peak at all; two, water years 2006 and 2013, had an unregulated series with no data over the regulated peak event, so its apparent annual maximum came from an unrelated period and could not be used.</w:t>
      </w:r>
    </w:p>
    <w:p>
      <w:pPr>
        <w:pStyle w:val="Heading1"/>
        <w:spacing w:after="140" w:before="300"/>
      </w:pPr>
      <w:r>
        <w:rPr>
          <w:rFonts w:ascii="Times New Roman" w:cs="Times New Roman" w:eastAsia="Times New Roman" w:hAnsi="Times New Roman"/>
          <w:b/>
          <w:bCs/>
          <w:sz w:val="26"/>
          <w:szCs w:val="26"/>
        </w:rPr>
        <w:t xml:space="preserve">8. Durations from the Daily Mass Balance</w:t>
      </w:r>
    </w:p>
    <w:p>
      <w:pPr>
        <w:spacing w:after="160" w:line="276"/>
        <w:jc w:val="left"/>
      </w:pPr>
      <w:r>
        <w:rPr>
          <w:rFonts w:ascii="Times New Roman" w:cs="Times New Roman" w:eastAsia="Times New Roman" w:hAnsi="Times New Roman"/>
          <w:b w:val="false"/>
          <w:bCs w:val="false"/>
          <w:i w:val="false"/>
          <w:iCs w:val="false"/>
          <w:sz w:val="22"/>
          <w:szCs w:val="22"/>
        </w:rPr>
        <w:t xml:space="preserve">Daily unregulated flow at Castle Rock was computed as observed daily flow plus the daily change in Mossyrock storage expressed as a flow rate. Travel time from Mayfield to Castle Rock is less than a day, so no routing is applied at daily resolution. Mayfield re-regulation storage is neglected for the reasons given in Section 2.2.</w:t>
      </w:r>
    </w:p>
    <w:p>
      <w:pPr>
        <w:spacing w:after="160" w:line="276"/>
        <w:jc w:val="left"/>
      </w:pPr>
      <w:r>
        <w:rPr>
          <w:rFonts w:ascii="Times New Roman" w:cs="Times New Roman" w:eastAsia="Times New Roman" w:hAnsi="Times New Roman"/>
          <w:b w:val="false"/>
          <w:bCs w:val="false"/>
          <w:i w:val="false"/>
          <w:iCs w:val="false"/>
          <w:sz w:val="22"/>
          <w:szCs w:val="22"/>
        </w:rPr>
        <w:t xml:space="preserve">Rolling 1-, 3-, and 5-day maxima were computed on a complete daily grid so that an N-day value always represents N consecutive recorded days. The Castle Rock daily record is published for the winter season only through much of the 1980s and 1990s; because the recorded season spans the October through March flood period, it is taken to capture the annual maximum. The one-day mass balance value also supplies the 1-day duration for the thirty regulated water years that have no usable hourly record.</w:t>
      </w:r>
    </w:p>
    <w:p>
      <w:pPr>
        <w:pStyle w:val="Heading1"/>
        <w:spacing w:after="140" w:before="300"/>
      </w:pPr>
      <w:r>
        <w:rPr>
          <w:rFonts w:ascii="Times New Roman" w:cs="Times New Roman" w:eastAsia="Times New Roman" w:hAnsi="Times New Roman"/>
          <w:b/>
          <w:bCs/>
          <w:sz w:val="26"/>
          <w:szCs w:val="26"/>
        </w:rPr>
        <w:t xml:space="preserve">9. Pre-Regulation Period</w:t>
      </w:r>
    </w:p>
    <w:p>
      <w:pPr>
        <w:spacing w:after="160" w:line="276"/>
        <w:jc w:val="left"/>
      </w:pPr>
      <w:r>
        <w:rPr>
          <w:rFonts w:ascii="Times New Roman" w:cs="Times New Roman" w:eastAsia="Times New Roman" w:hAnsi="Times New Roman"/>
          <w:b w:val="false"/>
          <w:bCs w:val="false"/>
          <w:i w:val="false"/>
          <w:iCs w:val="false"/>
          <w:sz w:val="22"/>
          <w:szCs w:val="22"/>
        </w:rPr>
        <w:t xml:space="preserve">Before Mossyrock began impounding the river in December 1968 the gage record is unregulated as observed. Peaks for water years 1927 through 1968 are the USGS observed instantaneous annual peaks, forty-two water years in all, and the 1-, 3-, and 5-day values are rolling maxima computed directly from the USGS daily record. Water year 1927 carries a peak only, because the daily record begins later.</w:t>
      </w:r>
    </w:p>
    <w:p>
      <w:pPr>
        <w:pStyle w:val="Heading1"/>
        <w:spacing w:after="140" w:before="300"/>
      </w:pPr>
      <w:r>
        <w:rPr>
          <w:rFonts w:ascii="Times New Roman" w:cs="Times New Roman" w:eastAsia="Times New Roman" w:hAnsi="Times New Roman"/>
          <w:b/>
          <w:bCs/>
          <w:sz w:val="26"/>
          <w:szCs w:val="26"/>
        </w:rPr>
        <w:t xml:space="preserve">10. Record Extension and Historical Flood Information</w:t>
      </w:r>
    </w:p>
    <w:p>
      <w:pPr>
        <w:pStyle w:val="Heading2"/>
        <w:spacing w:after="140" w:before="300"/>
      </w:pPr>
      <w:r>
        <w:rPr>
          <w:rFonts w:ascii="Times New Roman" w:cs="Times New Roman" w:eastAsia="Times New Roman" w:hAnsi="Times New Roman"/>
          <w:b/>
          <w:bCs/>
          <w:sz w:val="23"/>
          <w:szCs w:val="23"/>
        </w:rPr>
        <w:t xml:space="preserve">10.1 Record Extension</w:t>
      </w:r>
    </w:p>
    <w:p>
      <w:pPr>
        <w:spacing w:after="160" w:line="276"/>
        <w:jc w:val="left"/>
      </w:pPr>
      <w:r>
        <w:rPr>
          <w:rFonts w:ascii="Times New Roman" w:cs="Times New Roman" w:eastAsia="Times New Roman" w:hAnsi="Times New Roman"/>
          <w:b w:val="false"/>
          <w:bCs w:val="false"/>
          <w:i w:val="false"/>
          <w:iCs w:val="false"/>
          <w:sz w:val="22"/>
          <w:szCs w:val="22"/>
        </w:rPr>
        <w:t xml:space="preserve">Correlation-based record extension was considered as a way to lengthen the systematic record beyond water year 1927. No suitable donor station was identified. Nearby long-record gages either do not extend materially earlier than the Castle Rock record, are themselves regulated over the period that would be used, or do not correlate strongly enough over the concurrent period to justify the added estimation error. With roughly a century of systematic record already available, the potential gain from extension was small relative to the uncertainty it would introduce, so no extension was applied.</w:t>
      </w:r>
    </w:p>
    <w:p>
      <w:pPr>
        <w:pStyle w:val="Heading2"/>
        <w:spacing w:after="140" w:before="300"/>
      </w:pPr>
      <w:r>
        <w:rPr>
          <w:rFonts w:ascii="Times New Roman" w:cs="Times New Roman" w:eastAsia="Times New Roman" w:hAnsi="Times New Roman"/>
          <w:b/>
          <w:bCs/>
          <w:sz w:val="23"/>
          <w:szCs w:val="23"/>
        </w:rPr>
        <w:t xml:space="preserve">10.2 Historical Flood Information</w:t>
      </w:r>
    </w:p>
    <w:p>
      <w:pPr>
        <w:spacing w:after="160" w:line="276"/>
        <w:jc w:val="left"/>
      </w:pPr>
      <w:r>
        <w:rPr>
          <w:rFonts w:ascii="Times New Roman" w:cs="Times New Roman" w:eastAsia="Times New Roman" w:hAnsi="Times New Roman"/>
          <w:b w:val="false"/>
          <w:bCs w:val="false"/>
          <w:i w:val="false"/>
          <w:iCs w:val="false"/>
          <w:sz w:val="22"/>
          <w:szCs w:val="22"/>
        </w:rPr>
        <w:t xml:space="preserve">A search for pre-systematic and historical flood information was made so that any documented large event outside the systematic record could be incorporated through Bulletin 17C historical event and perception threshold procedures. Sources reviewed included the qualification codes and remarks in the USGS annual peak file for Castle Rock and nearby Cowlitz basin gages, the documentation of the 2009 Cowlitz Hydrology Restudy, and published U.S. Geological Survey and National Weather Service accounts of major southwest Washington floods.</w:t>
      </w:r>
    </w:p>
    <w:p>
      <w:pPr>
        <w:spacing w:after="160" w:line="276"/>
        <w:jc w:val="left"/>
      </w:pPr>
      <w:r>
        <w:rPr>
          <w:rFonts w:ascii="Times New Roman" w:cs="Times New Roman" w:eastAsia="Times New Roman" w:hAnsi="Times New Roman"/>
          <w:b w:val="false"/>
          <w:bCs w:val="false"/>
          <w:i w:val="false"/>
          <w:iCs w:val="false"/>
          <w:sz w:val="22"/>
          <w:szCs w:val="22"/>
        </w:rPr>
        <w:t xml:space="preserve">No historical flood at Castle Rock outside the systematic record could be quantified or reliably bounded. No historical events or perception thresholds were therefore entered in the frequency analysis, and the analysis is based entirely on the systematic record.</w:t>
      </w:r>
    </w:p>
    <w:p>
      <w:pPr>
        <w:pStyle w:val="Heading1"/>
        <w:spacing w:after="140" w:before="300"/>
      </w:pPr>
      <w:r>
        <w:rPr>
          <w:rFonts w:ascii="Times New Roman" w:cs="Times New Roman" w:eastAsia="Times New Roman" w:hAnsi="Times New Roman"/>
          <w:b/>
          <w:bCs/>
          <w:sz w:val="26"/>
          <w:szCs w:val="26"/>
        </w:rPr>
        <w:t xml:space="preserve">11. Assembled Record</w:t>
      </w:r>
    </w:p>
    <w:p>
      <w:pPr>
        <w:spacing w:after="160" w:line="276"/>
        <w:jc w:val="left"/>
      </w:pPr>
      <w:r>
        <w:rPr>
          <w:rFonts w:ascii="Times New Roman" w:cs="Times New Roman" w:eastAsia="Times New Roman" w:hAnsi="Times New Roman"/>
          <w:b w:val="false"/>
          <w:bCs w:val="false"/>
          <w:i w:val="false"/>
          <w:iCs w:val="false"/>
          <w:sz w:val="22"/>
          <w:szCs w:val="22"/>
        </w:rPr>
        <w:t xml:space="preserve">For water years 1927 through 1968 the record is the observed gage record: peaks are the USGS annual instantaneous peaks, and the 1-, 3-, and 5-day values are rolling maxima of the USGS daily record.</w:t>
      </w:r>
    </w:p>
    <w:p>
      <w:pPr>
        <w:spacing w:after="160" w:line="276"/>
        <w:jc w:val="left"/>
      </w:pPr>
      <w:r>
        <w:rPr>
          <w:rFonts w:ascii="Times New Roman" w:cs="Times New Roman" w:eastAsia="Times New Roman" w:hAnsi="Times New Roman"/>
          <w:b w:val="false"/>
          <w:bCs w:val="false"/>
          <w:i w:val="false"/>
          <w:iCs w:val="false"/>
          <w:sz w:val="22"/>
          <w:szCs w:val="22"/>
        </w:rPr>
        <w:t xml:space="preserve">For water years 1974 through 2026 the peak is the hourly holdout estimate where the hourly record supported one, and the storage-change regression estimate otherwise. The 1-day value comes from the hourly unregulated record in the same years the peak did, and from the daily mass balance in all other years. The 3- and 5-day values always come from the daily mass balance.</w:t>
      </w:r>
    </w:p>
    <w:tbl>
      <w:tblPr>
        <w:tblW w:type="dxa" w:w="9360"/>
        <w:tblBorders>
          <w:top w:val="single" w:color="7A869A" w:sz="4"/>
          <w:left w:val="single" w:color="7A869A" w:sz="4"/>
          <w:bottom w:val="single" w:color="7A869A" w:sz="4"/>
          <w:right w:val="single" w:color="7A869A" w:sz="4"/>
          <w:insideH w:val="single" w:color="B7C0CC" w:sz="2"/>
          <w:insideV w:val="single" w:color="B7C0CC" w:sz="2"/>
        </w:tblBorders>
      </w:tblPr>
      <w:tblGrid>
        <w:gridCol w:w="1900"/>
        <w:gridCol w:w="1500"/>
        <w:gridCol w:w="5960"/>
      </w:tblGrid>
      <w:tr>
        <w:trPr>
          <w:tblHeader/>
        </w:trPr>
        <w:tc>
          <w:tcPr>
            <w:tcW w:type="dxa" w:w="19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Duration</w:t>
            </w:r>
          </w:p>
        </w:tc>
        <w:tc>
          <w:tcPr>
            <w:tcW w:type="dxa" w:w="15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Values</w:t>
            </w:r>
          </w:p>
        </w:tc>
        <w:tc>
          <w:tcPr>
            <w:tcW w:type="dxa" w:w="596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Sources</w:t>
            </w:r>
          </w:p>
        </w:tc>
      </w:tr>
      <w:tr>
        <w:trPr>
          <w:tblHeader w:val="false"/>
        </w:trPr>
        <w:tc>
          <w:tcPr>
            <w:tcW w:type="dxa" w:w="19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95</w:t>
            </w:r>
          </w:p>
        </w:tc>
        <w:tc>
          <w:tcPr>
            <w:tcW w:type="dxa" w:w="59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42 pre-regulation USGS peaks; 30 storage-change regression; 23 hourly holdout</w:t>
            </w:r>
          </w:p>
        </w:tc>
      </w:tr>
      <w:tr>
        <w:trPr>
          <w:tblHeader w:val="false"/>
        </w:trPr>
        <w:tc>
          <w:tcPr>
            <w:tcW w:type="dxa" w:w="19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94</w:t>
            </w:r>
          </w:p>
        </w:tc>
        <w:tc>
          <w:tcPr>
            <w:tcW w:type="dxa" w:w="59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41 pre-regulation USGS daily; 30 daily mass balance; 23 hourly holdout</w:t>
            </w:r>
          </w:p>
        </w:tc>
      </w:tr>
      <w:tr>
        <w:trPr>
          <w:tblHeader w:val="false"/>
        </w:trPr>
        <w:tc>
          <w:tcPr>
            <w:tcW w:type="dxa" w:w="19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93</w:t>
            </w:r>
          </w:p>
        </w:tc>
        <w:tc>
          <w:tcPr>
            <w:tcW w:type="dxa" w:w="59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41 pre-regulation USGS daily; 52 daily mass balance</w:t>
            </w:r>
          </w:p>
        </w:tc>
      </w:tr>
      <w:tr>
        <w:trPr>
          <w:tblHeader w:val="false"/>
        </w:trPr>
        <w:tc>
          <w:tcPr>
            <w:tcW w:type="dxa" w:w="19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93</w:t>
            </w:r>
          </w:p>
        </w:tc>
        <w:tc>
          <w:tcPr>
            <w:tcW w:type="dxa" w:w="59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41 pre-regulation USGS daily; 52 daily mass balance</w:t>
            </w:r>
          </w:p>
        </w:tc>
      </w:tr>
    </w:tbl>
    <w:p>
      <w:pPr>
        <w:spacing w:after="240" w:before="80"/>
        <w:jc w:val="center"/>
      </w:pPr>
      <w:r>
        <w:rPr>
          <w:rFonts w:ascii="Times New Roman" w:cs="Times New Roman" w:eastAsia="Times New Roman" w:hAnsi="Times New Roman"/>
          <w:i/>
          <w:iCs/>
          <w:sz w:val="19"/>
          <w:szCs w:val="19"/>
        </w:rPr>
        <w:t xml:space="preserve">Table 11-1. Assembled record, values and sources by duration.</w:t>
      </w:r>
    </w:p>
    <w:p>
      <w:pPr>
        <w:spacing w:after="160" w:line="276"/>
        <w:jc w:val="left"/>
      </w:pPr>
      <w:r>
        <w:rPr>
          <w:rFonts w:ascii="Times New Roman" w:cs="Times New Roman" w:eastAsia="Times New Roman" w:hAnsi="Times New Roman"/>
          <w:b w:val="false"/>
          <w:bCs w:val="false"/>
          <w:i w:val="false"/>
          <w:iCs w:val="false"/>
          <w:sz w:val="22"/>
          <w:szCs w:val="22"/>
        </w:rPr>
        <w:t xml:space="preserve">Coverage runs from water year 1927 through water year 2026, with only water years 1969 through 1973 absent. Those five years have no daily Mossyrock elevation record, which begins in October 1973, no hourly record, and therefore no basis for either a holdout or a regression predictor. Every included water year has a peak. Water year 1927 has no durations because the daily record begins later. The full record by water year is given in Appendix A.</w:t>
      </w:r>
    </w:p>
    <w:p>
      <w:pPr>
        <w:pStyle w:val="Heading1"/>
        <w:spacing w:after="140" w:before="300"/>
      </w:pPr>
      <w:r>
        <w:rPr>
          <w:rFonts w:ascii="Times New Roman" w:cs="Times New Roman" w:eastAsia="Times New Roman" w:hAnsi="Times New Roman"/>
          <w:b/>
          <w:bCs/>
          <w:sz w:val="26"/>
          <w:szCs w:val="26"/>
        </w:rPr>
        <w:t xml:space="preserve">12. Consistency Review</w:t>
      </w:r>
    </w:p>
    <w:p>
      <w:pPr>
        <w:spacing w:after="160" w:line="276"/>
        <w:jc w:val="left"/>
      </w:pPr>
      <w:r>
        <w:rPr>
          <w:rFonts w:ascii="Times New Roman" w:cs="Times New Roman" w:eastAsia="Times New Roman" w:hAnsi="Times New Roman"/>
          <w:b w:val="false"/>
          <w:bCs w:val="false"/>
          <w:i w:val="false"/>
          <w:iCs w:val="false"/>
          <w:sz w:val="22"/>
          <w:szCs w:val="22"/>
        </w:rPr>
        <w:t xml:space="preserve">Each duration is the annual maximum of its own averaging window, searched independently across the water year, so the four series can be drawn from different events and, in the regulated era, from different sources. Nothing in that construction forces a shorter-duration value to exceed a longer-duration one, and fifteen ordering violations appeared in the assembled record.</w:t>
      </w:r>
    </w:p>
    <w:p>
      <w:pPr>
        <w:spacing w:after="160" w:line="276"/>
        <w:jc w:val="left"/>
      </w:pPr>
      <w:r>
        <w:rPr>
          <w:rFonts w:ascii="Times New Roman" w:cs="Times New Roman" w:eastAsia="Times New Roman" w:hAnsi="Times New Roman"/>
          <w:b w:val="false"/>
          <w:bCs w:val="false"/>
          <w:i w:val="false"/>
          <w:iCs w:val="false"/>
          <w:sz w:val="22"/>
          <w:szCs w:val="22"/>
        </w:rPr>
        <w:t xml:space="preserve">Fourteen of the fifteen arose from a source mismatch, most often a regression-estimated peak falling below the mass balance 1-day value computed for the same year. The remaining case, water year 2014, is internal to the daily series: a double-peaked March event whose 5-day window spans both peaks while no 3-day window can.</w:t>
      </w:r>
    </w:p>
    <w:p>
      <w:pPr>
        <w:spacing w:after="160" w:line="276"/>
        <w:jc w:val="left"/>
      </w:pPr>
      <w:r>
        <w:rPr>
          <w:rFonts w:ascii="Times New Roman" w:cs="Times New Roman" w:eastAsia="Times New Roman" w:hAnsi="Times New Roman"/>
          <w:b w:val="false"/>
          <w:bCs w:val="false"/>
          <w:i w:val="false"/>
          <w:iCs w:val="false"/>
          <w:sz w:val="22"/>
          <w:szCs w:val="22"/>
        </w:rPr>
        <w:t xml:space="preserve">A shorter-duration flow lower than a longer-duration flow is physically impossible and would distort both the frequency fits and any later volume-duration work, so the record was made monotonic. The 5-day value anchors each water year and each shorter duration is raised to the longer value wherever the longer is higher, cascading upward. Values before adjustment are retained alongside the adopted values.</w:t>
      </w:r>
    </w:p>
    <w:p>
      <w:pPr>
        <w:spacing w:after="160" w:line="276"/>
        <w:jc w:val="left"/>
      </w:pPr>
      <w:r>
        <w:rPr>
          <w:rFonts w:ascii="Times New Roman" w:cs="Times New Roman" w:eastAsia="Times New Roman" w:hAnsi="Times New Roman"/>
          <w:b w:val="false"/>
          <w:bCs w:val="false"/>
          <w:i w:val="false"/>
          <w:iCs w:val="false"/>
          <w:sz w:val="22"/>
          <w:szCs w:val="22"/>
        </w:rPr>
        <w:t xml:space="preserve">Ten values across nine water years were raised. Eight are regression-estimated peaks lifted to their 1-day value, which is a physical floor because a 1-day average cannot exceed the instantaneous peak. The largest changes are in water years 2001, 1985, and 2006, at 64, 19, and 19 percent. Those years are among the smallest in the record, so the adjustment has little influence on the fitted upper tail.</w:t>
      </w:r>
    </w:p>
    <w:p>
      <w:pPr>
        <w:pStyle w:val="Heading1"/>
        <w:spacing w:after="140" w:before="300"/>
      </w:pPr>
      <w:r>
        <w:rPr>
          <w:rFonts w:ascii="Times New Roman" w:cs="Times New Roman" w:eastAsia="Times New Roman" w:hAnsi="Times New Roman"/>
          <w:b/>
          <w:bCs/>
          <w:sz w:val="26"/>
          <w:szCs w:val="26"/>
        </w:rPr>
        <w:t xml:space="preserve">13. Flow Frequency Analysis</w:t>
      </w:r>
    </w:p>
    <w:p>
      <w:pPr>
        <w:spacing w:after="160" w:line="276"/>
        <w:jc w:val="left"/>
      </w:pPr>
      <w:r>
        <w:rPr>
          <w:rFonts w:ascii="Times New Roman" w:cs="Times New Roman" w:eastAsia="Times New Roman" w:hAnsi="Times New Roman"/>
          <w:b w:val="false"/>
          <w:bCs w:val="false"/>
          <w:i w:val="false"/>
          <w:iCs w:val="false"/>
          <w:sz w:val="22"/>
          <w:szCs w:val="22"/>
        </w:rPr>
        <w:t xml:space="preserve">The assembled record was analyzed in HEC-SSP using the Bulletin 17C expected moments algorithm, one analysis per duration. All four fit a log-Pearson Type III distribution to the unregulated record described above, with the station skew weighted against a published regional value.</w:t>
      </w:r>
    </w:p>
    <w:p>
      <w:pPr>
        <w:pStyle w:val="Heading2"/>
        <w:spacing w:after="140" w:before="300"/>
      </w:pPr>
      <w:r>
        <w:rPr>
          <w:rFonts w:ascii="Times New Roman" w:cs="Times New Roman" w:eastAsia="Times New Roman" w:hAnsi="Times New Roman"/>
          <w:b/>
          <w:bCs/>
          <w:sz w:val="23"/>
          <w:szCs w:val="23"/>
        </w:rPr>
        <w:t xml:space="preserve">13.1 Regional Skew</w:t>
      </w:r>
    </w:p>
    <w:p>
      <w:pPr>
        <w:spacing w:after="160" w:line="276"/>
        <w:jc w:val="left"/>
      </w:pPr>
      <w:r>
        <w:rPr>
          <w:rFonts w:ascii="Times New Roman" w:cs="Times New Roman" w:eastAsia="Times New Roman" w:hAnsi="Times New Roman"/>
          <w:b w:val="false"/>
          <w:bCs w:val="false"/>
          <w:i w:val="false"/>
          <w:iCs w:val="false"/>
          <w:sz w:val="22"/>
          <w:szCs w:val="22"/>
        </w:rPr>
        <w:t xml:space="preserve">The regional skew for the instantaneous peak is taken from Mastin, Konrad, Veilleux, and Tecca (2016), which developed a constant regional skew of -0.07 for a Pacific Northwest region that includes the Cowlitz basin.</w:t>
      </w:r>
    </w:p>
    <w:p>
      <w:pPr>
        <w:spacing w:after="160" w:line="276"/>
        <w:jc w:val="left"/>
      </w:pPr>
      <w:r>
        <w:rPr>
          <w:rFonts w:ascii="Times New Roman" w:cs="Times New Roman" w:eastAsia="Times New Roman" w:hAnsi="Times New Roman"/>
          <w:b w:val="false"/>
          <w:bCs w:val="false"/>
          <w:i w:val="false"/>
          <w:iCs w:val="false"/>
          <w:sz w:val="22"/>
          <w:szCs w:val="22"/>
        </w:rPr>
        <w:t xml:space="preserve">Regional skews for the durations are taken from Lind, Lamontagne, and Stonewall (2020), which developed Bayesian regional skew models for selected flood durations in the Columbia River basin and found basin mean annual precipitation to be the strongest predictor. Using a basin-average mean annual precipitation of 77.5 inches above Castle Rock, that study's models give regional skews of 0.09 for the 1-day and 0.07 for the 3-day duration. The report models 1-, 3-, 7-, 10-, 15-, 30-, and 60-day durations; the 5-day value of 0.00 was interpolated between the 3- and 7-day models that bracket it.</w:t>
      </w:r>
    </w:p>
    <w:p>
      <w:pPr>
        <w:pStyle w:val="Heading2"/>
        <w:spacing w:after="140" w:before="300"/>
      </w:pPr>
      <w:r>
        <w:rPr>
          <w:rFonts w:ascii="Times New Roman" w:cs="Times New Roman" w:eastAsia="Times New Roman" w:hAnsi="Times New Roman"/>
          <w:b/>
          <w:bCs/>
          <w:sz w:val="23"/>
          <w:szCs w:val="23"/>
        </w:rPr>
        <w:t xml:space="preserve">13.2 Treatment of Water Years 1969 through 1973</w:t>
      </w:r>
    </w:p>
    <w:p>
      <w:pPr>
        <w:spacing w:after="160" w:line="276"/>
        <w:jc w:val="left"/>
      </w:pPr>
      <w:r>
        <w:rPr>
          <w:rFonts w:ascii="Times New Roman" w:cs="Times New Roman" w:eastAsia="Times New Roman" w:hAnsi="Times New Roman"/>
          <w:b w:val="false"/>
          <w:bCs w:val="false"/>
          <w:i w:val="false"/>
          <w:iCs w:val="false"/>
          <w:sz w:val="22"/>
          <w:szCs w:val="22"/>
        </w:rPr>
        <w:t xml:space="preserve">Water years 1969 through 1973 have observed regulated peaks but no basis for an unregulated estimate. Omitting them would shorten the period of record and discard the knowledge that those years occurred within the observed span, while assigning point estimates would assert values the data do not support. They were therefore entered as censored, so the analysis retains the correct record length without asserting magnitudes. The peak analysis reports 95 systematic events within a 100-year period, with five events flagged as missing.</w:t>
      </w:r>
    </w:p>
    <w:p>
      <w:pPr>
        <w:pStyle w:val="Heading2"/>
        <w:spacing w:after="140" w:before="300"/>
      </w:pPr>
      <w:r>
        <w:rPr>
          <w:rFonts w:ascii="Times New Roman" w:cs="Times New Roman" w:eastAsia="Times New Roman" w:hAnsi="Times New Roman"/>
          <w:b/>
          <w:bCs/>
          <w:sz w:val="23"/>
          <w:szCs w:val="23"/>
        </w:rPr>
        <w:t xml:space="preserve">13.3 Low Outliers</w:t>
      </w:r>
    </w:p>
    <w:p>
      <w:pPr>
        <w:spacing w:after="160" w:line="276"/>
        <w:jc w:val="left"/>
      </w:pPr>
      <w:r>
        <w:rPr>
          <w:rFonts w:ascii="Times New Roman" w:cs="Times New Roman" w:eastAsia="Times New Roman" w:hAnsi="Times New Roman"/>
          <w:b w:val="false"/>
          <w:bCs w:val="false"/>
          <w:i w:val="false"/>
          <w:iCs w:val="false"/>
          <w:sz w:val="22"/>
          <w:szCs w:val="22"/>
        </w:rPr>
        <w:t xml:space="preserve">No low-flow outliers were identified by the multiple Grubbs-Beck procedure, and none were imposed. The record contains no zero or near-zero annual maxima. Because the unregulated series is constructed rather than gaged, its small years carry the same provenance as its large ones, so there is no physical basis for treating the lower tail as unrepresentative of the population being fit.</w:t>
      </w:r>
    </w:p>
    <w:p>
      <w:pPr>
        <w:pStyle w:val="Heading2"/>
        <w:spacing w:after="140" w:before="300"/>
      </w:pPr>
      <w:r>
        <w:rPr>
          <w:rFonts w:ascii="Times New Roman" w:cs="Times New Roman" w:eastAsia="Times New Roman" w:hAnsi="Times New Roman"/>
          <w:b/>
          <w:bCs/>
          <w:sz w:val="23"/>
          <w:szCs w:val="23"/>
        </w:rPr>
        <w:t xml:space="preserve">13.4 Adopted Statistics</w:t>
      </w:r>
    </w:p>
    <w:p>
      <w:pPr>
        <w:spacing w:after="160" w:line="276"/>
        <w:jc w:val="left"/>
      </w:pPr>
      <w:r>
        <w:rPr>
          <w:rFonts w:ascii="Times New Roman" w:cs="Times New Roman" w:eastAsia="Times New Roman" w:hAnsi="Times New Roman"/>
          <w:b w:val="false"/>
          <w:bCs w:val="false"/>
          <w:i w:val="false"/>
          <w:iCs w:val="false"/>
          <w:sz w:val="22"/>
          <w:szCs w:val="22"/>
        </w:rPr>
        <w:t xml:space="preserve">Station skews are slightly negative for every duration, from -0.158 for the peak to -0.051 for the 5-day. Weighting against the regional values moves the peak to -0.135 and the longer durations toward zero, giving adopted skews of -0.135, -0.052, -0.007, and -0.029. Equivalent record lengths after censoring range from 100 to 111 years. Table 13-1 gives the fitted parameters and event counts reported by HEC-SSP, and Figure 13-1 shows the four adopted curves. Individual curves with confidence limits and plotted observations appear in Appendix C, and the full set of ordinates in Appendix B.</w:t>
      </w:r>
    </w:p>
    <w:p>
      <w:pPr>
        <w:spacing w:after="40" w:before="160"/>
        <w:jc w:val="center"/>
      </w:pPr>
      <w:r>
        <w:drawing>
          <wp:inline distT="0" distB="0" distL="0" distR="0">
            <wp:extent cx="5760720" cy="44805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448056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9"/>
          <w:szCs w:val="19"/>
        </w:rPr>
        <w:t xml:space="preserve">Figure 13-1. Adopted unregulated frequency curves at Castle Rock, water years 1927 through 2026, all four durations.</w:t>
      </w:r>
    </w:p>
    <w:tbl>
      <w:tblPr>
        <w:tblW w:type="dxa" w:w="9360"/>
        <w:tblBorders>
          <w:top w:val="single" w:color="7A869A" w:sz="4"/>
          <w:left w:val="single" w:color="7A869A" w:sz="4"/>
          <w:bottom w:val="single" w:color="7A869A" w:sz="4"/>
          <w:right w:val="single" w:color="7A869A" w:sz="4"/>
          <w:insideH w:val="single" w:color="B7C0CC" w:sz="2"/>
          <w:insideV w:val="single" w:color="B7C0CC" w:sz="2"/>
        </w:tblBorders>
      </w:tblPr>
      <w:tblGrid>
        <w:gridCol w:w="3560"/>
        <w:gridCol w:w="1450"/>
        <w:gridCol w:w="1450"/>
        <w:gridCol w:w="1450"/>
        <w:gridCol w:w="1450"/>
      </w:tblGrid>
      <w:tr>
        <w:trPr>
          <w:tblHeader/>
        </w:trPr>
        <w:tc>
          <w:tcPr>
            <w:tcW w:type="dxa" w:w="356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Parameter</w:t>
            </w:r>
          </w:p>
        </w:tc>
        <w:tc>
          <w:tcPr>
            <w:tcW w:type="dxa" w:w="145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Peak</w:t>
            </w:r>
          </w:p>
        </w:tc>
        <w:tc>
          <w:tcPr>
            <w:tcW w:type="dxa" w:w="145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1-Day</w:t>
            </w:r>
          </w:p>
        </w:tc>
        <w:tc>
          <w:tcPr>
            <w:tcW w:type="dxa" w:w="145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3-Day</w:t>
            </w:r>
          </w:p>
        </w:tc>
        <w:tc>
          <w:tcPr>
            <w:tcW w:type="dxa" w:w="145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9"/>
                <w:szCs w:val="19"/>
              </w:rPr>
              <w:t xml:space="preserve">5-Day</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Mean of logs</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4.778</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4.743</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4.660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4.593</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Standard deviation of logs</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0.202</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0.203</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0.192</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0.179</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Station skew</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-0.158</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-0.152</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-0.076</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-0.051</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Regional skew</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-0.07</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0.09</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0.07</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0.00</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Weighted skew</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-0.135</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-0.052</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-0.007</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-0.029</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Adopted skew</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-0.135</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-0.052</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-0.007</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-0.029</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Mean square error, at-site skew</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0.064</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0.064</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0.061</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0.060</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Grubbs-Beck critical value</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Equivalent record length (years)</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100.7</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100.4</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105.4</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110.9</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Systematic events</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95</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94</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93</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93</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Historical events</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High outliers</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Low outliers</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Zero events</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0</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Missing events</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5</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5</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5</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5</w:t>
            </w:r>
          </w:p>
        </w:tc>
      </w:tr>
      <w:tr>
        <w:trPr>
          <w:tblHeader w:val="false"/>
        </w:trPr>
        <w:tc>
          <w:tcPr>
            <w:tcW w:type="dxa" w:w="35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9"/>
                <w:szCs w:val="19"/>
              </w:rPr>
              <w:t xml:space="preserve">Historical period (years)</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100</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99</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98</w:t>
            </w:r>
          </w:p>
        </w:tc>
        <w:tc>
          <w:tcPr>
            <w:tcW w:type="dxa" w:w="145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9"/>
                <w:szCs w:val="19"/>
              </w:rPr>
              <w:t xml:space="preserve">98</w:t>
            </w:r>
          </w:p>
        </w:tc>
      </w:tr>
    </w:tbl>
    <w:p>
      <w:pPr>
        <w:spacing w:after="240" w:before="80"/>
        <w:jc w:val="center"/>
      </w:pPr>
      <w:r>
        <w:rPr>
          <w:rFonts w:ascii="Times New Roman" w:cs="Times New Roman" w:eastAsia="Times New Roman" w:hAnsi="Times New Roman"/>
          <w:i/>
          <w:iCs/>
          <w:sz w:val="19"/>
          <w:szCs w:val="19"/>
        </w:rPr>
        <w:t xml:space="preserve">Table 13-1. Distribution parameters and event counts, adopted HEC-SSP analyses.</w:t>
      </w:r>
    </w:p>
    <w:p>
      <w:pPr>
        <w:pStyle w:val="Heading1"/>
        <w:spacing w:after="140" w:before="300"/>
      </w:pPr>
      <w:r>
        <w:rPr>
          <w:rFonts w:ascii="Times New Roman" w:cs="Times New Roman" w:eastAsia="Times New Roman" w:hAnsi="Times New Roman"/>
          <w:b/>
          <w:bCs/>
          <w:sz w:val="26"/>
          <w:szCs w:val="26"/>
        </w:rPr>
        <w:t xml:space="preserve">14. Comparison with the 2009 Restudy</w:t>
      </w:r>
    </w:p>
    <w:p>
      <w:pPr>
        <w:spacing w:after="160" w:line="276"/>
        <w:jc w:val="left"/>
      </w:pPr>
      <w:r>
        <w:rPr>
          <w:rFonts w:ascii="Times New Roman" w:cs="Times New Roman" w:eastAsia="Times New Roman" w:hAnsi="Times New Roman"/>
          <w:b w:val="false"/>
          <w:bCs w:val="false"/>
          <w:i w:val="false"/>
          <w:iCs w:val="false"/>
          <w:sz w:val="22"/>
          <w:szCs w:val="22"/>
        </w:rPr>
        <w:t xml:space="preserve">Figure 14-1 places the adopted curves against the 2009 Cowlitz Hydrology Restudy. Both sets are computed curves from HEC-SSP. The 2009 study's shortest duration is a 0.20-day average rather than an instantaneous peak, so that pairing is approximate, although the two means agree to within 0.001 log units.</w:t>
      </w:r>
    </w:p>
    <w:p>
      <w:pPr>
        <w:spacing w:after="160" w:line="276"/>
        <w:jc w:val="left"/>
      </w:pPr>
      <w:r>
        <w:rPr>
          <w:rFonts w:ascii="Times New Roman" w:cs="Times New Roman" w:eastAsia="Times New Roman" w:hAnsi="Times New Roman"/>
          <w:b w:val="false"/>
          <w:bCs w:val="false"/>
          <w:i w:val="false"/>
          <w:iCs w:val="false"/>
          <w:sz w:val="22"/>
          <w:szCs w:val="22"/>
        </w:rPr>
        <w:t xml:space="preserve">The two studies agree closely through the range supported by data and diverge in the tail. At the 10 percent annual chance exceedance all four durations fall within about 2 percent of the 2009 values, and at the median within 3 percent. Beyond the 2 percent chance event the 2026 curves fall progressively below: at the 1 percent chance the peak is 7.8 percent lower and the durations 1.8 to 3.3 percent lower, and at the 0.2 percent chance the peak is 13.7 percent lower.</w:t>
      </w:r>
    </w:p>
    <w:p>
      <w:pPr>
        <w:spacing w:after="160" w:line="276"/>
        <w:jc w:val="left"/>
      </w:pPr>
      <w:r>
        <w:rPr>
          <w:rFonts w:ascii="Times New Roman" w:cs="Times New Roman" w:eastAsia="Times New Roman" w:hAnsi="Times New Roman"/>
          <w:b w:val="false"/>
          <w:bCs w:val="false"/>
          <w:i w:val="false"/>
          <w:iCs w:val="false"/>
          <w:sz w:val="22"/>
          <w:szCs w:val="22"/>
        </w:rPr>
        <w:t xml:space="preserve">The cause is skew. The 2009 study adopted positive skews for every duration, from 0.140 to 0.193, which bend those curves upward in the tail, while the skews adopted here are near zero or negative and flatten it. The divergence is a difference in fitted tail behavior rather than a difference in the record through the observed range.</w:t>
      </w:r>
    </w:p>
    <w:p>
      <w:pPr>
        <w:spacing w:after="40" w:before="160"/>
        <w:jc w:val="center"/>
      </w:pPr>
      <w:r>
        <w:drawing>
          <wp:inline distT="0" distB="0" distL="0" distR="0">
            <wp:extent cx="5760720" cy="44805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448056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9"/>
          <w:szCs w:val="19"/>
        </w:rPr>
        <w:t xml:space="preserve">Figure 14-1. Adopted 2026 curves (solid) against the 2009 Cowlitz Hydrology Restudy (dashed).</w:t>
      </w:r>
    </w:p>
    <w:p>
      <w:pPr>
        <w:pStyle w:val="Heading1"/>
        <w:spacing w:after="140" w:before="300"/>
      </w:pPr>
      <w:r>
        <w:rPr>
          <w:rFonts w:ascii="Times New Roman" w:cs="Times New Roman" w:eastAsia="Times New Roman" w:hAnsi="Times New Roman"/>
          <w:b/>
          <w:bCs/>
          <w:sz w:val="26"/>
          <w:szCs w:val="26"/>
        </w:rPr>
        <w:t xml:space="preserve">15. Use of Results and Next Steps</w:t>
      </w:r>
    </w:p>
    <w:p>
      <w:pPr>
        <w:spacing w:after="160" w:line="276"/>
        <w:jc w:val="left"/>
      </w:pPr>
      <w:r>
        <w:rPr>
          <w:rFonts w:ascii="Times New Roman" w:cs="Times New Roman" w:eastAsia="Times New Roman" w:hAnsi="Times New Roman"/>
          <w:b w:val="false"/>
          <w:bCs w:val="false"/>
          <w:i w:val="false"/>
          <w:iCs w:val="false"/>
          <w:sz w:val="22"/>
          <w:szCs w:val="22"/>
        </w:rPr>
        <w:t xml:space="preserve">The curves documented here define the frequency of natural inflow to the lower Cowlitz valley. The next phase applies current Mossyrock operations to a population of unregulated events consistent with these curves to produce regulated flow frequency at Castle Rock. Those regulated curves, with their uncertainty, are the hydrologic input to levee fragility assessment and to floodplain mapping for the leveed communities in the lower valley.</w:t>
      </w:r>
    </w:p>
    <w:p>
      <w:pPr>
        <w:spacing w:after="160" w:line="276"/>
        <w:jc w:val="left"/>
      </w:pPr>
      <w:r>
        <w:rPr>
          <w:rFonts w:ascii="Times New Roman" w:cs="Times New Roman" w:eastAsia="Times New Roman" w:hAnsi="Times New Roman"/>
          <w:b w:val="false"/>
          <w:bCs w:val="false"/>
          <w:i w:val="false"/>
          <w:iCs w:val="false"/>
          <w:sz w:val="22"/>
          <w:szCs w:val="22"/>
        </w:rPr>
        <w:t xml:space="preserve">Two items remain open and will be addressed before the regulated analysis is finalized. Water year 2026 contributes a peak and a 1-day value; its 3- and 5-day values are pending the close of the water year and will be added in a close-out update. Water years 1969 through 1973 remain censored, and no additional information has been identified that would allow them to be estimated.</w:t>
      </w:r>
    </w:p>
    <w:p>
      <w:r>
        <w:br w:type="page"/>
      </w:r>
    </w:p>
    <w:p>
      <w:pPr>
        <w:pStyle w:val="Heading1"/>
        <w:spacing w:after="140" w:before="300"/>
      </w:pPr>
      <w:r>
        <w:rPr>
          <w:rFonts w:ascii="Times New Roman" w:cs="Times New Roman" w:eastAsia="Times New Roman" w:hAnsi="Times New Roman"/>
          <w:b/>
          <w:bCs/>
          <w:sz w:val="26"/>
          <w:szCs w:val="26"/>
        </w:rPr>
        <w:t xml:space="preserve">Appendix A. Assembled Record by Water Year</w:t>
      </w:r>
    </w:p>
    <w:p>
      <w:pPr>
        <w:spacing w:after="160" w:line="276"/>
        <w:jc w:val="left"/>
      </w:pPr>
      <w:r>
        <w:rPr>
          <w:rFonts w:ascii="Times New Roman" w:cs="Times New Roman" w:eastAsia="Times New Roman" w:hAnsi="Times New Roman"/>
          <w:b w:val="false"/>
          <w:bCs w:val="false"/>
          <w:i w:val="false"/>
          <w:iCs w:val="false"/>
          <w:sz w:val="20"/>
          <w:szCs w:val="20"/>
        </w:rPr>
        <w:t xml:space="preserve">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tbl>
      <w:tblPr>
        <w:tblW w:type="dxa" w:w="9360"/>
        <w:tblBorders>
          <w:top w:val="single" w:color="7A869A" w:sz="4"/>
          <w:left w:val="single" w:color="7A869A" w:sz="4"/>
          <w:bottom w:val="single" w:color="7A869A" w:sz="4"/>
          <w:right w:val="single" w:color="7A869A" w:sz="4"/>
          <w:insideH w:val="single" w:color="B7C0CC" w:sz="2"/>
          <w:insideV w:val="single" w:color="B7C0CC" w:sz="2"/>
        </w:tblBorders>
      </w:tblPr>
      <w:tblGrid>
        <w:gridCol w:w="700"/>
        <w:gridCol w:w="1100"/>
        <w:gridCol w:w="1400"/>
        <w:gridCol w:w="1100"/>
        <w:gridCol w:w="1400"/>
        <w:gridCol w:w="1100"/>
        <w:gridCol w:w="1100"/>
        <w:gridCol w:w="1460"/>
      </w:tblGrid>
      <w:tr>
        <w:trPr>
          <w:tblHeader/>
        </w:trPr>
        <w:tc>
          <w:tcPr>
            <w:tcW w:type="dxa" w:w="7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WY</w:t>
            </w:r>
          </w:p>
        </w:tc>
        <w:tc>
          <w:tcPr>
            <w:tcW w:type="dxa" w:w="11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Peak</w:t>
            </w:r>
          </w:p>
        </w:tc>
        <w:tc>
          <w:tcPr>
            <w:tcW w:type="dxa" w:w="14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Peak source</w:t>
            </w:r>
          </w:p>
        </w:tc>
        <w:tc>
          <w:tcPr>
            <w:tcW w:type="dxa" w:w="11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1-Day</w:t>
            </w:r>
          </w:p>
        </w:tc>
        <w:tc>
          <w:tcPr>
            <w:tcW w:type="dxa" w:w="14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1-Day source</w:t>
            </w:r>
          </w:p>
        </w:tc>
        <w:tc>
          <w:tcPr>
            <w:tcW w:type="dxa" w:w="11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3-Day</w:t>
            </w:r>
          </w:p>
        </w:tc>
        <w:tc>
          <w:tcPr>
            <w:tcW w:type="dxa" w:w="11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5-Day</w:t>
            </w:r>
          </w:p>
        </w:tc>
        <w:tc>
          <w:tcPr>
            <w:tcW w:type="dxa" w:w="146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Duration source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1927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41,100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1928</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74,000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71,300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56,933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47,940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1929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21,800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21,100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19,633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18,980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1930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30,200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29,500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26,700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23,840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1931</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65,900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63,200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51,200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40,760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1932</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50,800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49,200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44,467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39,140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53,000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52,200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44,467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43,900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1934</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139,000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134,000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120,333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106,300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1935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61,800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58,100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53,800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45,540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1936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48,200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39,800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35,833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31,400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1937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49,000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47,200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40,167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34,640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1938</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62,900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60,500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53,567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47,440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1939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43,600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39,800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29,867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27,840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1940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41,900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40,500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36,767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31,660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1941</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26,400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22,100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19,633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16,038</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1942</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58,100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55,400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47,067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39,400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1943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60,500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58,300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46,867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39,020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1944</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37,100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33,700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26,467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20,760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1945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45,300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44,200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36,333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30,340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1946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54,700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51,700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45,433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38,940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1947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85,100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82,400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80,767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74,880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1948</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38,500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37,000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32,700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28,560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1949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51,500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43,300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30,167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28,580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54,800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54,000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49,933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43,920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1951</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67,200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63,900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61,467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54,440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1952</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41,400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35,600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31,600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28,680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60,000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50,000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44,000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40,400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1954</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73,000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63,600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51,067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45,440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50,100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43,300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33,800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29,020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67,400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63,100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49,733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42,260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43,200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40,400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37,400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34,980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1958</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35,200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34,500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30,867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27,280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57,800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52,900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44,733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39,140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1960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62,700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61,000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56,433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49,620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1961</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64,500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59,000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46,133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43,520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1962</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42,100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40,100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34,833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30,240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1963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66,900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59,500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52,900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41,640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1964</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72,600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55,400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46,267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37,680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1965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83,900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79,100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68,933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60,120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1966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28,800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27,000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24,333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22,400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65,000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58,800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48,167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38,520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1968</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49,500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peak</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47,600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44,633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42,600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USGS daily</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1974</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112,486</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112,486</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92,392</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74,846</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1975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76,896</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71,250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54,411</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50,666</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1976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124,946</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110,190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106,676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91,422</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1977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19,899</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16,299</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14,752</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14,436</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1978</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131,885</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110,965</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94,793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74,569</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1979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51,587</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40,506</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28,000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25,107</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1980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101,895</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42,737</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37,116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32,514</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1981</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88,345</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86,532</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71,889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57,905</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1982</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84,883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77,900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62,871</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60,342</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1983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82,466</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72,298</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55,966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52,485</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1984</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57,352</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57,352</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46,702</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38,367</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1985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33,098</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33,098</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28,765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23,969</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1986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95,135</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83,652</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62,163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52,287</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1987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103,298</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90,982</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61,617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50,210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1988</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61,876</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59,525</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39,029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30,728</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1989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28,884</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23,674</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21,120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19,496</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1990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124,824</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95,400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76,113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59,391</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1991</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110,107</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104,020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75,569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58,070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1992</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51,845</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43,323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38,240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35,850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1993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33,272</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31,533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26,576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21,802</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1994</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26,300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26,300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24,710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22,556</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1995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64,114</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59,736</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48,317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39,125</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1996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176,855</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170,280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139,807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108,126</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1997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86,921</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83,113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74,563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69,706</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1998</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38,925</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30,823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23,581</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22,965</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1999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76,193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68,206</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60,807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51,702</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2000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73,070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72,890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58,190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43,549</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2001</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19,568</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19,568</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15,339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14,332</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2002</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66,027</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64,512</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49,168</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40,567</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2003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109,719</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101,254</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72,896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53,892</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2004</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56,223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52,144</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43,452</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34,949</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2005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52,859</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50,133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39,349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31,339</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2006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74,082</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74,082</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62,808</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53,945</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2007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147,777</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147,777</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100,470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73,836</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2008</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72,455</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70,265</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54,504</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41,446</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2009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151,296</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139,073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99,324</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72,961</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2010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27,802</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25,172</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24,888</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23,204</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2011</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87,160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85,731</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71,689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58,118</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2012</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57,286</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53,334</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40,865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34,419</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2013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58,409</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Regression</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47,950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36,797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30,359</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2014</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60,268</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57,504</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46,396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46,396</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2015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47,323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43,517</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32,555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31,664</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2016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135,790</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124,896</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92,957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72,910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2017</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64,342</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62,516</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51,010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47,186</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2018</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54,188</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52,984</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47,285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39,300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2019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24,389</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24,389</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24,389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22,197</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2020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77,812</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73,544</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60,465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51,297</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2021</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61,703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56,924</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42,829</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35,700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2022</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77,833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73,803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60,851</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50,050</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2023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65,623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61,507</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47,710</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35,341</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2024</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81,192</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76,898</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59,644</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48,589</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2025</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45,954</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41,975</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35,253</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30,112</w:t>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Mass balance</w:t>
            </w:r>
          </w:p>
        </w:tc>
      </w:tr>
      <w:tr>
        <w:trPr>
          <w:tblHeader w:val="false"/>
        </w:trPr>
        <w:tc>
          <w:tcPr>
            <w:tcW w:type="dxa" w:w="7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2026</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101,833</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97,675</w:t>
            </w:r>
          </w:p>
        </w:tc>
        <w:tc>
          <w:tcPr>
            <w:tcW w:type="dxa" w:w="14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Holdout</w:t>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
            </w:r>
          </w:p>
        </w:tc>
        <w:tc>
          <w:tcPr>
            <w:tcW w:type="dxa" w:w="11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
            </w:r>
          </w:p>
        </w:tc>
        <w:tc>
          <w:tcPr>
            <w:tcW w:type="dxa" w:w="146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
            </w:r>
          </w:p>
        </w:tc>
      </w:tr>
    </w:tbl>
    <w:p>
      <w:pPr>
        <w:spacing w:after="240" w:before="80"/>
        <w:jc w:val="center"/>
      </w:pPr>
      <w:r>
        <w:rPr>
          <w:rFonts w:ascii="Times New Roman" w:cs="Times New Roman" w:eastAsia="Times New Roman" w:hAnsi="Times New Roman"/>
          <w:i/>
          <w:iCs/>
          <w:sz w:val="19"/>
          <w:szCs w:val="19"/>
        </w:rPr>
        <w:t xml:space="preserve">Table A-1. Assembled unregulated record, water years 1927 through 2026.</w:t>
      </w:r>
    </w:p>
    <w:p>
      <w:r>
        <w:br w:type="page"/>
      </w:r>
    </w:p>
    <w:p>
      <w:pPr>
        <w:pStyle w:val="Heading1"/>
        <w:spacing w:after="140" w:before="300"/>
      </w:pPr>
      <w:r>
        <w:rPr>
          <w:rFonts w:ascii="Times New Roman" w:cs="Times New Roman" w:eastAsia="Times New Roman" w:hAnsi="Times New Roman"/>
          <w:b/>
          <w:bCs/>
          <w:sz w:val="26"/>
          <w:szCs w:val="26"/>
        </w:rPr>
        <w:t xml:space="preserve">Appendix B. Frequency Curve Ordinates</w:t>
      </w:r>
    </w:p>
    <w:p>
      <w:pPr>
        <w:spacing w:after="160" w:line="276"/>
        <w:jc w:val="left"/>
      </w:pPr>
      <w:r>
        <w:rPr>
          <w:rFonts w:ascii="Times New Roman" w:cs="Times New Roman" w:eastAsia="Times New Roman" w:hAnsi="Times New Roman"/>
          <w:b w:val="false"/>
          <w:bCs w:val="false"/>
          <w:i w:val="false"/>
          <w:iCs w:val="false"/>
          <w:sz w:val="20"/>
          <w:szCs w:val="20"/>
        </w:rPr>
        <w:t xml:space="preserve">Computed curve, expected probability curve, variance of the log, and 5 and 95 percent confidence limits for every ordinate reported by HEC-SSP. Flows are in cubic feet per second.</w:t>
      </w:r>
    </w:p>
    <w:tbl>
      <w:tblPr>
        <w:tblW w:type="dxa" w:w="9360"/>
        <w:tblBorders>
          <w:top w:val="single" w:color="7A869A" w:sz="4"/>
          <w:left w:val="single" w:color="7A869A" w:sz="4"/>
          <w:bottom w:val="single" w:color="7A869A" w:sz="4"/>
          <w:right w:val="single" w:color="7A869A" w:sz="4"/>
          <w:insideH w:val="single" w:color="B7C0CC" w:sz="2"/>
          <w:insideV w:val="single" w:color="B7C0CC" w:sz="2"/>
        </w:tblBorders>
      </w:tblPr>
      <w:tblGrid>
        <w:gridCol w:w="1000"/>
        <w:gridCol w:w="1500"/>
        <w:gridCol w:w="1200"/>
        <w:gridCol w:w="800"/>
        <w:gridCol w:w="1300"/>
        <w:gridCol w:w="1200"/>
        <w:gridCol w:w="1200"/>
        <w:gridCol w:w="1160"/>
      </w:tblGrid>
      <w:tr>
        <w:trPr>
          <w:tblHeader/>
        </w:trPr>
        <w:tc>
          <w:tcPr>
            <w:tcW w:type="dxa" w:w="10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Duration</w:t>
            </w:r>
          </w:p>
        </w:tc>
        <w:tc>
          <w:tcPr>
            <w:tcW w:type="dxa" w:w="15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Annual chance exceedance</w:t>
            </w:r>
          </w:p>
        </w:tc>
        <w:tc>
          <w:tcPr>
            <w:tcW w:type="dxa" w:w="12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Variance of log</w:t>
            </w:r>
          </w:p>
        </w:tc>
        <w:tc>
          <w:tcPr>
            <w:tcW w:type="dxa" w:w="8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z</w:t>
            </w:r>
          </w:p>
        </w:tc>
        <w:tc>
          <w:tcPr>
            <w:tcW w:type="dxa" w:w="13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Computed</w:t>
            </w:r>
          </w:p>
        </w:tc>
        <w:tc>
          <w:tcPr>
            <w:tcW w:type="dxa" w:w="12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5% limit</w:t>
            </w:r>
          </w:p>
        </w:tc>
        <w:tc>
          <w:tcPr>
            <w:tcW w:type="dxa" w:w="120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95% limit</w:t>
            </w:r>
          </w:p>
        </w:tc>
        <w:tc>
          <w:tcPr>
            <w:tcW w:type="dxa" w:w="1160"/>
            <w:shd w:fill="D9E2EC" w:val="clear"/>
            <w:tcMar>
              <w:top w:type="dxa" w:w="40"/>
              <w:left w:type="dxa" w:w="80"/>
              <w:bottom w:type="dxa" w:w="40"/>
              <w:right w:type="dxa" w:w="80"/>
            </w:tcMar>
          </w:tcPr>
          <w:p>
            <w:pPr>
              <w:spacing w:after="0" w:line="240"/>
              <w:jc w:val="center"/>
            </w:pPr>
            <w:r>
              <w:rPr>
                <w:rFonts w:ascii="Times New Roman" w:cs="Times New Roman" w:eastAsia="Times New Roman" w:hAnsi="Times New Roman"/>
                <w:b/>
                <w:bCs/>
                <w:sz w:val="17"/>
                <w:szCs w:val="17"/>
              </w:rPr>
              <w:t xml:space="preserve">Expected probability</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0.0098</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3.72</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296088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476290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217104</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374643</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0.0082</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3.54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276072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426543</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207624</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332739</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0.0064</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3.29</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250134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366728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194487</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285568</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0.0052</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3.09</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230884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325578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184044</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255074</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0.0041</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211932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287635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173114</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227900</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0.0029</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187282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241929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157818</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195977</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0.0022</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2.33</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168884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210386</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145504</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174075</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0.0016</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2.05</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150625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181177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132434</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153556</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0.0010</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126514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145732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113770</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127758</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0.0007</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108041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121015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98383</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108618</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0.0005</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0.84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88923</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97624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81626</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89126</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0.0005</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60585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65857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55691</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60529</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0.0006</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-0.84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40671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44531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36709</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40487</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0.0009</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32826</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36401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28836</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32573</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0.95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0.0013</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27417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30925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23227</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27041</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Peak</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0.99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0.0030</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-2.33</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19408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23026</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14842</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18564</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0.0109</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3.72</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299447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479405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221040</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386105</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0.0092</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3.54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276822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426187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209249</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338896</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0.0072</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3.29</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247988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362832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193367</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286800</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0.0059</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3.09</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226952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319700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181106</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253245</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0.0047</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206550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280306</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168605</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223780</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0.0034</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180481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233404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151652</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189945</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0.0026</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2.33</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161378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201443</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138445</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167060</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0.0019</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2.05</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142727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172189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124837</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145949</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0.0012</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118581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137189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106070</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119937</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0.0009</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100464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113080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91102</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101103</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0.0006</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0.84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82073</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90457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75165</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82324</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0.0005</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55503</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60349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51025</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55470</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0.0006</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-0.84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37319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40830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33739</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37176</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0.0008</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30257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33490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26713</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30053</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0.95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0.0011</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25414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28563</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21767</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25130</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1-Day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0.99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0.0022</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-2.33</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18268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21476</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14392</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17638</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0.0092</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3.72</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235398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368086</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176954</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292617</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0.0078</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3.54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217611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327938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167179</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259048</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0.0061</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3.29</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195015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280087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154142</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221219</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0.0050</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3.09</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178580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247469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144176</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196491</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0.0041</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162679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217639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134098</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174635</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0.0029</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142416</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182067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120563</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149084</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0.0023</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2.33</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127601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157781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110117</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131656</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0.0017</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2.05</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113162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135506</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99436</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115547</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0.0011</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94495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108771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84824</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95531</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0.0008</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80498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90270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73238</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80991</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0.0006</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0.84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66282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72810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60924</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66491</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0.0004</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45680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49454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42192</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45674</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0.0005</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-0.84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31459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34234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28626</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31353</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0.0007</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25879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28457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23061</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25718</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0.95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0.0010</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22022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24550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19114</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21789</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3-Day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0.99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0.0019</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-2.33</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16264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18871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13139</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15740</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0.0085</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3.72</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177615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271167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135644</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221032</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0.0072</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3.54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165384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243746</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128970</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196967</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0.0056</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3.29</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149687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210711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119965</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169699</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0.0046</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3.09</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138149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187940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112997</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151853</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0.0037</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2.88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126878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166907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105872</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136061</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0.0027</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112347</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141520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96171</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117463</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0.0020</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2.33</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101590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123964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88574</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104702</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0.0015</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2.05</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90984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107674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80701</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92812</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0.0010</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77073</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87844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69746</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77864</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0.0007</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66470</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73912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60900</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66850</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0.0005</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0.84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55525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60573</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51340</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55685</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0.0004</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39271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42299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36453</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39260</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0.8</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0.0005</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-0.84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27696</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29984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25343</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27605</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0.0006</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-1.28</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23049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25204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20665</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22912</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0.95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0.0008</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-1.64</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19794</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21931</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17290</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19596</w:t>
            </w:r>
          </w:p>
        </w:tc>
      </w:tr>
      <w:tr>
        <w:trPr>
          <w:tblHeader w:val="false"/>
        </w:trPr>
        <w:tc>
          <w:tcPr>
            <w:tcW w:type="dxa" w:w="1000"/>
            <w:tcMar>
              <w:top w:type="dxa" w:w="40"/>
              <w:left w:type="dxa" w:w="80"/>
              <w:bottom w:type="dxa" w:w="40"/>
              <w:right w:type="dxa" w:w="80"/>
            </w:tcMar>
          </w:tcPr>
          <w:p>
            <w:pPr>
              <w:spacing w:after="0" w:line="240"/>
              <w:jc w:val="left"/>
            </w:pPr>
            <w:r>
              <w:rPr>
                <w:rFonts w:ascii="Times New Roman" w:cs="Times New Roman" w:eastAsia="Times New Roman" w:hAnsi="Times New Roman"/>
                <w:b w:val="false"/>
                <w:bCs w:val="false"/>
                <w:sz w:val="17"/>
                <w:szCs w:val="17"/>
              </w:rPr>
              <w:t xml:space="preserve">5-Day</w:t>
            </w:r>
          </w:p>
        </w:tc>
        <w:tc>
          <w:tcPr>
            <w:tcW w:type="dxa" w:w="15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0.99</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0.0017</w:t>
            </w:r>
          </w:p>
        </w:tc>
        <w:tc>
          <w:tcPr>
            <w:tcW w:type="dxa" w:w="8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-2.33</w:t>
            </w:r>
          </w:p>
        </w:tc>
        <w:tc>
          <w:tcPr>
            <w:tcW w:type="dxa" w:w="13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14855</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17112</w:t>
            </w:r>
          </w:p>
        </w:tc>
        <w:tc>
          <w:tcPr>
            <w:tcW w:type="dxa" w:w="120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12080</w:t>
            </w:r>
          </w:p>
        </w:tc>
        <w:tc>
          <w:tcPr>
            <w:tcW w:type="dxa" w:w="1160"/>
            <w:tcMar>
              <w:top w:type="dxa" w:w="40"/>
              <w:left w:type="dxa" w:w="80"/>
              <w:bottom w:type="dxa" w:w="40"/>
              <w:right w:type="dxa" w:w="80"/>
            </w:tcMar>
          </w:tcPr>
          <w:p>
            <w:pPr>
              <w:spacing w:after="0" w:line="240"/>
              <w:jc w:val="right"/>
            </w:pPr>
            <w:r>
              <w:rPr>
                <w:rFonts w:ascii="Times New Roman" w:cs="Times New Roman" w:eastAsia="Times New Roman" w:hAnsi="Times New Roman"/>
                <w:b w:val="false"/>
                <w:bCs w:val="false"/>
                <w:sz w:val="17"/>
                <w:szCs w:val="17"/>
              </w:rPr>
              <w:t xml:space="preserve">14398</w:t>
            </w:r>
          </w:p>
        </w:tc>
      </w:tr>
    </w:tbl>
    <w:p>
      <w:pPr>
        <w:spacing w:after="240" w:before="80"/>
        <w:jc w:val="center"/>
      </w:pPr>
      <w:r>
        <w:rPr>
          <w:rFonts w:ascii="Times New Roman" w:cs="Times New Roman" w:eastAsia="Times New Roman" w:hAnsi="Times New Roman"/>
          <w:i/>
          <w:iCs/>
          <w:sz w:val="19"/>
          <w:szCs w:val="19"/>
        </w:rPr>
        <w:t xml:space="preserve">Table B-1. Frequency curve ordinates, all four durations.</w:t>
      </w:r>
    </w:p>
    <w:p>
      <w:r>
        <w:br w:type="page"/>
      </w:r>
    </w:p>
    <w:p>
      <w:pPr>
        <w:pStyle w:val="Heading1"/>
        <w:spacing w:after="140" w:before="300"/>
      </w:pPr>
      <w:r>
        <w:rPr>
          <w:rFonts w:ascii="Times New Roman" w:cs="Times New Roman" w:eastAsia="Times New Roman" w:hAnsi="Times New Roman"/>
          <w:b/>
          <w:bCs/>
          <w:sz w:val="26"/>
          <w:szCs w:val="26"/>
        </w:rPr>
        <w:t xml:space="preserve">Appendix C. Frequency Curves by Duration</w:t>
      </w:r>
    </w:p>
    <w:p>
      <w:pPr>
        <w:spacing w:after="160" w:line="276"/>
        <w:jc w:val="left"/>
      </w:pPr>
      <w:r>
        <w:rPr>
          <w:rFonts w:ascii="Times New Roman" w:cs="Times New Roman" w:eastAsia="Times New Roman" w:hAnsi="Times New Roman"/>
          <w:b w:val="false"/>
          <w:bCs w:val="false"/>
          <w:i w:val="false"/>
          <w:iCs w:val="false"/>
          <w:sz w:val="22"/>
          <w:szCs w:val="22"/>
        </w:rPr>
        <w:t xml:space="preserve">Individual curves as produced by HEC-SSP: computed curve, expected probability curve, 5 and 95 percent confidence limits, and observed events at Hirsch-Stedinger plotting positions. The peak figure reflects the censored treatment described in Section 13.2.</w:t>
      </w:r>
    </w:p>
    <w:p>
      <w:pPr>
        <w:spacing w:after="40" w:before="160"/>
        <w:jc w:val="center"/>
      </w:pPr>
      <w:r>
        <w:drawing>
          <wp:inline distT="0" distB="0" distL="0" distR="0">
            <wp:extent cx="5760720" cy="44805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448056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9"/>
          <w:szCs w:val="19"/>
        </w:rPr>
        <w:t xml:space="preserve">Figure C-1. Unregulated instantaneous peak frequency curve.</w:t>
      </w:r>
    </w:p>
    <w:p>
      <w:pPr>
        <w:spacing w:after="40" w:before="160"/>
        <w:jc w:val="center"/>
      </w:pPr>
      <w:r>
        <w:drawing>
          <wp:inline distT="0" distB="0" distL="0" distR="0">
            <wp:extent cx="5760720" cy="44805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0720" cy="448056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9"/>
          <w:szCs w:val="19"/>
        </w:rPr>
        <w:t xml:space="preserve">Figure C-2. Unregulated 1-day frequency curve.</w:t>
      </w:r>
    </w:p>
    <w:p>
      <w:pPr>
        <w:spacing w:after="40" w:before="160"/>
        <w:jc w:val="center"/>
      </w:pPr>
      <w:r>
        <w:drawing>
          <wp:inline distT="0" distB="0" distL="0" distR="0">
            <wp:extent cx="5760720" cy="44805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448056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9"/>
          <w:szCs w:val="19"/>
        </w:rPr>
        <w:t xml:space="preserve">Figure C-3. Unregulated 3-day frequency curve.</w:t>
      </w:r>
    </w:p>
    <w:p>
      <w:pPr>
        <w:spacing w:after="40" w:before="160"/>
        <w:jc w:val="center"/>
      </w:pPr>
      <w:r>
        <w:drawing>
          <wp:inline distT="0" distB="0" distL="0" distR="0">
            <wp:extent cx="5760720" cy="44805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448056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9"/>
          <w:szCs w:val="19"/>
        </w:rPr>
        <w:t xml:space="preserve">Figure C-4. Unregulated 5-day frequency curve.</w:t>
      </w:r>
    </w:p>
    <w:p>
      <w:r>
        <w:br w:type="page"/>
      </w:r>
    </w:p>
    <w:p>
      <w:pPr>
        <w:pStyle w:val="Heading1"/>
        <w:spacing w:after="140" w:before="300"/>
      </w:pPr>
      <w:r>
        <w:rPr>
          <w:rFonts w:ascii="Times New Roman" w:cs="Times New Roman" w:eastAsia="Times New Roman" w:hAnsi="Times New Roman"/>
          <w:b/>
          <w:bCs/>
          <w:sz w:val="26"/>
          <w:szCs w:val="26"/>
        </w:rPr>
        <w:t xml:space="preserve">References</w:t>
      </w:r>
    </w:p>
    <w:p>
      <w:pPr>
        <w:spacing w:after="140" w:line="276"/>
        <w:ind w:left="360" w:hanging="360"/>
      </w:pPr>
      <w:r>
        <w:rPr>
          <w:rFonts w:ascii="Times New Roman" w:cs="Times New Roman" w:eastAsia="Times New Roman" w:hAnsi="Times New Roman"/>
          <w:sz w:val="21"/>
          <w:szCs w:val="21"/>
        </w:rPr>
        <w:t xml:space="preserve">England, J.F., Jr., Cohn, T.A., Faber, B.A., Stedinger, J.R., Thomas, W.O., Jr., Veilleux, A.G., Kiang, J.E., and Mason, R.R., Jr., 2019, Guidelines for determining flood flow frequency - Bulletin 17C (ver. 1.1): U.S. Geological Survey Techniques and Methods, book 4, chap. B5, 148 p.</w:t>
      </w:r>
    </w:p>
    <w:p>
      <w:pPr>
        <w:spacing w:after="140" w:line="276"/>
        <w:ind w:left="360" w:hanging="360"/>
      </w:pPr>
      <w:r>
        <w:rPr>
          <w:rFonts w:ascii="Times New Roman" w:cs="Times New Roman" w:eastAsia="Times New Roman" w:hAnsi="Times New Roman"/>
          <w:sz w:val="21"/>
          <w:szCs w:val="21"/>
        </w:rPr>
        <w:t xml:space="preserve">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pPr>
        <w:spacing w:after="140" w:line="276"/>
        <w:ind w:left="360" w:hanging="360"/>
      </w:pPr>
      <w:r>
        <w:rPr>
          <w:rFonts w:ascii="Times New Roman" w:cs="Times New Roman" w:eastAsia="Times New Roman" w:hAnsi="Times New Roman"/>
          <w:sz w:val="21"/>
          <w:szCs w:val="21"/>
        </w:rPr>
        <w:t xml:space="preserve">Mastin, M.C., Konrad, C.P., Veilleux, A.G., and Tecca, A.E., 2016, Magnitude, frequency, and trends of floods at gaged and ungaged sites in Washington, based on data through water year 2014 (ver. 1.2, November 2017): U.S. Geological Survey Scientific Investigations Report 2016-5118, 70 p.</w:t>
      </w:r>
    </w:p>
    <w:p>
      <w:pPr>
        <w:spacing w:after="140" w:line="276"/>
        <w:ind w:left="360" w:hanging="360"/>
      </w:pPr>
      <w:r>
        <w:rPr>
          <w:rFonts w:ascii="Times New Roman" w:cs="Times New Roman" w:eastAsia="Times New Roman" w:hAnsi="Times New Roman"/>
          <w:sz w:val="21"/>
          <w:szCs w:val="21"/>
        </w:rPr>
        <w:t xml:space="preserve">U.S. Army Corps of Engineers, Portland District, 2009, Cowlitz River Hydrology Restudy.</w:t>
      </w:r>
    </w:p>
    <w:p>
      <w:pPr>
        <w:spacing w:after="140" w:line="276"/>
        <w:ind w:left="360" w:hanging="360"/>
      </w:pPr>
      <w:r>
        <w:rPr>
          <w:rFonts w:ascii="Times New Roman" w:cs="Times New Roman" w:eastAsia="Times New Roman" w:hAnsi="Times New Roman"/>
          <w:sz w:val="21"/>
          <w:szCs w:val="21"/>
        </w:rPr>
        <w:t xml:space="preserve">U.S. Army Corps of Engineers, 2014, Water Control Manual, Mossyrock Project, Cowlitz River, Washington.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40a38e1e95d5ed6cb6184b6abbc457e10e1d1b5.png"/><Relationship Id="rId9" Type="http://schemas.openxmlformats.org/officeDocument/2006/relationships/image" Target="media/ee45676e6d1a3debfe3ba9ed013f74d0d1087049.png"/><Relationship Id="rId10" Type="http://schemas.openxmlformats.org/officeDocument/2006/relationships/image" Target="media/e0943093555300eb2fd7be7776df0b7ee7d8ab7e.png"/><Relationship Id="rId11" Type="http://schemas.openxmlformats.org/officeDocument/2006/relationships/image" Target="media/842938b3d19f2fdc144b4ab2f691c599d5161308.png"/><Relationship Id="rId12" Type="http://schemas.openxmlformats.org/officeDocument/2006/relationships/image" Target="media/f9932a72e442656a5c02f439e5fa0296b675d089.png"/><Relationship Id="rId13" Type="http://schemas.openxmlformats.org/officeDocument/2006/relationships/image" Target="media/098a6cf18f3d5c420c2ad95dd09658a78883ed92.png"/><Relationship Id="rId14" Type="http://schemas.openxmlformats.org/officeDocument/2006/relationships/image" Target="media/e2092d3c5152d1fbf5093c11968c4a521aebd25f.png"/><Relationship Id="rId15" Type="http://schemas.openxmlformats.org/officeDocument/2006/relationships/image" Target="media/2d37329673d61f124e0b27564aa25120d9d4280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2026-08-03T20:41:20.899Z</dcterms:created>
  <dcterms:modified xsi:type="dcterms:W3CDTF">2026-08-03T20:41:20.899Z</dcterms:modified>
</cp:coreProperties>
</file>

<file path=docProps/custom.xml><?xml version="1.0" encoding="utf-8"?>
<Properties xmlns="http://schemas.openxmlformats.org/officeDocument/2006/custom-properties" xmlns:vt="http://schemas.openxmlformats.org/officeDocument/2006/docPropsVTypes"/>
</file>