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rPr>
          <w:b/>
          <w:bCs/>
          <w:sz w:val="28"/>
          <w:szCs w:val="28"/>
        </w:rPr>
        <w:t xml:space="preserve">MEMORANDUM</w:t>
      </w:r>
    </w:p>
    <w:p>
      <w:pPr>
        <w:spacing w:after="60"/>
      </w:pPr>
      <w:r>
        <w:rPr>
          <w:b/>
          <w:bCs/>
          <w:sz w:val="22"/>
          <w:szCs w:val="22"/>
        </w:rPr>
        <w:t xml:space="preserve">Subject:  </w:t>
      </w:r>
      <w:r>
        <w:rPr>
          <w:sz w:val="22"/>
          <w:szCs w:val="22"/>
        </w:rPr>
        <w:t xml:space="preserve">Unregulated Flow Frequency Record at Castle Rock (USGS 14243000) — Mossyrock Holdout Method (CAS_Unreg_FF)</w:t>
      </w:r>
    </w:p>
    <w:p>
      <w:pPr>
        <w:spacing w:after="60"/>
      </w:pPr>
      <w:r>
        <w:rPr>
          <w:b/>
          <w:bCs/>
          <w:sz w:val="22"/>
          <w:szCs w:val="22"/>
        </w:rPr>
        <w:t xml:space="preserve">From:  </w:t>
      </w:r>
      <w:r>
        <w:rPr>
          <w:sz w:val="22"/>
          <w:szCs w:val="22"/>
        </w:rPr>
        <w:t xml:space="preserve">Water Management / Hydraulic Engineering, USACE Portland District</w:t>
      </w:r>
    </w:p>
    <w:p>
      <w:pPr>
        <w:spacing w:after="60"/>
      </w:pPr>
      <w:r>
        <w:rPr>
          <w:b/>
          <w:bCs/>
          <w:sz w:val="22"/>
          <w:szCs w:val="22"/>
        </w:rPr>
        <w:t xml:space="preserve">Date:  </w:t>
      </w:r>
      <w:r>
        <w:rPr>
          <w:sz w:val="22"/>
          <w:szCs w:val="22"/>
        </w:rPr>
        <w:t xml:space="preserve">24 July 2026</w:t>
      </w:r>
    </w:p>
    <w:p>
      <w:pPr>
        <w:spacing w:after="60"/>
      </w:pPr>
      <w:r>
        <w:rPr>
          <w:b/>
          <w:bCs/>
          <w:sz w:val="22"/>
          <w:szCs w:val="22"/>
        </w:rPr>
        <w:t xml:space="preserve">Status:  </w:t>
      </w:r>
      <w:r>
        <w:rPr>
          <w:sz w:val="22"/>
          <w:szCs w:val="22"/>
        </w:rPr>
        <w:t xml:space="preserve">Methodology and results — record assembled and written to CAS_Unreg_SSP.dss for HEC-SSP</w:t>
      </w:r>
    </w:p>
    <w:p>
      <w:pPr>
        <w:pBdr>
          <w:bottom w:val="single" w:color="444444" w:sz="6"/>
        </w:pBdr>
        <w:spacing w:after="200"/>
      </w:pPr>
    </w:p>
    <w:p>
      <w:pPr>
        <w:pStyle w:val="Heading1"/>
        <w:spacing w:after="100" w:before="220"/>
      </w:pPr>
      <w:r>
        <w:t xml:space="preserve">1. Purpose</w:t>
      </w:r>
    </w:p>
    <w:p>
      <w:pPr>
        <w:spacing w:after="120" w:line="276"/>
      </w:pPr>
      <w:r>
        <w:rPr>
          <w:sz w:val="22"/>
          <w:szCs w:val="22"/>
        </w:rPr>
        <w:t xml:space="preserve">This memo documents the methodology and results for the unregulated annual-maximum flow record at Castle Rock used for flow frequency analysis. In place of the earlier approach — cleaning reservoir inflow records and routing them through HEC-ResSim — the regulated-era record is built from a Mossyrock (MOS) storage holdout derived from a hand-cleaned hourly elevation record, supplemented by a storage-change regression for years without a usable holdout, a daily mass balance for the 1/3/5-day durations, and the observed USGS record for the pre-regulation period. The assembled record (WY1927–2026) is written to output/CAS_Unreg_SSP.dss with a source tag on every value (wy_record_ssp.csv).</w:t>
      </w:r>
    </w:p>
    <w:p>
      <w:pPr>
        <w:pStyle w:val="Heading1"/>
        <w:spacing w:after="100" w:before="220"/>
      </w:pPr>
      <w:r>
        <w:t xml:space="preserve">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shd w:fill="E8E8E8" w:val="clear"/>
          </w:tcPr>
          <w:p>
            <w:r>
              <w:rPr>
                <w:b/>
                <w:bCs/>
                <w:sz w:val="19"/>
                <w:szCs w:val="19"/>
              </w:rPr>
              <w:t xml:space="preserve">Record</w:t>
            </w:r>
          </w:p>
        </w:tc>
        <w:tc>
          <w:tcPr>
            <w:tcW w:type="dxa" w:w="5060"/>
            <w:shd w:fill="E8E8E8" w:val="clear"/>
          </w:tcPr>
          <w:p>
            <w:r>
              <w:rPr>
                <w:b/>
                <w:bCs/>
                <w:sz w:val="19"/>
                <w:szCs w:val="19"/>
              </w:rPr>
              <w:t xml:space="preserve">Role</w:t>
            </w:r>
          </w:p>
        </w:tc>
      </w:tr>
      <w:tr>
        <w:tc>
          <w:tcPr>
            <w:tcW w:type="dxa" w:w="4300"/>
          </w:tcPr>
          <w:p>
            <w:r>
              <w:rPr>
                <w:sz w:val="19"/>
                <w:szCs w:val="19"/>
              </w:rPr>
              <w:t xml:space="preserve">//MOS/ELEV//1HOUR/CWMS-CLEAN/ (obsData.dss)</w:t>
            </w:r>
          </w:p>
        </w:tc>
        <w:tc>
          <w:tcPr>
            <w:tcW w:type="dxa" w:w="5060"/>
          </w:tcPr>
          <w:p>
            <w:r>
              <w:rPr>
                <w:sz w:val="19"/>
                <w:szCs w:val="19"/>
              </w:rPr>
              <w:t xml:space="preserve">Hand-cleaned hourly MOS elevation (iterative DSSVue edits; manual product, not script-reproducible). Used ONLY in the holdout workflow, gated day-by-day by the storage telemetry screen.</w:t>
            </w:r>
          </w:p>
        </w:tc>
      </w:tr>
      <w:tr>
        <w:tc>
          <w:tcPr>
            <w:tcW w:type="dxa" w:w="4300"/>
          </w:tcPr>
          <w:p>
            <w:r>
              <w:rPr>
                <w:sz w:val="19"/>
                <w:szCs w:val="19"/>
              </w:rPr>
              <w:t xml:space="preserve">//MOS/STOR//1HOUR/CWMS/</w:t>
            </w:r>
          </w:p>
        </w:tc>
        <w:tc>
          <w:tcPr>
            <w:tcW w:type="dxa" w:w="5060"/>
          </w:tcPr>
          <w:p>
            <w:r>
              <w:rPr>
                <w:sz w:val="19"/>
                <w:szCs w:val="19"/>
              </w:rPr>
              <w:t xml:space="preserve">Raw storage telemetry; daily valid-value count gates which days the hourly elevation is trusted (≥ 4 values/day, with manual overrides).</w:t>
            </w:r>
          </w:p>
        </w:tc>
      </w:tr>
      <w:tr>
        <w:tc>
          <w:tcPr>
            <w:tcW w:type="dxa" w:w="4300"/>
          </w:tcPr>
          <w:p>
            <w:r>
              <w:rPr>
                <w:sz w:val="19"/>
                <w:szCs w:val="19"/>
              </w:rPr>
              <w:t xml:space="preserve">//MOS/ELEV//1DAY/USGS/</w:t>
            </w:r>
          </w:p>
        </w:tc>
        <w:tc>
          <w:tcPr>
            <w:tcW w:type="dxa" w:w="5060"/>
          </w:tcPr>
          <w:p>
            <w:r>
              <w:rPr>
                <w:sz w:val="19"/>
                <w:szCs w:val="19"/>
              </w:rPr>
              <w:t xml:space="preserve">Daily MOS elevation (separate record, 01Oct1973–present; not derived from the hourly). Source of the storage-change regression predictors and the daily mass balance.</w:t>
            </w:r>
          </w:p>
        </w:tc>
      </w:tr>
      <w:tr>
        <w:tc>
          <w:tcPr>
            <w:tcW w:type="dxa" w:w="4300"/>
          </w:tcPr>
          <w:p>
            <w:r>
              <w:rPr>
                <w:sz w:val="19"/>
                <w:szCs w:val="19"/>
              </w:rPr>
              <w:t xml:space="preserve">Castle Rock 14243000 hourly + daily FLOW (USGS)</w:t>
            </w:r>
          </w:p>
        </w:tc>
        <w:tc>
          <w:tcPr>
            <w:tcW w:type="dxa" w:w="5060"/>
          </w:tcPr>
          <w:p>
            <w:r>
              <w:rPr>
                <w:sz w:val="19"/>
                <w:szCs w:val="19"/>
              </w:rPr>
              <w:t xml:space="preserve">Regulated flows. The regulated peak is the 1-hr max of the hourly record so regulated and unregulated peaks are computed identically. Daily record is winter-only for part of the 1990s (see Sec. 6).</w:t>
            </w:r>
          </w:p>
        </w:tc>
      </w:tr>
      <w:tr>
        <w:tc>
          <w:tcPr>
            <w:tcW w:type="dxa" w:w="4300"/>
          </w:tcPr>
          <w:p>
            <w:r>
              <w:rPr>
                <w:sz w:val="19"/>
                <w:szCs w:val="19"/>
              </w:rPr>
              <w:t xml:space="preserve">Mayfield 14238000 hourly FLOW (USGS)</w:t>
            </w:r>
          </w:p>
        </w:tc>
        <w:tc>
          <w:tcPr>
            <w:tcW w:type="dxa" w:w="5060"/>
          </w:tcPr>
          <w:p>
            <w:r>
              <w:rPr>
                <w:sz w:val="19"/>
                <w:szCs w:val="19"/>
              </w:rPr>
              <w:t xml:space="preserve">Routing input, Mayfield → Castle Rock.</w:t>
            </w:r>
          </w:p>
        </w:tc>
      </w:tr>
      <w:tr>
        <w:tc>
          <w:tcPr>
            <w:tcW w:type="dxa" w:w="4300"/>
          </w:tcPr>
          <w:p>
            <w:r>
              <w:rPr>
                <w:sz w:val="19"/>
                <w:szCs w:val="19"/>
              </w:rPr>
              <w:t xml:space="preserve">CastleRock_USGS_peaks.csv</w:t>
            </w:r>
          </w:p>
        </w:tc>
        <w:tc>
          <w:tcPr>
            <w:tcW w:type="dxa" w:w="5060"/>
          </w:tcPr>
          <w:p>
            <w:r>
              <w:rPr>
                <w:sz w:val="19"/>
                <w:szCs w:val="19"/>
              </w:rPr>
              <w:t xml:space="preserve">USGS observed instantaneous annual peaks; the peak source for pre-regulation WYs.</w:t>
            </w:r>
          </w:p>
        </w:tc>
      </w:tr>
    </w:tbl>
    <w:p>
      <w:pPr>
        <w:pStyle w:val="Heading1"/>
        <w:spacing w:after="100" w:before="220"/>
      </w:pPr>
      <w:r>
        <w:t xml:space="preserve">3. Hourly Unregulated Record (Holdout Method)</w:t>
      </w:r>
    </w:p>
    <w:p>
      <w:pPr>
        <w:spacing w:after="120" w:line="276"/>
      </w:pPr>
      <w:r>
        <w:rPr>
          <w:sz w:val="22"/>
          <w:szCs w:val="22"/>
        </w:rPr>
        <w:t xml:space="preserve">The hourly MOS elevation was copied and hand-edited iteratively in HEC-DSSVue (edit → compute holdout → scrutinize → edit) with no algorithmic despiking or smoothing. Processing: convert cleaned elevation to storage with the official 2014 rating (1-ft steps, 622–780 ft, edge-slope extrapolation for surcharge); difference to a raw hourly holdout (cfs); 3-hour centered rolling average; October–March season; blank any day with fewer than 4 valid raw storage-telemetry values (manual date-range overrides where data quality is known to differ from the count). Route (Mayfield + holdout) and (Mayfield alone) to Castle Rock through three chained SSARR reaches (Table 3 calibration, lower Cowlitz model; Toutle reach excluded; only stretches with ≥ 10 continuous valid days routed). The routed difference added to observed Castle Rock flow is the hourly unregulated estimate. Much of the post-1974 hourly elevation record is not usable at hourly resolution; the telemetry screen and overrides confine the holdout to the periods that are.</w:t>
      </w:r>
    </w:p>
    <w:p>
      <w:pPr>
        <w:pStyle w:val="Heading1"/>
        <w:spacing w:after="100" w:before="220"/>
      </w:pPr>
      <w:r>
        <w:t xml:space="preserve">4. Water-Year Peaks and Missing-Window Review</w:t>
      </w:r>
    </w:p>
    <w:p>
      <w:pPr>
        <w:spacing w:after="120" w:line="276"/>
      </w:pPr>
      <w:r>
        <w:rPr>
          <w:sz w:val="22"/>
          <w:szCs w:val="22"/>
        </w:rPr>
        <w:t xml:space="preserve">From the hourly series, the 1-hour maximum and the maximum 24-hour mean are extracted per water year for both the unregulated estimate and the regulated record, with timestamps. The regulated peak is deliberately the 1-hr max of the USGS hourly record, not the USGS instantaneous peak record, so both peaks are computed identically for the regression. Every October–March missing window ≥ 3 hours in either series is cataloged with its distance to that year's computed peak (diagnostics/wy_missing_windows.csv; 134 windows), and per-year gap-summary columns support screening. Nothing is omitted automatically; suspect windows or whole years are excluded only by explicit configuration. Sixteen water years carry holdout-based unregulated peaks (WY1992 and WY2008–2026, excluding low-coverage years).</w:t>
      </w:r>
    </w:p>
    <w:p>
      <w:pPr>
        <w:pStyle w:val="Heading1"/>
        <w:spacing w:after="100" w:before="220"/>
      </w:pPr>
      <w:r>
        <w:t xml:space="preserve">5. Peak Correction — Storage-Change Regression</w:t>
      </w:r>
    </w:p>
    <w:p>
      <w:pPr>
        <w:spacing w:after="120" w:line="276"/>
      </w:pPr>
      <w:r>
        <w:rPr>
          <w:sz w:val="22"/>
          <w:szCs w:val="22"/>
        </w:rPr>
        <w:t xml:space="preserve">For water years with a good regulated peak but no usable hourly holdout, the regulated peak is corrected to unregulated by regressing the water-year peak difference (regulated minus unregulated, 1-hr peaks) on the maximum daily MOS storage increase near the event, computed from the daily elevation record over candidate 1–4-day windows within ±7 days of the regulated peak (each expressed as mean cfs over its window). Pairs whose regulated and unregulated peaks landed more than 72 hours apart would be excluded as likely different storms; in the adopted fit set (n = 17, WY1992–2026) offsets ranged −69 to +6 hours (median −3), and no pair was excluded.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100"/>
        <w:gridCol w:w="1500"/>
        <w:gridCol w:w="1500"/>
      </w:tblGrid>
      <w:tr>
        <w:tc>
          <w:tcPr>
            <w:tcW w:type="dxa" w:w="2200"/>
            <w:shd w:fill="E8E8E8" w:val="clear"/>
          </w:tcPr>
          <w:p>
            <w:r>
              <w:rPr>
                <w:b/>
                <w:bCs/>
                <w:sz w:val="19"/>
                <w:szCs w:val="19"/>
              </w:rPr>
              <w:t xml:space="preserve">Predictor</w:t>
            </w:r>
          </w:p>
        </w:tc>
        <w:tc>
          <w:tcPr>
            <w:tcW w:type="dxa" w:w="1900"/>
            <w:shd w:fill="E8E8E8" w:val="clear"/>
          </w:tcPr>
          <w:p>
            <w:r>
              <w:rPr>
                <w:b/>
                <w:bCs/>
                <w:sz w:val="19"/>
                <w:szCs w:val="19"/>
              </w:rPr>
              <w:t xml:space="preserve">Slope</w:t>
            </w:r>
          </w:p>
        </w:tc>
        <w:tc>
          <w:tcPr>
            <w:tcW w:type="dxa" w:w="2100"/>
            <w:shd w:fill="E8E8E8" w:val="clear"/>
          </w:tcPr>
          <w:p>
            <w:r>
              <w:rPr>
                <w:b/>
                <w:bCs/>
                <w:sz w:val="19"/>
                <w:szCs w:val="19"/>
              </w:rPr>
              <w:t xml:space="preserve">Intercept (cfs)</w:t>
            </w:r>
          </w:p>
        </w:tc>
        <w:tc>
          <w:tcPr>
            <w:tcW w:type="dxa" w:w="1500"/>
            <w:shd w:fill="E8E8E8" w:val="clear"/>
          </w:tcPr>
          <w:p>
            <w:r>
              <w:rPr>
                <w:b/>
                <w:bCs/>
                <w:sz w:val="19"/>
                <w:szCs w:val="19"/>
              </w:rPr>
              <w:t xml:space="preserve">R²</w:t>
            </w:r>
          </w:p>
        </w:tc>
        <w:tc>
          <w:tcPr>
            <w:tcW w:type="dxa" w:w="1500"/>
            <w:shd w:fill="E8E8E8" w:val="clear"/>
          </w:tcPr>
          <w:p>
            <w:r>
              <w:rPr>
                <w:b/>
                <w:bCs/>
                <w:sz w:val="19"/>
                <w:szCs w:val="19"/>
              </w:rPr>
              <w:t xml:space="preserve">SE (cfs)</w:t>
            </w:r>
          </w:p>
        </w:tc>
      </w:tr>
      <w:tr>
        <w:tc>
          <w:tcPr>
            <w:tcW w:type="dxa" w:w="2200"/>
          </w:tcPr>
          <w:p>
            <w:r>
              <w:rPr>
                <w:sz w:val="19"/>
                <w:szCs w:val="19"/>
              </w:rPr>
              <w:t xml:space="preserve">dS_1day</w:t>
            </w:r>
          </w:p>
        </w:tc>
        <w:tc>
          <w:tcPr>
            <w:tcW w:type="dxa" w:w="1900"/>
          </w:tcPr>
          <w:p>
            <w:r>
              <w:rPr>
                <w:sz w:val="19"/>
                <w:szCs w:val="19"/>
              </w:rPr>
              <w:t xml:space="preserve">−0.673</w:t>
            </w:r>
          </w:p>
        </w:tc>
        <w:tc>
          <w:tcPr>
            <w:tcW w:type="dxa" w:w="2100"/>
          </w:tcPr>
          <w:p>
            <w:r>
              <w:rPr>
                <w:sz w:val="19"/>
                <w:szCs w:val="19"/>
              </w:rPr>
              <w:t xml:space="preserve">−7,751</w:t>
            </w:r>
          </w:p>
        </w:tc>
        <w:tc>
          <w:tcPr>
            <w:tcW w:type="dxa" w:w="1500"/>
          </w:tcPr>
          <w:p>
            <w:r>
              <w:rPr>
                <w:sz w:val="19"/>
                <w:szCs w:val="19"/>
              </w:rPr>
              <w:t xml:space="preserve">0.759</w:t>
            </w:r>
          </w:p>
        </w:tc>
        <w:tc>
          <w:tcPr>
            <w:tcW w:type="dxa" w:w="1500"/>
          </w:tcPr>
          <w:p>
            <w:r>
              <w:rPr>
                <w:sz w:val="19"/>
                <w:szCs w:val="19"/>
              </w:rPr>
              <w:t xml:space="preserve">7,565</w:t>
            </w:r>
          </w:p>
        </w:tc>
      </w:tr>
      <w:tr>
        <w:tc>
          <w:tcPr>
            <w:tcW w:type="dxa" w:w="2200"/>
          </w:tcPr>
          <w:p>
            <w:r>
              <w:rPr>
                <w:sz w:val="19"/>
                <w:szCs w:val="19"/>
              </w:rPr>
              <w:t xml:space="preserve">dS_2day  (ADOPTED)</w:t>
            </w:r>
          </w:p>
        </w:tc>
        <w:tc>
          <w:tcPr>
            <w:tcW w:type="dxa" w:w="1900"/>
          </w:tcPr>
          <w:p>
            <w:r>
              <w:rPr>
                <w:sz w:val="19"/>
                <w:szCs w:val="19"/>
              </w:rPr>
              <w:t xml:space="preserve">−0.869</w:t>
            </w:r>
          </w:p>
        </w:tc>
        <w:tc>
          <w:tcPr>
            <w:tcW w:type="dxa" w:w="2100"/>
          </w:tcPr>
          <w:p>
            <w:r>
              <w:rPr>
                <w:sz w:val="19"/>
                <w:szCs w:val="19"/>
              </w:rPr>
              <w:t xml:space="preserve">−3,836</w:t>
            </w:r>
          </w:p>
        </w:tc>
        <w:tc>
          <w:tcPr>
            <w:tcW w:type="dxa" w:w="1500"/>
          </w:tcPr>
          <w:p>
            <w:r>
              <w:rPr>
                <w:sz w:val="19"/>
                <w:szCs w:val="19"/>
              </w:rPr>
              <w:t xml:space="preserve">0.871</w:t>
            </w:r>
          </w:p>
        </w:tc>
        <w:tc>
          <w:tcPr>
            <w:tcW w:type="dxa" w:w="1500"/>
          </w:tcPr>
          <w:p>
            <w:r>
              <w:rPr>
                <w:sz w:val="19"/>
                <w:szCs w:val="19"/>
              </w:rPr>
              <w:t xml:space="preserve">5,528</w:t>
            </w:r>
          </w:p>
        </w:tc>
      </w:tr>
      <w:tr>
        <w:tc>
          <w:tcPr>
            <w:tcW w:type="dxa" w:w="2200"/>
          </w:tcPr>
          <w:p>
            <w:r>
              <w:rPr>
                <w:sz w:val="19"/>
                <w:szCs w:val="19"/>
              </w:rPr>
              <w:t xml:space="preserve">dS_3day</w:t>
            </w:r>
          </w:p>
        </w:tc>
        <w:tc>
          <w:tcPr>
            <w:tcW w:type="dxa" w:w="1900"/>
          </w:tcPr>
          <w:p>
            <w:r>
              <w:rPr>
                <w:sz w:val="19"/>
                <w:szCs w:val="19"/>
              </w:rPr>
              <w:t xml:space="preserve">−0.983</w:t>
            </w:r>
          </w:p>
        </w:tc>
        <w:tc>
          <w:tcPr>
            <w:tcW w:type="dxa" w:w="2100"/>
          </w:tcPr>
          <w:p>
            <w:r>
              <w:rPr>
                <w:sz w:val="19"/>
                <w:szCs w:val="19"/>
              </w:rPr>
              <w:t xml:space="preserve">−4,537</w:t>
            </w:r>
          </w:p>
        </w:tc>
        <w:tc>
          <w:tcPr>
            <w:tcW w:type="dxa" w:w="1500"/>
          </w:tcPr>
          <w:p>
            <w:r>
              <w:rPr>
                <w:sz w:val="19"/>
                <w:szCs w:val="19"/>
              </w:rPr>
              <w:t xml:space="preserve">0.853</w:t>
            </w:r>
          </w:p>
        </w:tc>
        <w:tc>
          <w:tcPr>
            <w:tcW w:type="dxa" w:w="1500"/>
          </w:tcPr>
          <w:p>
            <w:r>
              <w:rPr>
                <w:sz w:val="19"/>
                <w:szCs w:val="19"/>
              </w:rPr>
              <w:t xml:space="preserve">5,896</w:t>
            </w:r>
          </w:p>
        </w:tc>
      </w:tr>
      <w:tr>
        <w:tc>
          <w:tcPr>
            <w:tcW w:type="dxa" w:w="2200"/>
          </w:tcPr>
          <w:p>
            <w:r>
              <w:rPr>
                <w:sz w:val="19"/>
                <w:szCs w:val="19"/>
              </w:rPr>
              <w:t xml:space="preserve">dS_4day</w:t>
            </w:r>
          </w:p>
        </w:tc>
        <w:tc>
          <w:tcPr>
            <w:tcW w:type="dxa" w:w="1900"/>
          </w:tcPr>
          <w:p>
            <w:r>
              <w:rPr>
                <w:sz w:val="19"/>
                <w:szCs w:val="19"/>
              </w:rPr>
              <w:t xml:space="preserve">−1.140</w:t>
            </w:r>
          </w:p>
        </w:tc>
        <w:tc>
          <w:tcPr>
            <w:tcW w:type="dxa" w:w="2100"/>
          </w:tcPr>
          <w:p>
            <w:r>
              <w:rPr>
                <w:sz w:val="19"/>
                <w:szCs w:val="19"/>
              </w:rPr>
              <w:t xml:space="preserve">−4,770</w:t>
            </w:r>
          </w:p>
        </w:tc>
        <w:tc>
          <w:tcPr>
            <w:tcW w:type="dxa" w:w="1500"/>
          </w:tcPr>
          <w:p>
            <w:r>
              <w:rPr>
                <w:sz w:val="19"/>
                <w:szCs w:val="19"/>
              </w:rPr>
              <w:t xml:space="preserve">0.836</w:t>
            </w:r>
          </w:p>
        </w:tc>
        <w:tc>
          <w:tcPr>
            <w:tcW w:type="dxa" w:w="1500"/>
          </w:tcPr>
          <w:p>
            <w:r>
              <w:rPr>
                <w:sz w:val="19"/>
                <w:szCs w:val="19"/>
              </w:rPr>
              <w:t xml:space="preserve">6,239</w:t>
            </w:r>
          </w:p>
        </w:tc>
      </w:tr>
    </w:tbl>
    <w:p>
      <w:pPr>
        <w:spacing w:after="120" w:line="276"/>
      </w:pPr>
      <w:r>
        <w:rPr>
          <w:sz w:val="22"/>
          <w:szCs w:val="22"/>
        </w:rPr>
        <w:t xml:space="preserve"/>
      </w:r>
    </w:p>
    <w:p>
      <w:pPr>
        <w:spacing w:after="120" w:line="276"/>
      </w:pPr>
      <w:r>
        <w:rPr>
          <w:sz w:val="22"/>
          <w:szCs w:val="22"/>
        </w:rPr>
        <w:t xml:space="preserve">The 2-day window performed best and is adopted: (REG − UNREG) = −0.869 · dS_2day − 3,836 cfs (R² = 0.871, SE ≈ 5,530 cfs, n = 17). The estimated unregulated peak is the regulated peak minus the predicted difference. Nine gap years were filled (regulated peaks from the 1-hr max of the hourly record in all nine):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500"/>
      </w:tblGrid>
      <w:tr>
        <w:tc>
          <w:tcPr>
            <w:tcW w:type="dxa" w:w="1100"/>
            <w:shd w:fill="E8E8E8" w:val="clear"/>
          </w:tcPr>
          <w:p>
            <w:r>
              <w:rPr>
                <w:b/>
                <w:bCs/>
                <w:sz w:val="19"/>
                <w:szCs w:val="19"/>
              </w:rPr>
              <w:t xml:space="preserve">WY</w:t>
            </w:r>
          </w:p>
        </w:tc>
        <w:tc>
          <w:tcPr>
            <w:tcW w:type="dxa" w:w="2200"/>
            <w:shd w:fill="E8E8E8" w:val="clear"/>
          </w:tcPr>
          <w:p>
            <w:r>
              <w:rPr>
                <w:b/>
                <w:bCs/>
                <w:sz w:val="19"/>
                <w:szCs w:val="19"/>
              </w:rPr>
              <w:t xml:space="preserve">Reg peak (cfs)</w:t>
            </w:r>
          </w:p>
        </w:tc>
        <w:tc>
          <w:tcPr>
            <w:tcW w:type="dxa" w:w="2200"/>
            <w:shd w:fill="E8E8E8" w:val="clear"/>
          </w:tcPr>
          <w:p>
            <w:r>
              <w:rPr>
                <w:b/>
                <w:bCs/>
                <w:sz w:val="19"/>
                <w:szCs w:val="19"/>
              </w:rPr>
              <w:t xml:space="preserve">dS_2day (cfs)</w:t>
            </w:r>
          </w:p>
        </w:tc>
        <w:tc>
          <w:tcPr>
            <w:tcW w:type="dxa" w:w="2500"/>
            <w:shd w:fill="E8E8E8" w:val="clear"/>
          </w:tcPr>
          <w:p>
            <w:r>
              <w:rPr>
                <w:b/>
                <w:bCs/>
                <w:sz w:val="19"/>
                <w:szCs w:val="19"/>
              </w:rPr>
              <w:t xml:space="preserve">Unreg peak est. (cfs)</w:t>
            </w:r>
          </w:p>
        </w:tc>
      </w:tr>
      <w:tr>
        <w:tc>
          <w:tcPr>
            <w:tcW w:type="dxa" w:w="1100"/>
          </w:tcPr>
          <w:p>
            <w:r>
              <w:rPr>
                <w:sz w:val="19"/>
                <w:szCs w:val="19"/>
              </w:rPr>
              <w:t xml:space="preserve">1993</w:t>
            </w:r>
          </w:p>
        </w:tc>
        <w:tc>
          <w:tcPr>
            <w:tcW w:type="dxa" w:w="2200"/>
          </w:tcPr>
          <w:p>
            <w:r>
              <w:rPr>
                <w:sz w:val="19"/>
                <w:szCs w:val="19"/>
              </w:rPr>
              <w:t xml:space="preserve">14,100</w:t>
            </w:r>
          </w:p>
        </w:tc>
        <w:tc>
          <w:tcPr>
            <w:tcW w:type="dxa" w:w="2200"/>
          </w:tcPr>
          <w:p>
            <w:r>
              <w:rPr>
                <w:sz w:val="19"/>
                <w:szCs w:val="19"/>
              </w:rPr>
              <w:t xml:space="preserve">17,658</w:t>
            </w:r>
          </w:p>
        </w:tc>
        <w:tc>
          <w:tcPr>
            <w:tcW w:type="dxa" w:w="2500"/>
          </w:tcPr>
          <w:p>
            <w:r>
              <w:rPr>
                <w:sz w:val="19"/>
                <w:szCs w:val="19"/>
              </w:rPr>
              <w:t xml:space="preserve">33,272</w:t>
            </w:r>
          </w:p>
        </w:tc>
      </w:tr>
      <w:tr>
        <w:tc>
          <w:tcPr>
            <w:tcW w:type="dxa" w:w="1100"/>
          </w:tcPr>
          <w:p>
            <w:r>
              <w:rPr>
                <w:sz w:val="19"/>
                <w:szCs w:val="19"/>
              </w:rPr>
              <w:t xml:space="preserve">1994</w:t>
            </w:r>
          </w:p>
        </w:tc>
        <w:tc>
          <w:tcPr>
            <w:tcW w:type="dxa" w:w="2200"/>
          </w:tcPr>
          <w:p>
            <w:r>
              <w:rPr>
                <w:sz w:val="19"/>
                <w:szCs w:val="19"/>
              </w:rPr>
              <w:t xml:space="preserve">17,300</w:t>
            </w:r>
          </w:p>
        </w:tc>
        <w:tc>
          <w:tcPr>
            <w:tcW w:type="dxa" w:w="2200"/>
          </w:tcPr>
          <w:p>
            <w:r>
              <w:rPr>
                <w:sz w:val="19"/>
                <w:szCs w:val="19"/>
              </w:rPr>
              <w:t xml:space="preserve">3,225</w:t>
            </w:r>
          </w:p>
        </w:tc>
        <w:tc>
          <w:tcPr>
            <w:tcW w:type="dxa" w:w="2500"/>
          </w:tcPr>
          <w:p>
            <w:r>
              <w:rPr>
                <w:sz w:val="19"/>
                <w:szCs w:val="19"/>
              </w:rPr>
              <w:t xml:space="preserve">23,937</w:t>
            </w:r>
          </w:p>
        </w:tc>
      </w:tr>
      <w:tr>
        <w:tc>
          <w:tcPr>
            <w:tcW w:type="dxa" w:w="1100"/>
          </w:tcPr>
          <w:p>
            <w:r>
              <w:rPr>
                <w:sz w:val="19"/>
                <w:szCs w:val="19"/>
              </w:rPr>
              <w:t xml:space="preserve">1995</w:t>
            </w:r>
          </w:p>
        </w:tc>
        <w:tc>
          <w:tcPr>
            <w:tcW w:type="dxa" w:w="2200"/>
          </w:tcPr>
          <w:p>
            <w:r>
              <w:rPr>
                <w:sz w:val="19"/>
                <w:szCs w:val="19"/>
              </w:rPr>
              <w:t xml:space="preserve">47,350</w:t>
            </w:r>
          </w:p>
        </w:tc>
        <w:tc>
          <w:tcPr>
            <w:tcW w:type="dxa" w:w="2200"/>
          </w:tcPr>
          <w:p>
            <w:r>
              <w:rPr>
                <w:sz w:val="19"/>
                <w:szCs w:val="19"/>
              </w:rPr>
              <w:t xml:space="preserve">14,885</w:t>
            </w:r>
          </w:p>
        </w:tc>
        <w:tc>
          <w:tcPr>
            <w:tcW w:type="dxa" w:w="2500"/>
          </w:tcPr>
          <w:p>
            <w:r>
              <w:rPr>
                <w:sz w:val="19"/>
                <w:szCs w:val="19"/>
              </w:rPr>
              <w:t xml:space="preserve">64,114</w:t>
            </w:r>
          </w:p>
        </w:tc>
      </w:tr>
      <w:tr>
        <w:tc>
          <w:tcPr>
            <w:tcW w:type="dxa" w:w="1100"/>
          </w:tcPr>
          <w:p>
            <w:r>
              <w:rPr>
                <w:sz w:val="19"/>
                <w:szCs w:val="19"/>
              </w:rPr>
              <w:t xml:space="preserve">1996</w:t>
            </w:r>
          </w:p>
        </w:tc>
        <w:tc>
          <w:tcPr>
            <w:tcW w:type="dxa" w:w="2200"/>
          </w:tcPr>
          <w:p>
            <w:r>
              <w:rPr>
                <w:sz w:val="19"/>
                <w:szCs w:val="19"/>
              </w:rPr>
              <w:t xml:space="preserve">111,250</w:t>
            </w:r>
          </w:p>
        </w:tc>
        <w:tc>
          <w:tcPr>
            <w:tcW w:type="dxa" w:w="2200"/>
          </w:tcPr>
          <w:p>
            <w:r>
              <w:rPr>
                <w:sz w:val="19"/>
                <w:szCs w:val="19"/>
              </w:rPr>
              <w:t xml:space="preserve">71,119</w:t>
            </w:r>
          </w:p>
        </w:tc>
        <w:tc>
          <w:tcPr>
            <w:tcW w:type="dxa" w:w="2500"/>
          </w:tcPr>
          <w:p>
            <w:r>
              <w:rPr>
                <w:sz w:val="19"/>
                <w:szCs w:val="19"/>
              </w:rPr>
              <w:t xml:space="preserve">176,855</w:t>
            </w:r>
          </w:p>
        </w:tc>
      </w:tr>
      <w:tr>
        <w:tc>
          <w:tcPr>
            <w:tcW w:type="dxa" w:w="1100"/>
          </w:tcPr>
          <w:p>
            <w:r>
              <w:rPr>
                <w:sz w:val="19"/>
                <w:szCs w:val="19"/>
              </w:rPr>
              <w:t xml:space="preserve">1998</w:t>
            </w:r>
          </w:p>
        </w:tc>
        <w:tc>
          <w:tcPr>
            <w:tcW w:type="dxa" w:w="2200"/>
          </w:tcPr>
          <w:p>
            <w:r>
              <w:rPr>
                <w:sz w:val="19"/>
                <w:szCs w:val="19"/>
              </w:rPr>
              <w:t xml:space="preserve">30,550</w:t>
            </w:r>
          </w:p>
        </w:tc>
        <w:tc>
          <w:tcPr>
            <w:tcW w:type="dxa" w:w="2200"/>
          </w:tcPr>
          <w:p>
            <w:r>
              <w:rPr>
                <w:sz w:val="19"/>
                <w:szCs w:val="19"/>
              </w:rPr>
              <w:t xml:space="preserve">5,226</w:t>
            </w:r>
          </w:p>
        </w:tc>
        <w:tc>
          <w:tcPr>
            <w:tcW w:type="dxa" w:w="2500"/>
          </w:tcPr>
          <w:p>
            <w:r>
              <w:rPr>
                <w:sz w:val="19"/>
                <w:szCs w:val="19"/>
              </w:rPr>
              <w:t xml:space="preserve">38,925</w:t>
            </w:r>
          </w:p>
        </w:tc>
      </w:tr>
      <w:tr>
        <w:tc>
          <w:tcPr>
            <w:tcW w:type="dxa" w:w="1100"/>
          </w:tcPr>
          <w:p>
            <w:r>
              <w:rPr>
                <w:sz w:val="19"/>
                <w:szCs w:val="19"/>
              </w:rPr>
              <w:t xml:space="preserve">2000</w:t>
            </w:r>
          </w:p>
        </w:tc>
        <w:tc>
          <w:tcPr>
            <w:tcW w:type="dxa" w:w="2200"/>
          </w:tcPr>
          <w:p>
            <w:r>
              <w:rPr>
                <w:sz w:val="19"/>
                <w:szCs w:val="19"/>
              </w:rPr>
              <w:t xml:space="preserve">41,375</w:t>
            </w:r>
          </w:p>
        </w:tc>
        <w:tc>
          <w:tcPr>
            <w:tcW w:type="dxa" w:w="2200"/>
          </w:tcPr>
          <w:p>
            <w:r>
              <w:rPr>
                <w:sz w:val="19"/>
                <w:szCs w:val="19"/>
              </w:rPr>
              <w:t xml:space="preserve">32,077</w:t>
            </w:r>
          </w:p>
        </w:tc>
        <w:tc>
          <w:tcPr>
            <w:tcW w:type="dxa" w:w="2500"/>
          </w:tcPr>
          <w:p>
            <w:r>
              <w:rPr>
                <w:sz w:val="19"/>
                <w:szCs w:val="19"/>
              </w:rPr>
              <w:t xml:space="preserve">73,070</w:t>
            </w:r>
          </w:p>
        </w:tc>
      </w:tr>
      <w:tr>
        <w:tc>
          <w:tcPr>
            <w:tcW w:type="dxa" w:w="1100"/>
          </w:tcPr>
          <w:p>
            <w:r>
              <w:rPr>
                <w:sz w:val="19"/>
                <w:szCs w:val="19"/>
              </w:rPr>
              <w:t xml:space="preserve">2002</w:t>
            </w:r>
          </w:p>
        </w:tc>
        <w:tc>
          <w:tcPr>
            <w:tcW w:type="dxa" w:w="2200"/>
          </w:tcPr>
          <w:p>
            <w:r>
              <w:rPr>
                <w:sz w:val="19"/>
                <w:szCs w:val="19"/>
              </w:rPr>
              <w:t xml:space="preserve">50,875</w:t>
            </w:r>
          </w:p>
        </w:tc>
        <w:tc>
          <w:tcPr>
            <w:tcW w:type="dxa" w:w="2200"/>
          </w:tcPr>
          <w:p>
            <w:r>
              <w:rPr>
                <w:sz w:val="19"/>
                <w:szCs w:val="19"/>
              </w:rPr>
              <w:t xml:space="preserve">13,029</w:t>
            </w:r>
          </w:p>
        </w:tc>
        <w:tc>
          <w:tcPr>
            <w:tcW w:type="dxa" w:w="2500"/>
          </w:tcPr>
          <w:p>
            <w:r>
              <w:rPr>
                <w:sz w:val="19"/>
                <w:szCs w:val="19"/>
              </w:rPr>
              <w:t xml:space="preserve">66,027</w:t>
            </w:r>
          </w:p>
        </w:tc>
      </w:tr>
      <w:tr>
        <w:tc>
          <w:tcPr>
            <w:tcW w:type="dxa" w:w="1100"/>
          </w:tcPr>
          <w:p>
            <w:r>
              <w:rPr>
                <w:sz w:val="19"/>
                <w:szCs w:val="19"/>
              </w:rPr>
              <w:t xml:space="preserve">2005</w:t>
            </w:r>
          </w:p>
        </w:tc>
        <w:tc>
          <w:tcPr>
            <w:tcW w:type="dxa" w:w="2200"/>
          </w:tcPr>
          <w:p>
            <w:r>
              <w:rPr>
                <w:sz w:val="19"/>
                <w:szCs w:val="19"/>
              </w:rPr>
              <w:t xml:space="preserve">29,450</w:t>
            </w:r>
          </w:p>
        </w:tc>
        <w:tc>
          <w:tcPr>
            <w:tcW w:type="dxa" w:w="2200"/>
          </w:tcPr>
          <w:p>
            <w:r>
              <w:rPr>
                <w:sz w:val="19"/>
                <w:szCs w:val="19"/>
              </w:rPr>
              <w:t xml:space="preserve">22,536</w:t>
            </w:r>
          </w:p>
        </w:tc>
        <w:tc>
          <w:tcPr>
            <w:tcW w:type="dxa" w:w="2500"/>
          </w:tcPr>
          <w:p>
            <w:r>
              <w:rPr>
                <w:sz w:val="19"/>
                <w:szCs w:val="19"/>
              </w:rPr>
              <w:t xml:space="preserve">52,859</w:t>
            </w:r>
          </w:p>
        </w:tc>
      </w:tr>
      <w:tr>
        <w:tc>
          <w:tcPr>
            <w:tcW w:type="dxa" w:w="1100"/>
          </w:tcPr>
          <w:p>
            <w:r>
              <w:rPr>
                <w:sz w:val="19"/>
                <w:szCs w:val="19"/>
              </w:rPr>
              <w:t xml:space="preserve">2007</w:t>
            </w:r>
          </w:p>
        </w:tc>
        <w:tc>
          <w:tcPr>
            <w:tcW w:type="dxa" w:w="2200"/>
          </w:tcPr>
          <w:p>
            <w:r>
              <w:rPr>
                <w:sz w:val="19"/>
                <w:szCs w:val="19"/>
              </w:rPr>
              <w:t xml:space="preserve">76,975</w:t>
            </w:r>
          </w:p>
        </w:tc>
        <w:tc>
          <w:tcPr>
            <w:tcW w:type="dxa" w:w="2200"/>
          </w:tcPr>
          <w:p>
            <w:r>
              <w:rPr>
                <w:sz w:val="19"/>
                <w:szCs w:val="19"/>
              </w:rPr>
              <w:t xml:space="preserve">57,785</w:t>
            </w:r>
          </w:p>
        </w:tc>
        <w:tc>
          <w:tcPr>
            <w:tcW w:type="dxa" w:w="2500"/>
          </w:tcPr>
          <w:p>
            <w:r>
              <w:rPr>
                <w:sz w:val="19"/>
                <w:szCs w:val="19"/>
              </w:rPr>
              <w:t xml:space="preserve">130,999</w:t>
            </w:r>
          </w:p>
        </w:tc>
      </w:tr>
    </w:tbl>
    <w:p>
      <w:pPr>
        <w:pStyle w:val="Heading1"/>
        <w:spacing w:after="100" w:before="220"/>
      </w:pPr>
      <w:r>
        <w:t xml:space="preserve">6. 1/3/5-Day Durations — Daily Mass Balance</w:t>
      </w:r>
    </w:p>
    <w:p>
      <w:pPr>
        <w:spacing w:after="120" w:line="276"/>
      </w:pPr>
      <w:r>
        <w:rPr>
          <w:sz w:val="22"/>
          <w:szCs w:val="22"/>
        </w:rPr>
        <w:t xml:space="preserve">Daily unregulated flow = observed Castle Rock daily flow + daily change in MOS storage (from the daily elevation record and 2014 rating). Because Mayfield-to-Castle-Rock travel time is under one day, no routing is applied at daily resolution; Mayfield re-regulation storage is neglected (small relative to Mossyrock and largely netting out over 1-day-and-longer windows). Rolling 1/3/5-day maxima are computed on a full daily grid so an N-day value always represents N consecutive recorded days. A water year's durations enter the record if its October–March season is complete (Season_Complete screen), OR by explicit override: the Castle Rock daily record is winter-only through the 1990s (seasonal operation missing October, ~32 flood-season days per year), and WY1992–2000 and WY2026 are admitted under the stated assumption that the recorded season captured the annual maxima — the holdout is added to the recorded flows as usual. The one-day mass-balance values also serve as the One_day source for years without hourly data. Where available (WY1976–1979), results were cross-validated against Table B-I of the 2009 Hydrology Restudy report.</w:t>
      </w:r>
    </w:p>
    <w:p>
      <w:pPr>
        <w:pStyle w:val="Heading1"/>
        <w:spacing w:after="100" w:before="220"/>
      </w:pPr>
      <w:r>
        <w:t xml:space="preserve">7. Pre-Regulation Period (WY1927–1968)</w:t>
      </w:r>
    </w:p>
    <w:p>
      <w:pPr>
        <w:spacing w:after="120" w:line="276"/>
      </w:pPr>
      <w:r>
        <w:rPr>
          <w:sz w:val="22"/>
          <w:szCs w:val="22"/>
        </w:rPr>
        <w:t xml:space="preserve">Before Mossyrock closure (December 1968) the record is unregulated by definition. Peaks are the USGS observed instantaneous annual peaks (42 water years). The 1/3/5-day values are rolling maxima computed directly from the USGS daily record, subject to the same season-completeness screen. WY1927 carries a peak only (the daily record begins later).</w:t>
      </w:r>
    </w:p>
    <w:p>
      <w:pPr>
        <w:pStyle w:val="Heading1"/>
        <w:spacing w:after="100" w:before="220"/>
      </w:pPr>
      <w:r>
        <w:t xml:space="preserve">8. Assembled Record</w:t>
      </w:r>
    </w:p>
    <w:p>
      <w:pPr>
        <w:spacing w:after="120" w:line="276"/>
      </w:pPr>
      <w:r>
        <w:rPr>
          <w:sz w:val="22"/>
          <w:szCs w:val="22"/>
        </w:rPr>
        <w:t xml:space="preserve">Source rules: pre-1968, Peak from the USGS peak flow record and durations straight from the USGS daily record. Post-1968, Peak from the calculated hourly unregulated record, else the dS_2day regression; One_day from the 1-day average of the hourly unregulated record, else the one-day max of the daily unregulated record; 3- and 5-day from the unregulated daily averages. Nothing reads from the archived Cowlitz_FF_DataPrep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shd w:fill="E8E8E8" w:val="clear"/>
          </w:tcPr>
          <w:p>
            <w:r>
              <w:rPr>
                <w:b/>
                <w:bCs/>
                <w:sz w:val="19"/>
                <w:szCs w:val="19"/>
              </w:rPr>
              <w:t xml:space="preserve">Duration</w:t>
            </w:r>
          </w:p>
        </w:tc>
        <w:tc>
          <w:tcPr>
            <w:tcW w:type="dxa" w:w="1500"/>
            <w:shd w:fill="E8E8E8" w:val="clear"/>
          </w:tcPr>
          <w:p>
            <w:r>
              <w:rPr>
                <w:b/>
                <w:bCs/>
                <w:sz w:val="19"/>
                <w:szCs w:val="19"/>
              </w:rPr>
              <w:t xml:space="preserve">Values</w:t>
            </w:r>
          </w:p>
        </w:tc>
        <w:tc>
          <w:tcPr>
            <w:tcW w:type="dxa" w:w="5760"/>
            <w:shd w:fill="E8E8E8" w:val="clear"/>
          </w:tcPr>
          <w:p>
            <w:r>
              <w:rPr>
                <w:b/>
                <w:bCs/>
                <w:sz w:val="19"/>
                <w:szCs w:val="19"/>
              </w:rPr>
              <w:t xml:space="preserve">Sources</w:t>
            </w:r>
          </w:p>
        </w:tc>
      </w:tr>
      <w:tr>
        <w:tc>
          <w:tcPr>
            <w:tcW w:type="dxa" w:w="2100"/>
          </w:tcPr>
          <w:p>
            <w:r>
              <w:rPr>
                <w:sz w:val="19"/>
                <w:szCs w:val="19"/>
              </w:rPr>
              <w:t xml:space="preserve">Peak</w:t>
            </w:r>
          </w:p>
        </w:tc>
        <w:tc>
          <w:tcPr>
            <w:tcW w:type="dxa" w:w="1500"/>
          </w:tcPr>
          <w:p>
            <w:r>
              <w:rPr>
                <w:sz w:val="19"/>
                <w:szCs w:val="19"/>
              </w:rPr>
              <w:t xml:space="preserve">67</w:t>
            </w:r>
          </w:p>
        </w:tc>
        <w:tc>
          <w:tcPr>
            <w:tcW w:type="dxa" w:w="5760"/>
          </w:tcPr>
          <w:p>
            <w:r>
              <w:rPr>
                <w:sz w:val="19"/>
                <w:szCs w:val="19"/>
              </w:rPr>
              <w:t xml:space="preserve">42 USGS pre-reg peaks; 16 hourly holdout; 9 dS_2day regression</w:t>
            </w:r>
          </w:p>
        </w:tc>
      </w:tr>
      <w:tr>
        <w:tc>
          <w:tcPr>
            <w:tcW w:type="dxa" w:w="2100"/>
          </w:tcPr>
          <w:p>
            <w:r>
              <w:rPr>
                <w:sz w:val="19"/>
                <w:szCs w:val="19"/>
              </w:rPr>
              <w:t xml:space="preserve">One_day</w:t>
            </w:r>
          </w:p>
        </w:tc>
        <w:tc>
          <w:tcPr>
            <w:tcW w:type="dxa" w:w="1500"/>
          </w:tcPr>
          <w:p>
            <w:r>
              <w:rPr>
                <w:sz w:val="19"/>
                <w:szCs w:val="19"/>
              </w:rPr>
              <w:t xml:space="preserve">86</w:t>
            </w:r>
          </w:p>
        </w:tc>
        <w:tc>
          <w:tcPr>
            <w:tcW w:type="dxa" w:w="5760"/>
          </w:tcPr>
          <w:p>
            <w:r>
              <w:rPr>
                <w:sz w:val="19"/>
                <w:szCs w:val="19"/>
              </w:rPr>
              <w:t xml:space="preserve">41 USGS daily pre-reg; 29 daily mass balance; 16 hourly holdout</w:t>
            </w:r>
          </w:p>
        </w:tc>
      </w:tr>
      <w:tr>
        <w:tc>
          <w:tcPr>
            <w:tcW w:type="dxa" w:w="2100"/>
          </w:tcPr>
          <w:p>
            <w:r>
              <w:rPr>
                <w:sz w:val="19"/>
                <w:szCs w:val="19"/>
              </w:rPr>
              <w:t xml:space="preserve">Three_Day</w:t>
            </w:r>
          </w:p>
        </w:tc>
        <w:tc>
          <w:tcPr>
            <w:tcW w:type="dxa" w:w="1500"/>
          </w:tcPr>
          <w:p>
            <w:r>
              <w:rPr>
                <w:sz w:val="19"/>
                <w:szCs w:val="19"/>
              </w:rPr>
              <w:t xml:space="preserve">85</w:t>
            </w:r>
          </w:p>
        </w:tc>
        <w:tc>
          <w:tcPr>
            <w:tcW w:type="dxa" w:w="5760"/>
          </w:tcPr>
          <w:p>
            <w:r>
              <w:rPr>
                <w:sz w:val="19"/>
                <w:szCs w:val="19"/>
              </w:rPr>
              <w:t xml:space="preserve">41 USGS daily pre-reg; 44 daily mass balance</w:t>
            </w:r>
          </w:p>
        </w:tc>
      </w:tr>
      <w:tr>
        <w:tc>
          <w:tcPr>
            <w:tcW w:type="dxa" w:w="2100"/>
          </w:tcPr>
          <w:p>
            <w:r>
              <w:rPr>
                <w:sz w:val="19"/>
                <w:szCs w:val="19"/>
              </w:rPr>
              <w:t xml:space="preserve">Five_Day</w:t>
            </w:r>
          </w:p>
        </w:tc>
        <w:tc>
          <w:tcPr>
            <w:tcW w:type="dxa" w:w="1500"/>
          </w:tcPr>
          <w:p>
            <w:r>
              <w:rPr>
                <w:sz w:val="19"/>
                <w:szCs w:val="19"/>
              </w:rPr>
              <w:t xml:space="preserve">85</w:t>
            </w:r>
          </w:p>
        </w:tc>
        <w:tc>
          <w:tcPr>
            <w:tcW w:type="dxa" w:w="5760"/>
          </w:tcPr>
          <w:p>
            <w:r>
              <w:rPr>
                <w:sz w:val="19"/>
                <w:szCs w:val="19"/>
              </w:rPr>
              <w:t xml:space="preserve">41 USGS daily pre-reg; 44 daily mass balance</w:t>
            </w:r>
          </w:p>
        </w:tc>
      </w:tr>
    </w:tbl>
    <w:p>
      <w:pPr>
        <w:spacing w:after="120" w:line="276"/>
      </w:pPr>
      <w:r>
        <w:rPr>
          <w:sz w:val="22"/>
          <w:szCs w:val="22"/>
        </w:rPr>
        <w:t xml:space="preserve"/>
      </w:r>
    </w:p>
    <w:p>
      <w:pPr>
        <w:spacing w:after="120" w:line="276"/>
      </w:pPr>
      <w:r>
        <w:rPr>
          <w:sz w:val="22"/>
          <w:szCs w:val="22"/>
        </w:rPr>
        <w:t xml:space="preserve">Coverage notes: WY1969–1974, 1985, 1987–1991, and 2001 are absent entirely (regulated era, season-incomplete daily records, no holdout); WY1969–1973 additionally lack daily MOS elevation and are candidates for a perception threshold entered directly in HEC-SSP, as in the prior study. Peaks are currently blank for WY1975–1984, 1986 and for a subset of years with low-coverage hourly data (1997, 1999, 2003, 2004, 2006, 2011–2013, 2016) — see open items. WY2023 lacks 3/5-day values (season screen).</w:t>
      </w:r>
    </w:p>
    <w:p>
      <w:pPr>
        <w:pStyle w:val="Heading1"/>
        <w:spacing w:after="100" w:before="220"/>
      </w:pPr>
      <w:r>
        <w:t xml:space="preserve">9. Assumptions</w:t>
      </w:r>
    </w:p>
    <w:p>
      <w:pPr>
        <w:pStyle w:val="ListParagraph"/>
        <w:numPr>
          <w:ilvl w:val="0"/>
          <w:numId w:val="2"/>
        </w:numPr>
        <w:spacing w:after="70"/>
      </w:pPr>
      <w:r>
        <w:rPr>
          <w:sz w:val="22"/>
          <w:szCs w:val="22"/>
        </w:rPr>
        <w:t xml:space="preserve">Winter-only Castle Rock daily records (WY1992–2000, 2026) captured the annual maxima; durations from the recorded season are representative.</w:t>
      </w:r>
    </w:p>
    <w:p>
      <w:pPr>
        <w:pStyle w:val="ListParagraph"/>
        <w:numPr>
          <w:ilvl w:val="0"/>
          <w:numId w:val="2"/>
        </w:numPr>
        <w:spacing w:after="70"/>
      </w:pPr>
      <w:r>
        <w:rPr>
          <w:sz w:val="22"/>
          <w:szCs w:val="22"/>
        </w:rPr>
        <w:t xml:space="preserve">Mayfield storage change is neglected in the daily mass balance and the Toutle reach is excluded from routing.</w:t>
      </w:r>
    </w:p>
    <w:p>
      <w:pPr>
        <w:pStyle w:val="ListParagraph"/>
        <w:numPr>
          <w:ilvl w:val="0"/>
          <w:numId w:val="2"/>
        </w:numPr>
        <w:spacing w:after="70"/>
      </w:pPr>
      <w:r>
        <w:rPr>
          <w:sz w:val="22"/>
          <w:szCs w:val="22"/>
        </w:rPr>
        <w:t xml:space="preserve">Regulated and unregulated peaks are the same storm when their timestamps fall within 72 hours (all 17 fit pairs complied).</w:t>
      </w:r>
    </w:p>
    <w:p>
      <w:pPr>
        <w:pStyle w:val="ListParagraph"/>
        <w:numPr>
          <w:ilvl w:val="0"/>
          <w:numId w:val="2"/>
        </w:numPr>
        <w:spacing w:after="70"/>
      </w:pPr>
      <w:r>
        <w:rPr>
          <w:sz w:val="22"/>
          <w:szCs w:val="22"/>
        </w:rPr>
        <w:t xml:space="preserve">The official 2014 elevation–storage rating applies across the record, with edge-slope extrapolation above 780 ft.</w:t>
      </w:r>
    </w:p>
    <w:p>
      <w:pPr>
        <w:pStyle w:val="ListParagraph"/>
        <w:numPr>
          <w:ilvl w:val="0"/>
          <w:numId w:val="2"/>
        </w:numPr>
        <w:spacing w:after="70"/>
      </w:pPr>
      <w:r>
        <w:rPr>
          <w:sz w:val="22"/>
          <w:szCs w:val="22"/>
        </w:rPr>
        <w:t xml:space="preserve">The regulated peak is defined as the 1-hr max of the USGS hourly record rather than the USGS instantaneous peak, for like-for-like comparison with the unregulated estimate.</w:t>
      </w:r>
    </w:p>
    <w:p>
      <w:pPr>
        <w:pStyle w:val="Heading1"/>
        <w:spacing w:after="100" w:before="220"/>
      </w:pPr>
      <w:r>
        <w:t xml:space="preserve">10. Open Items</w:t>
      </w:r>
    </w:p>
    <w:p>
      <w:pPr>
        <w:pStyle w:val="ListParagraph"/>
        <w:numPr>
          <w:ilvl w:val="0"/>
          <w:numId w:val="2"/>
        </w:numPr>
        <w:spacing w:after="70"/>
      </w:pPr>
      <w:r>
        <w:rPr>
          <w:sz w:val="22"/>
          <w:szCs w:val="22"/>
        </w:rPr>
        <w:t xml:space="preserve">Fillable peak gaps: WY1975–1984 and 1986 have USGS regulated peaks and computable dS_2day predictors; the low-coverage years listed in Sec. 8 have regulated hourly peaks and dS. Extending the regression fill to both groups would close up to ~20 blank peaks. Requires a small change to the gap-detection logic and a re-run.</w:t>
      </w:r>
    </w:p>
    <w:p>
      <w:pPr>
        <w:pStyle w:val="ListParagraph"/>
        <w:numPr>
          <w:ilvl w:val="0"/>
          <w:numId w:val="2"/>
        </w:numPr>
        <w:spacing w:after="70"/>
      </w:pPr>
      <w:r>
        <w:rPr>
          <w:sz w:val="22"/>
          <w:szCs w:val="22"/>
        </w:rPr>
        <w:t xml:space="preserve">Decide the WY1969–1973 treatment for HEC-SSP (perception threshold vs. exclusion).</w:t>
      </w:r>
    </w:p>
    <w:p>
      <w:pPr>
        <w:pStyle w:val="ListParagraph"/>
        <w:numPr>
          <w:ilvl w:val="0"/>
          <w:numId w:val="2"/>
        </w:numPr>
        <w:spacing w:after="70"/>
      </w:pPr>
      <w:r>
        <w:rPr>
          <w:sz w:val="22"/>
          <w:szCs w:val="22"/>
        </w:rPr>
        <w:t xml:space="preserve">Review whether low-coverage unregulated peaks (e.g., WY1997 at 47% Oct–Mar coverage) should remain in the regression fit set.</w:t>
      </w:r>
    </w:p>
    <w:p>
      <w:pPr>
        <w:pStyle w:val="ListParagraph"/>
        <w:numPr>
          <w:ilvl w:val="0"/>
          <w:numId w:val="2"/>
        </w:numPr>
        <w:spacing w:after="70"/>
      </w:pPr>
      <w:r>
        <w:rPr>
          <w:sz w:val="22"/>
          <w:szCs w:val="22"/>
        </w:rPr>
        <w:t xml:space="preserve">Prune retired DSS records per docs/DSS_RECORD_CLEANUP.md and squeeze obsData.dss.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2026-07-24T21:36:25.466Z</dcterms:created>
  <dcterms:modified xsi:type="dcterms:W3CDTF">2026-07-24T21:36:25.488Z</dcterms:modified>
</cp:coreProperties>
</file>

<file path=docProps/custom.xml><?xml version="1.0" encoding="utf-8"?>
<Properties xmlns="http://schemas.openxmlformats.org/officeDocument/2006/custom-properties" xmlns:vt="http://schemas.openxmlformats.org/officeDocument/2006/docPropsVTypes"/>
</file>