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Evidence for Analysis and Design Unit</w:t>
      </w:r>
    </w:p>
    <w:p w:rsidR="00000000" w:rsidDel="00000000" w:rsidP="00000000" w:rsidRDefault="00000000" w:rsidRPr="00000000" w14:paraId="00000001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Joe Stafford</w:t>
      </w:r>
    </w:p>
    <w:p w:rsidR="00000000" w:rsidDel="00000000" w:rsidP="00000000" w:rsidRDefault="00000000" w:rsidRPr="00000000" w14:paraId="00000003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E21 </w:t>
      </w:r>
    </w:p>
    <w:p w:rsidR="00000000" w:rsidDel="00000000" w:rsidP="00000000" w:rsidRDefault="00000000" w:rsidRPr="00000000" w14:paraId="00000004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contextualSpacing w:val="0"/>
        <w:rPr>
          <w:color w:val="24292e"/>
          <w:sz w:val="24"/>
          <w:szCs w:val="24"/>
          <w:highlight w:val="white"/>
        </w:rPr>
      </w:pPr>
      <w:r w:rsidDel="00000000" w:rsidR="00000000" w:rsidRPr="00000000">
        <w:rPr>
          <w:color w:val="24292e"/>
          <w:sz w:val="24"/>
          <w:szCs w:val="24"/>
          <w:highlight w:val="white"/>
          <w:rtl w:val="0"/>
        </w:rPr>
        <w:t xml:space="preserve">A.D.1 Use case Diagram</w:t>
      </w:r>
    </w:p>
    <w:p w:rsidR="00000000" w:rsidDel="00000000" w:rsidP="00000000" w:rsidRDefault="00000000" w:rsidRPr="00000000" w14:paraId="00000006">
      <w:pPr>
        <w:contextualSpacing w:val="0"/>
        <w:rPr>
          <w:color w:val="24292e"/>
          <w:sz w:val="24"/>
          <w:szCs w:val="24"/>
          <w:shd w:fill="ebebeb" w:val="clear"/>
        </w:rPr>
      </w:pPr>
      <w:r w:rsidDel="00000000" w:rsidR="00000000" w:rsidRPr="00000000">
        <w:rPr>
          <w:color w:val="24292e"/>
          <w:sz w:val="18"/>
          <w:szCs w:val="18"/>
          <w:shd w:fill="ebebeb" w:val="clear"/>
        </w:rPr>
        <w:drawing>
          <wp:inline distB="114300" distT="114300" distL="114300" distR="114300">
            <wp:extent cx="3481388" cy="2285429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1388" cy="22854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A.D.2 Class Diagram</w:t>
      </w:r>
    </w:p>
    <w:p w:rsidR="00000000" w:rsidDel="00000000" w:rsidP="00000000" w:rsidRDefault="00000000" w:rsidRPr="00000000" w14:paraId="00000009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943600" cy="38989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A.D.3 Object Diagram</w:t>
      </w:r>
    </w:p>
    <w:p w:rsidR="00000000" w:rsidDel="00000000" w:rsidP="00000000" w:rsidRDefault="00000000" w:rsidRPr="00000000" w14:paraId="0000000D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48427" cy="2100263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48427" cy="2100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A.D.4</w:t>
      </w:r>
    </w:p>
    <w:p w:rsidR="00000000" w:rsidDel="00000000" w:rsidP="00000000" w:rsidRDefault="00000000" w:rsidRPr="00000000" w14:paraId="00000010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3509963" cy="4187679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9963" cy="41876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t xml:space="preserve">A.D.6</w:t>
      </w:r>
    </w:p>
    <w:p w:rsidR="00000000" w:rsidDel="00000000" w:rsidP="00000000" w:rsidRDefault="00000000" w:rsidRPr="00000000" w14:paraId="00000016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</w:rPr>
        <w:drawing>
          <wp:inline distB="114300" distT="114300" distL="114300" distR="114300">
            <wp:extent cx="5943600" cy="4152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color w:val="24292e"/>
          <w:sz w:val="24"/>
          <w:szCs w:val="24"/>
          <w:rtl w:val="0"/>
        </w:rPr>
        <w:br w:type="textWrapping"/>
        <w:t xml:space="preserve">A.D. 5 - An​ ​Inheritance​ ​Diagram</w:t>
      </w:r>
    </w:p>
    <w:p w:rsidR="00000000" w:rsidDel="00000000" w:rsidP="00000000" w:rsidRDefault="00000000" w:rsidRPr="00000000" w14:paraId="00000019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2967210" cy="2690813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210" cy="2690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rPr>
          <w:color w:val="24292e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0.png"/><Relationship Id="rId10" Type="http://schemas.openxmlformats.org/officeDocument/2006/relationships/image" Target="media/image12.png"/><Relationship Id="rId9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8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