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webextensions/webextension7.xml" ContentType="application/vnd.ms-office.webextension+xml"/>
  <Override PartName="/word/webextensions/webextension8.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End w:id="5"/>
    <w:bookmarkEnd w:id="4"/>
    <w:bookmarkEnd w:id="3"/>
    <w:bookmarkEnd w:id="8"/>
    <w:bookmarkEnd w:id="0"/>
    <w:bookmarkEnd w:id="1"/>
    <w:bookmarkEnd w:id="29"/>
    <w:bookmarkEnd w:id="30"/>
    <w:bookmarkEnd w:id="31"/>
    <w:bookmarkEnd w:id="39"/>
    <w:p>
      <w:pPr>
        <w:spacing w:before="480"/>
        <w:jc w:val="center"/>
      </w:pPr>
      <w:r>
        <w:rPr>
          <w:b/>
        </w:rPr>
        <w:t>DESIGN AND DEVELOPMENT OF A MULTISENSORY MOBILE LEARNING APPLICATION FOR ENHANCING FOUNDATIONAL LITERACY SKILLS IN CHILDREN WITH DYSLEXIA IN ILORIN METROPOLIS</w:t>
      </w:r>
    </w:p>
    <w:p>
      <w:pPr>
        <w:spacing w:before="960"/>
        <w:jc w:val="center"/>
      </w:pPr>
      <w:r>
        <w:rPr>
          <w:b/>
        </w:rPr>
        <w:t>M.Sc. Proposal</w:t>
      </w:r>
    </w:p>
    <w:p>
      <w:pPr>
        <w:spacing w:before="960"/>
        <w:jc w:val="center"/>
      </w:pPr>
      <w:r>
        <w:rPr>
          <w:b/>
        </w:rPr>
        <w:t>By</w:t>
      </w:r>
    </w:p>
    <w:p>
      <w:pPr>
        <w:spacing w:before="480"/>
        <w:jc w:val="center"/>
      </w:pPr>
      <w:r>
        <w:rPr>
          <w:b/>
        </w:rPr>
        <w:t>AGBI, John</w:t>
      </w:r>
    </w:p>
    <w:p>
      <w:pPr>
        <w:jc w:val="center"/>
      </w:pPr>
      <w:r>
        <w:rPr>
          <w:b/>
        </w:rPr>
        <w:t>13/25PC156</w:t>
      </w:r>
    </w:p>
    <w:p>
      <w:pPr>
        <w:spacing w:before="960"/>
        <w:jc w:val="center"/>
      </w:pPr>
      <w:r>
        <w:rPr>
          <w:b/>
        </w:rPr>
        <w:t>DEPARTMENT OF EDUCATIONAL TECHNOLOGY</w:t>
      </w:r>
    </w:p>
    <w:p>
      <w:pPr>
        <w:jc w:val="center"/>
      </w:pPr>
      <w:r>
        <w:rPr>
          <w:b/>
        </w:rPr>
        <w:t>FACULTY OF EDUCATION</w:t>
      </w:r>
    </w:p>
    <w:p>
      <w:pPr>
        <w:jc w:val="center"/>
      </w:pPr>
      <w:r>
        <w:rPr>
          <w:b/>
        </w:rPr>
        <w:t>UNIVERSITY OF ILORIN</w:t>
      </w:r>
    </w:p>
    <w:p>
      <w:pPr>
        <w:jc w:val="center"/>
      </w:pPr>
      <w:r>
        <w:rPr>
          <w:b/>
        </w:rPr>
        <w:t>ILORIN, NIGERIA</w:t>
      </w:r>
    </w:p>
    <w:p>
      <w:pPr>
        <w:spacing w:before="960"/>
        <w:jc w:val="center"/>
      </w:pPr>
      <w:r>
        <w:rPr>
          <w:b/>
        </w:rPr>
        <w:t>Supervisor: Dr. ____________________________</w:t>
      </w:r>
    </w:p>
    <w:p>
      <w:pPr>
        <w:spacing w:before="960"/>
        <w:jc w:val="left"/>
      </w:pPr>
      <w:r>
        <w:rPr>
          <w:b/>
        </w:rPr>
        <w:t>Venue: Departmental Postgraduate Seminar Room</w:t>
      </w:r>
    </w:p>
    <w:p>
      <w:pPr>
        <w:jc w:val="left"/>
      </w:pPr>
      <w:r>
        <w:rPr>
          <w:b/>
        </w:rPr>
        <w:t>Date:</w:t>
        <w:tab/>
        <w:t>__________________________________</w:t>
      </w:r>
    </w:p>
    <w:p>
      <w:pPr>
        <w:jc w:val="left"/>
      </w:pPr>
      <w:r>
        <w:rPr>
          <w:b/>
        </w:rPr>
        <w:t>Time:</w:t>
        <w:tab/>
        <w:t>10:00 am</w:t>
      </w:r>
    </w:p>
    <w:p>
      <w:r>
        <w:br w:type="page"/>
      </w:r>
    </w:p>
    <w:p>
      <w:pPr>
        <w:jc w:val="center"/>
      </w:pPr>
      <w:r>
        <w:rPr>
          <w:b/>
        </w:rPr>
        <w:t>TABLE OF CONTENTS</w:t>
      </w:r>
    </w:p>
    <w:p>
      <w:r>
        <w:br w:type="page"/>
      </w:r>
    </w:p>
    <w:p>
      <w:r>
        <w:br w:type="page"/>
      </w:r>
    </w:p>
    <w:p>
      <w:pPr>
        <w:jc w:val="center"/>
      </w:pPr>
      <w:r>
        <w:rPr>
          <w:b/>
        </w:rPr>
        <w:t>CHAPTER ONE</w:t>
      </w:r>
    </w:p>
    <w:p>
      <w:pPr>
        <w:spacing w:after="240"/>
        <w:jc w:val="center"/>
      </w:pPr>
      <w:r>
        <w:rPr>
          <w:b/>
        </w:rPr>
        <w:t>INTRODUCTION</w:t>
      </w:r>
    </w:p>
    <w:p>
      <w:pPr>
        <w:spacing w:before="240" w:after="120"/>
      </w:pPr>
      <w:r>
        <w:rPr>
          <w:b/>
        </w:rPr>
        <w:t>Background to the Study</w:t>
      </w:r>
    </w:p>
    <w:p>
      <w:pPr>
        <w:spacing w:line="480" w:lineRule="auto"/>
        <w:jc w:val="both"/>
      </w:pPr>
      <w:r>
        <w:t>Education is universally recognized as the bedrock of societal development, individual empowerment, and economic progress. At the core of the educational process lies the acquisition of literacy skills, which serve as the primary vehicle for all subsequent academic learning and cognitive development. Literacy—defined broadly as the ability to read, write, comprehend, and communicate effectively—is not merely an academic milestone but a fundamental human right that dictates an individual's capacity to participate meaningfully in modern society. In early childhood, the transition from "learning to read" to "reading to learn" represents a critical developmental threshold. For the vast majority of children, this transition, while requiring structured pedagogical support, occurs relatively seamlessly through conventional educational frameworks. However, for a significant proportion of the student population, this foundational process is severely impeded by neurobiological specific learning disabilities, the most prevalent of which is dyslexia.</w:t>
      </w:r>
    </w:p>
    <w:p>
      <w:pPr>
        <w:spacing w:line="480" w:lineRule="auto"/>
        <w:jc w:val="both"/>
      </w:pPr>
      <w:r>
        <w:t>Dyslexia is a neurodevelopmental disorder that fundamentally alters the way the brain processes graphic symbols and phonological information. The International Dyslexia Association (IDA) defines dyslexia as a specific learning disability that is neurobiological in origin, characterized by difficulties with accurate and/or fluent word recognition and by poor spelling and decoding abilities. These difficulties typically result from a deficit in the phonological component of language that is often unexpected in relation to other cognitive abilities and the provision of effective classroom instruction. Secondary consequences may include problems in reading comprehension and reduced reading experience, which can impede the growth of vocabulary and background knowledge. Dyslexia is not reflective of low intelligence, poor motivation, or inadequate sensory acuity; rather, it represents a unique cognitive profile requiring specialized instructional interventions. Globally, it is estimated that dyslexia affects between 10% to 20% of the population, making it the most common neurocognitive disorder impacting learning.</w:t>
      </w:r>
    </w:p>
    <w:p>
      <w:pPr>
        <w:spacing w:line="480" w:lineRule="auto"/>
        <w:jc w:val="both"/>
      </w:pPr>
      <w:r>
        <w:t>In the context of the Nigerian educational system, the challenges associated with dyslexia are compounded by systemic and infrastructural deficiencies. The Nigerian National Policy on Education emphasizes the provision of equal and adequate educational opportunities for all children, including those with special needs. Despite this policy framework, the practical implementation of inclusive education remains fraught with obstacles. Traditional classroom environments in Nigeria are frequently characterized by large class sizes, a scarcity of specialized instructional materials, and a reliance on didactic, "chalk-and-talk" teaching methodologies. These conventional approaches disproportionately rely on visual-linguistic processing and rote memorization, creating significant barriers for dyslexic learners who require multisensory, explicit, and structured linguistic interventions.</w:t>
      </w:r>
    </w:p>
    <w:p>
      <w:pPr>
        <w:spacing w:line="480" w:lineRule="auto"/>
        <w:jc w:val="both"/>
      </w:pPr>
      <w:r>
        <w:t>The lack of early identification and specialized support mechanisms in many Nigerian primary schools exacerbates the plight of children with dyslexia. Often misdiagnosed as "lazy," "inattentive," or "academically untalented," these children face profound psychological and emotional consequences, including heightened anxiety, diminished self-esteem, and chronic school absenteeism. The psychological toll of repeated academic failure can lead to severe behavioral issues and, ultimately, early school dropout. This trajectory not only stifles individual potential but also contributes to broader socio-economic challenges, including reduced workforce productivity and increased societal inequalities. Therefore, addressing the literacy needs of children with dyslexia is not merely an educational imperative but a critical social justice issue.</w:t>
      </w:r>
    </w:p>
    <w:p>
      <w:pPr>
        <w:spacing w:line="480" w:lineRule="auto"/>
        <w:jc w:val="both"/>
      </w:pPr>
      <w:r>
        <w:t>The paradigm of special education has historically relied on individualized, face-to-face interventions, predominantly utilizing the Orton-Gillingham approach. This methodology is inherently multisensory, advocating for the simultaneous engagement of visual, auditory, kinesthetic, and tactile (VAKT) pathways to reinforce neural connections and facilitate the automatization of reading and spelling processes. For instance, a child might trace a letter in sand (tactile/kinesthetic) while simultaneously seeing the letter (visual) and saying its corresponding sound (auditory). While highly effective, the implementation of such individualized, intensive interventions in resource-constrained environments like Nigeria is highly challenging due to the acute shortage of trained special education professionals and the financial burden associated with private therapy.</w:t>
      </w:r>
    </w:p>
    <w:p>
      <w:pPr>
        <w:spacing w:line="480" w:lineRule="auto"/>
        <w:jc w:val="both"/>
      </w:pPr>
      <w:r>
        <w:t>The advent of the Fourth Industrial Revolution and the ubiquitous proliferation of Information and Communication Technology (ICT) have fundamentally transformed the landscape of educational delivery. Educational technology, or EdTech, has emerged as a potent catalyst for democratizing access to specialized instructional resources and personalizing the learning experience. The integration of digital technologies into education represents a paradigm shift from homogeneous, teacher-centered instruction to heterogeneous, learner-centric paradigms. Within this technological renaissance, mobile learning (m-learning) has gained unprecedented traction. The exponential penetration of mobile devices—smartphones and tablets—across demographic and geographic strata in Nigeria presents a unique opportunity to leverage ubiquitous computing for educational remediation.</w:t>
      </w:r>
    </w:p>
    <w:p>
      <w:pPr>
        <w:spacing w:line="480" w:lineRule="auto"/>
        <w:jc w:val="both"/>
      </w:pPr>
      <w:r>
        <w:t>Mobile applications offer dynamic, interactive, and highly adaptable platforms capable of delivering multisensory instructional content directly to the learner, transcending the spatial and temporal limitations of the traditional classroom. For children with dyslexia, mobile apps can simulate the VAKT principles of the Orton-Gillingham approach through interactive touchscreen interfaces, high-fidelity audio integration, and dynamic visual animations. For example, an application can require a child to trace a digital letter with their finger, providing immediate auditory feedback and visual reinforcement. Furthermore, digital platforms can seamlessly incorporate assistive technologies such as text-to-speech, speech-to-text, and customizable typography (e.g., the OpenDyslexic font), thereby dismantling the inherent barriers of printed text.</w:t>
      </w:r>
    </w:p>
    <w:p>
      <w:pPr>
        <w:spacing w:line="480" w:lineRule="auto"/>
        <w:jc w:val="both"/>
      </w:pPr>
      <w:r>
        <w:t>Despite the proliferation of educational applications in global app marketplaces, a critical analysis reveals a significant dearth of digital tools specifically engineered for the unique cognitive and pedagogical needs of dyslexic learners, particularly within the African context. Many existing literacy applications adopt a generic approach, prioritizing gamified entertainment over pedagogical efficacy. They frequently lack the explicit, systematic, and cumulative instructional design required by children with learning disabilities. Furthermore, these applications often operate as closed, static systems, depriving educators and parents of the ability to monitor progress, customize content, or integrate the tool into broader Individualized Education Programs (IEPs).</w:t>
      </w:r>
    </w:p>
    <w:p>
      <w:pPr>
        <w:spacing w:line="480" w:lineRule="auto"/>
        <w:jc w:val="both"/>
      </w:pPr>
      <w:r>
        <w:t>The integration of artificial intelligence (AI) and advanced backend architectures into mobile learning ecosystems holds the potential to address these limitations. Modern application development frameworks, such as Flutter for cross-platform mobile delivery and NestJS for robust backend administration, enable the creation of highly responsive, data-driven educational platforms. A comprehensive system can include a user-facing mobile application designed for the child and a web-based administrative dashboard designed for the educator or parent. The backend system allows for the dynamic management of learning modules, the continuous updating of content without requiring user downloads, and the granular tracking of student performance metrics. This administrative capability is crucial for implementing data-driven instructional decisions and providing targeted, timely interventions.</w:t>
      </w:r>
    </w:p>
    <w:p>
      <w:pPr>
        <w:spacing w:line="480" w:lineRule="auto"/>
        <w:jc w:val="both"/>
      </w:pPr>
      <w:r>
        <w:t>Moreover, the integration of gamification strategies—the application of game-design elements in non-game contexts—is essential for sustaining user engagement and motivation. Children with dyslexia, having frequently experienced academic frustration, often exhibit high levels of task avoidance when confronted with literacy exercises. Gamified elements, such as earning localized rewards (e.g., points or Naira icons), receiving immediate positive reinforcement, and navigating through interactive narratives, can reframe the learning experience from a tedious chore to an engaging, intrinsically rewarding activity.</w:t>
      </w:r>
    </w:p>
    <w:p>
      <w:pPr>
        <w:spacing w:line="480" w:lineRule="auto"/>
        <w:jc w:val="both"/>
      </w:pPr>
      <w:r>
        <w:t>A fundamental pedagogical innovation proposed in this project is the strategic implementation of color-coding to facilitate grapheme identification and retention. The idea of using color to identify each alphabet is designed to dramatically catch the reader's attention and enhance cognitive mapping. Specifically, five distinct primary colors will be uniquely attached to the five vowels (A, E, I, O, U). The remaining 21 consonants will be represented using a systematic blend of secondary and tertiary colors derived from these primary hues. The interactive mechanism of this letter-color combination is engineered to be highly engaging: when a child interacts with or presses a specific letter within the application, the letter will dynamically "pop out" in a visual micro-animation, illuminating in the specific color or color combination assigned to it. This multisensory integration of tactile interaction (pressing) and immediate, consistent visual feedback (color association) is hypothesized to significantly enhance letter recognition, capture the child's attention, and make the arduous process of spelling words far more attractive and cognitively accessible.</w:t>
      </w:r>
    </w:p>
    <w:p>
      <w:pPr>
        <w:spacing w:line="480" w:lineRule="auto"/>
        <w:jc w:val="both"/>
      </w:pPr>
      <w:r>
        <w:t>In light of these considerations, the current educational landscape necessitates the development of a localized, technologically advanced, and pedagogically sound mobile learning platform. This platform must not only deliver multisensory literacy instruction tailored for dyslexic learners but also provide a comprehensive administrative backend to empower educators and parents. Such an innovation has the potential to bridge the gap between policy mandates for inclusive education and the practical realities of classroom instruction in Nigeria, ultimately empowering children with dyslexia to overcome their literacy challenges and realize their full academic potential.</w:t>
      </w:r>
    </w:p>
    <w:p>
      <w:pPr>
        <w:spacing w:before="240" w:after="120"/>
      </w:pPr>
      <w:r>
        <w:rPr>
          <w:b/>
        </w:rPr>
        <w:t>Statement of the Problem</w:t>
      </w:r>
    </w:p>
    <w:p>
      <w:pPr>
        <w:spacing w:line="480" w:lineRule="auto"/>
        <w:jc w:val="both"/>
      </w:pPr>
      <w:r>
        <w:t>The integration of educational technology into special education presents a paradigm shift in how learning disabilities, such as dyslexia, are managed and remediated. Despite the global surge in educational applications designed for early childhood literacy, a critical problem persists within the Nigerian educational landscape: there is a pronounced scarcity of localized, culturally relevant, and pedagogically robust digital tools specifically engineered to support the neurodivergent cognitive profiles of children with dyslexia. The existing educational software available in the market predominantly caters to neurotypical learners, employing standard visual-linguistic interfaces that inadvertently exacerbate the reading and decoding difficulties experienced by dyslexic users. These generic applications often lack the requisite multisensory integration—the simultaneous stimulation of visual, auditory, and kinesthetic pathways—that empirical research has proven to be essential for effective dyslexia intervention.</w:t>
      </w:r>
    </w:p>
    <w:p>
      <w:pPr>
        <w:spacing w:line="480" w:lineRule="auto"/>
        <w:jc w:val="both"/>
      </w:pPr>
      <w:r>
        <w:t>Furthermore, the operational architecture of many existing literacy applications is inherently flawed from an instructional management perspective. They function as static, closed-loop systems that deliver rigid, pre-programmed content. This architectural limitation deprives educators, therapists, and parents of the vital ability to dynamically customize learning modules, introduce new pedagogical materials, or adapt the difficulty trajectory to align with a child's Individualized Education Program (IEP). In the absence of a comprehensive administrative backend system, teachers are unable to monitor granular performance metrics, identify specific phonological deficits, or provide data-driven, targeted interventions. Consequently, the potential of mobile learning to facilitate personalized, responsive special education is severely underutilized.</w:t>
      </w:r>
    </w:p>
    <w:p>
      <w:pPr>
        <w:spacing w:line="480" w:lineRule="auto"/>
        <w:jc w:val="both"/>
      </w:pPr>
      <w:r>
        <w:t>Therefore, the core problem addressed by this study is the dual deficiency in current digital literacy interventions: the lack of accessible, multisensory mobile learning applications tailored for dyslexic children in Nigeria, and the absence of integrated, web-based administrative systems that empower educators to manage content dynamically and track student progress effectively. Without addressing these critical gaps, the systemic barriers to inclusive education will persist, leaving a vulnerable demographic of neurodivergent learners without the necessary technological scaffolding to achieve foundational literacy.</w:t>
      </w:r>
    </w:p>
    <w:p>
      <w:pPr>
        <w:spacing w:before="240" w:after="120"/>
      </w:pPr>
      <w:r>
        <w:rPr>
          <w:b/>
        </w:rPr>
        <w:t>Purpose of the Study</w:t>
      </w:r>
    </w:p>
    <w:p>
      <w:pPr>
        <w:spacing w:line="480" w:lineRule="auto"/>
        <w:jc w:val="both"/>
      </w:pPr>
      <w:r>
        <w:t>The primary purpose of this study is to design, develop, and evaluate a comprehensive, interactive mobile learning platform specifically tailored to enhance the literacy skills of children (ages 5–12) diagnosed with or exhibiting symptoms of dyslexia in Nigeria. By synthesizing principles of the Orton-Gillingham multisensory approach with modern mobile computing architecture, the study seeks to create an accessible, engaging, and highly effective digital remediation tool.</w:t>
      </w:r>
    </w:p>
    <w:p>
      <w:pPr>
        <w:spacing w:line="480" w:lineRule="auto"/>
        <w:jc w:val="both"/>
      </w:pPr>
      <w:r>
        <w:t>Specifically, the study aims to achieve the following objectives:</w:t>
      </w:r>
    </w:p>
    <w:p/>
    <w:p>
      <w:pPr>
        <w:spacing w:line="480" w:lineRule="auto"/>
      </w:pPr>
      <w:r/>
      <w:r>
        <w:rPr>
          <w:b/>
        </w:rPr>
        <w:t>To design and implement a user-centric mobile learning application (using Flutter)</w:t>
      </w:r>
      <w:r>
        <w:t xml:space="preserve"> that integrates auditory, visual, and tactile learning modalities through six specialized interactive modules (Tap the Sound, Trace the Letter, Match Word to Picture, Phonics Puzzle Game, Read-Along Story Mode, and Match Alphabet with Color).</w:t>
      </w:r>
    </w:p>
    <w:p/>
    <w:p>
      <w:pPr>
        <w:spacing w:line="480" w:lineRule="auto"/>
      </w:pPr>
      <w:r/>
      <w:r>
        <w:rPr>
          <w:b/>
        </w:rPr>
        <w:t>To develop a robust, secure web-based administrative backend system (using NestJS and MongoDB)</w:t>
      </w:r>
      <w:r>
        <w:t xml:space="preserve"> that empowers educators, therapists, and content creators to dynamically manage learning activities, upload multimedia assets, and customize app configurations without requiring manual software updates.</w:t>
      </w:r>
    </w:p>
    <w:p/>
    <w:p>
      <w:pPr>
        <w:spacing w:line="480" w:lineRule="auto"/>
      </w:pPr>
      <w:r/>
      <w:r>
        <w:rPr>
          <w:b/>
        </w:rPr>
        <w:t>To formulate and integrate a localized gamified reward system</w:t>
      </w:r>
      <w:r>
        <w:t xml:space="preserve"> (utilizing Points and Naira Icons) within the mobile application to mitigate task avoidance and sustain intrinsic and extrinsic motivation among dyslexic learners.</w:t>
      </w:r>
    </w:p>
    <w:p/>
    <w:p>
      <w:pPr>
        <w:spacing w:line="480" w:lineRule="auto"/>
      </w:pPr>
      <w:r/>
      <w:r>
        <w:rPr>
          <w:b/>
        </w:rPr>
        <w:t>To evaluate the usability, accessibility, and perceived pedagogical efficacy</w:t>
      </w:r>
      <w:r>
        <w:t xml:space="preserve"> of the developed system through empirical testing and feedback from the primary users (children) and secondary users (parents and educators).</w:t>
      </w:r>
    </w:p>
    <w:p>
      <w:pPr>
        <w:spacing w:before="240" w:after="120"/>
      </w:pPr>
      <w:r>
        <w:rPr>
          <w:b/>
        </w:rPr>
        <w:t>Research Questions</w:t>
      </w:r>
    </w:p>
    <w:p>
      <w:pPr>
        <w:spacing w:line="480" w:lineRule="auto"/>
        <w:jc w:val="both"/>
      </w:pPr>
      <w:r>
        <w:t>To achieve the stated objectives and address the core problem, the following research questions have been formulated to guide the study:</w:t>
      </w:r>
    </w:p>
    <w:p/>
    <w:p>
      <w:pPr>
        <w:spacing w:line="480" w:lineRule="auto"/>
      </w:pPr>
      <w:r>
        <w:t>What specific multisensory UI/UX design features are required in a mobile application to effectively mitigate decoding and phonological processing difficulties in children with dyslexia?</w:t>
      </w:r>
    </w:p>
    <w:p/>
    <w:p>
      <w:pPr>
        <w:spacing w:line="480" w:lineRule="auto"/>
      </w:pPr>
      <w:r>
        <w:t>How can a scalable administrative backend architecture be designed to provide educators with seamless, real-time control over mobile learning content and user progress tracking?</w:t>
      </w:r>
    </w:p>
    <w:p/>
    <w:p>
      <w:pPr>
        <w:spacing w:line="480" w:lineRule="auto"/>
      </w:pPr>
      <w:r>
        <w:t>To what extent does the implementation of a localized gamified reward system (Points and Naira Icons) influence the task engagement and retention rates of dyslexic learners utilizing the mobile app?</w:t>
      </w:r>
    </w:p>
    <w:p/>
    <w:p>
      <w:pPr>
        <w:spacing w:line="480" w:lineRule="auto"/>
      </w:pPr>
      <w:r>
        <w:t>What is the effect of the interactive letter-color combination mechanism (primary colors for vowels, secondary/tertiary colors for consonants) on the spelling accuracy and letter recognition speed of children with dyslexia?</w:t>
      </w:r>
    </w:p>
    <w:p/>
    <w:p>
      <w:pPr>
        <w:spacing w:line="480" w:lineRule="auto"/>
      </w:pPr>
      <w:r>
        <w:t>How do educators and parents perceive the usability, pedagogical relevance, and overall effectiveness of the integrated mobile and administrative system in supporting early childhood literacy?</w:t>
      </w:r>
    </w:p>
    <w:p>
      <w:pPr>
        <w:spacing w:before="240" w:after="120"/>
      </w:pPr>
      <w:r>
        <w:rPr>
          <w:b/>
        </w:rPr>
        <w:t>Research Hypotheses</w:t>
      </w:r>
    </w:p>
    <w:p>
      <w:pPr>
        <w:spacing w:line="480" w:lineRule="auto"/>
        <w:jc w:val="both"/>
      </w:pPr>
      <w:r>
        <w:t>The following null hypotheses ($H_0$) will be tested during the evaluation phase of the study at a 0.05 level of significance:</w:t>
      </w:r>
    </w:p>
    <w:p/>
    <w:p>
      <w:pPr>
        <w:spacing w:line="480" w:lineRule="auto"/>
      </w:pPr>
      <w:r/>
      <w:r>
        <w:rPr>
          <w:b/>
        </w:rPr>
        <w:t>$H_{01}$:</w:t>
      </w:r>
      <w:r>
        <w:t xml:space="preserve"> There is no significant difference in the phonological processing and decoding abilities of dyslexic children before and after exposure to the multisensory UI/UX design features of the mobile learning application.</w:t>
      </w:r>
    </w:p>
    <w:p/>
    <w:p>
      <w:pPr>
        <w:spacing w:line="480" w:lineRule="auto"/>
      </w:pPr>
      <w:r/>
      <w:r>
        <w:rPr>
          <w:b/>
        </w:rPr>
        <w:t>$H_{02}$:</w:t>
      </w:r>
      <w:r>
        <w:t xml:space="preserve"> The implementation of the scalable administrative backend architecture does not significantly improve educators' ability to monitor and manage user progress in real-time.</w:t>
      </w:r>
    </w:p>
    <w:p/>
    <w:p>
      <w:pPr>
        <w:spacing w:line="480" w:lineRule="auto"/>
      </w:pPr>
      <w:r/>
      <w:r>
        <w:rPr>
          <w:b/>
        </w:rPr>
        <w:t>$H_{03}$:</w:t>
      </w:r>
      <w:r>
        <w:t xml:space="preserve"> There is no significant difference in the task engagement and retention rates of dyslexic learners before and after utilizing the localized gamified reward system.</w:t>
      </w:r>
    </w:p>
    <w:p/>
    <w:p>
      <w:pPr>
        <w:spacing w:line="480" w:lineRule="auto"/>
      </w:pPr>
      <w:r/>
      <w:r>
        <w:rPr>
          <w:b/>
        </w:rPr>
        <w:t>$H_{04}$:</w:t>
      </w:r>
      <w:r>
        <w:t xml:space="preserve"> There is no significant relationship between the use of the interactive letter-color combination mechanism and the spelling accuracy or letter recognition speed of the target demographic.</w:t>
      </w:r>
    </w:p>
    <w:p/>
    <w:p>
      <w:pPr>
        <w:spacing w:line="480" w:lineRule="auto"/>
      </w:pPr>
      <w:r/>
      <w:r>
        <w:rPr>
          <w:b/>
        </w:rPr>
        <w:t>$H_{05}$:</w:t>
      </w:r>
      <w:r>
        <w:t xml:space="preserve"> There is no significant positive perception among educators and parents regarding the usability, pedagogical relevance, and effectiveness of the integrated mobile and administrative system.</w:t>
      </w:r>
    </w:p>
    <w:p>
      <w:pPr>
        <w:spacing w:before="240" w:after="120"/>
      </w:pPr>
      <w:r>
        <w:rPr>
          <w:b/>
        </w:rPr>
        <w:t>Scope of the Study</w:t>
      </w:r>
    </w:p>
    <w:p>
      <w:pPr>
        <w:spacing w:line="480" w:lineRule="auto"/>
        <w:jc w:val="both"/>
      </w:pPr>
      <w:r>
        <w:t>This research is delimited to the architectural design, software development, and preliminary usability evaluation of a dual-tier digital platform: a mobile learning application and a web-based administrative backend. The primary target population comprises children aged 5 to 12 years who exhibit symptoms of, or have been formally diagnosed with, dyslexia within the Nigerian educational context. The content scope of the mobile application is restricted to six foundational literacy modules designed to address phonemic awareness, fine motor skills, visual comprehension, decoding, and reading fluency. The technological scope involves utilizing Flutter (Dart) for cross-platform mobile development (prioritizing Android deployment) and NestJS coupled with MongoDB for backend infrastructure. The study explicitly excludes the clinical diagnosis of dyslexia, the treatment of other comorbid neurodevelopmental disorders (such as ADHD or Autism Spectrum Disorder), and the deployment of the application on desktop computing platforms.</w:t>
      </w:r>
    </w:p>
    <w:p>
      <w:pPr>
        <w:spacing w:before="240" w:after="120"/>
      </w:pPr>
      <w:r>
        <w:rPr>
          <w:b/>
        </w:rPr>
        <w:t>Clarification of Major Terms and Variables</w:t>
      </w:r>
    </w:p>
    <w:p>
      <w:pPr>
        <w:spacing w:line="480" w:lineRule="auto"/>
        <w:jc w:val="both"/>
      </w:pPr>
      <w:r>
        <w:t>To ensure conceptual clarity and avoid ambiguity, the following major terms and variables are operationally defined as used within the context of this study:</w:t>
      </w:r>
    </w:p>
    <w:p/>
    <w:p>
      <w:pPr>
        <w:spacing w:line="480" w:lineRule="auto"/>
      </w:pPr>
      <w:r/>
      <w:r>
        <w:rPr>
          <w:b/>
        </w:rPr>
        <w:t>Admin Backend System:</w:t>
      </w:r>
      <w:r>
        <w:t xml:space="preserve"> A secure, web-based software architecture (developed using NestJS and React/AdminJS) that allows authorized secondary users to dynamically create, edit, and manage the educational content pushed to the mobile application.</w:t>
      </w:r>
    </w:p>
    <w:p/>
    <w:p>
      <w:pPr>
        <w:spacing w:line="480" w:lineRule="auto"/>
      </w:pPr>
      <w:r/>
      <w:r>
        <w:rPr>
          <w:b/>
        </w:rPr>
        <w:t>Dyslexia:</w:t>
      </w:r>
      <w:r>
        <w:t xml:space="preserve"> A specific, neurobiological learning disability characterized by severe difficulties with accurate and/or fluent word recognition, poor spelling, and decoding abilities, resulting from a deficit in the phonological component of language.</w:t>
      </w:r>
    </w:p>
    <w:p/>
    <w:p>
      <w:pPr>
        <w:spacing w:line="480" w:lineRule="auto"/>
      </w:pPr>
      <w:r/>
      <w:r>
        <w:rPr>
          <w:b/>
        </w:rPr>
        <w:t>Gamification:</w:t>
      </w:r>
      <w:r>
        <w:t xml:space="preserve"> The strategic integration of game-design elements, mechanics, and principles (such as earning Points, Badges, or Naira Icons) into a non-game educational context to stimulate motivation, increase engagement, and reinforce positive learning behaviors.</w:t>
      </w:r>
    </w:p>
    <w:p/>
    <w:p>
      <w:pPr>
        <w:spacing w:line="480" w:lineRule="auto"/>
      </w:pPr>
      <w:r/>
      <w:r>
        <w:rPr>
          <w:b/>
        </w:rPr>
        <w:t>Mobile Learning App (m-Learning):</w:t>
      </w:r>
      <w:r>
        <w:t xml:space="preserve"> A cross-platform software application optimized for touchscreen mobile devices (smartphones and tablets) designed to facilitate ubiquitous, interactive educational experiences.</w:t>
      </w:r>
    </w:p>
    <w:p/>
    <w:p>
      <w:pPr>
        <w:spacing w:line="480" w:lineRule="auto"/>
      </w:pPr>
      <w:r/>
      <w:r>
        <w:rPr>
          <w:b/>
        </w:rPr>
        <w:t>Multisensory Learning:</w:t>
      </w:r>
      <w:r>
        <w:t xml:space="preserve"> An evidence-based instructional methodology that deliberately engages multiple sensory pathways simultaneously—specifically visual (sight), auditory (hearing), kinesthetic (movement), and tactile (touch)—to enhance cognitive processing and memory retention.</w:t>
      </w:r>
    </w:p>
    <w:p/>
    <w:p>
      <w:pPr>
        <w:spacing w:line="480" w:lineRule="auto"/>
      </w:pPr>
      <w:r/>
      <w:r>
        <w:rPr>
          <w:b/>
        </w:rPr>
        <w:t>Primary Users:</w:t>
      </w:r>
      <w:r>
        <w:t xml:space="preserve"> The direct beneficiaries of the mobile application; specifically, children aged 5–12 experiencing early literacy difficulties associated with dyslexia.</w:t>
      </w:r>
    </w:p>
    <w:p/>
    <w:p>
      <w:pPr>
        <w:spacing w:line="480" w:lineRule="auto"/>
      </w:pPr>
      <w:r/>
      <w:r>
        <w:rPr>
          <w:b/>
        </w:rPr>
        <w:t>Secondary Users:</w:t>
      </w:r>
      <w:r>
        <w:t xml:space="preserve"> The facilitators of the learning process, encompassing parents, special education teachers, therapists, and content administrators who utilize the backend system to manage the educational experience.</w:t>
      </w:r>
    </w:p>
    <w:p>
      <w:pPr>
        <w:spacing w:before="240" w:after="120"/>
      </w:pPr>
      <w:r>
        <w:rPr>
          <w:b/>
        </w:rPr>
        <w:t>Significance of the Study</w:t>
      </w:r>
    </w:p>
    <w:p>
      <w:pPr>
        <w:spacing w:line="480" w:lineRule="auto"/>
        <w:jc w:val="both"/>
      </w:pPr>
      <w:r>
        <w:t>The outcomes and deliverables of this research will provide substantial theoretical, practical, and systemic benefits to a diverse array of stakeholders within the educational ecosystem.</w:t>
      </w:r>
    </w:p>
    <w:p>
      <w:pPr>
        <w:spacing w:line="480" w:lineRule="auto"/>
        <w:jc w:val="both"/>
      </w:pPr>
      <w:r/>
      <w:r>
        <w:rPr>
          <w:b/>
        </w:rPr>
        <w:t>For Primary Users (Children with Dyslexia):</w:t>
      </w:r>
      <w:r>
        <w:t xml:space="preserve"> The study will yield a highly accessible, stigma-free digital learning environment. By providing multisensory, self-paced, and gamified interventions, the application will help dismantle the cognitive barriers associated with traditional text, thereby reducing academic anxiety, fostering independent learning, and accelerating the acquisition of foundational literacy skills.</w:t>
      </w:r>
    </w:p>
    <w:p>
      <w:pPr>
        <w:spacing w:line="480" w:lineRule="auto"/>
        <w:jc w:val="both"/>
      </w:pPr>
      <w:r/>
      <w:r>
        <w:rPr>
          <w:b/>
        </w:rPr>
        <w:t>For Secondary Users (Parents, Educators, and Therapists):</w:t>
      </w:r>
      <w:r>
        <w:t xml:space="preserve"> The development of the robust administrative backend system represents a significant practical advancement. Educators and therapists will gain an invaluable tool that transcends the limitations of static applications. They will be empowered to tailor instructional content dynamically, align digital exercises with specific classroom curricula or Individualized Education Programs (IEPs), and implement data-driven pedagogical strategies without requiring advanced technical expertise. Parents will be equipped with a reliable, structured supplementary tool to support their child's learning journey at home.</w:t>
      </w:r>
    </w:p>
    <w:p>
      <w:pPr>
        <w:spacing w:line="480" w:lineRule="auto"/>
        <w:jc w:val="both"/>
      </w:pPr>
      <w:r/>
      <w:r>
        <w:rPr>
          <w:b/>
        </w:rPr>
        <w:t>For Educational Technology Developers and Software Engineers:</w:t>
      </w:r>
      <w:r>
        <w:t xml:space="preserve"> The architectural blueprint detailed in this study—specifically the seamless integration of a high-performance Flutter mobile frontend with a scalable NestJS/MongoDB backend for special education—will serve as a reference architecture. It will demonstrate best practices in designing accessible user interfaces (such as integrating the OpenDyslexic font and high-contrast color palettes) and scalable database schemas for dynamic content delivery.</w:t>
      </w:r>
    </w:p>
    <w:p>
      <w:pPr>
        <w:spacing w:line="480" w:lineRule="auto"/>
        <w:jc w:val="both"/>
      </w:pPr>
      <w:r/>
      <w:r>
        <w:rPr>
          <w:b/>
        </w:rPr>
        <w:t>For Policymakers and the Ministry of Education:</w:t>
      </w:r>
      <w:r>
        <w:t xml:space="preserve"> The study provides empirical evidence and a functional prototype demonstrating the viability of integrating mobile technology to achieve the inclusive education mandates outlined in the National Policy on Education. The findings can inform future budgetary allocations, curriculum adaptations, and policy directives aimed at leveraging EdTech to bridge the special education gap in resource-constrained environments like Nigeria.</w:t>
      </w:r>
    </w:p>
    <w:p>
      <w:r>
        <w:br w:type="page"/>
      </w:r>
    </w:p>
    <w:p>
      <w:pPr>
        <w:jc w:val="center"/>
      </w:pPr>
      <w:r>
        <w:rPr>
          <w:b/>
        </w:rPr>
        <w:t>CHAPTER TWO</w:t>
      </w:r>
    </w:p>
    <w:p>
      <w:pPr>
        <w:spacing w:after="240"/>
        <w:jc w:val="center"/>
      </w:pPr>
      <w:r>
        <w:rPr>
          <w:b/>
        </w:rPr>
        <w:t>REVIEW OF RELATED LITERATURE</w:t>
      </w:r>
    </w:p>
    <w:p>
      <w:pPr>
        <w:spacing w:line="480" w:lineRule="auto"/>
        <w:jc w:val="both"/>
      </w:pPr>
      <w:r>
        <w:t>This chapter provides a comprehensive review of the theoretical and empirical literature pertinent to the integration of educational technology in the remediation of dyslexia. The review is systematically organized under the following thematic subheadings: Theoretical Framework of the Study, Concept of Dyslexia and Literacy Challenges, Multisensory Learning Approaches in Digital Environments, The Role of Mobile Applications in Special Education, Gamification and Reward Systems in Learning, and an Appraisal of the Reviewed Literature. By synthesizing these domains, this chapter establishes the academic foundation and rationalizes the development of the proposed mobile learning platform.</w:t>
      </w:r>
    </w:p>
    <w:p>
      <w:pPr>
        <w:spacing w:before="240" w:after="120"/>
      </w:pPr>
      <w:r>
        <w:rPr>
          <w:b/>
        </w:rPr>
        <w:t>Theoretical Framework of the Study</w:t>
      </w:r>
    </w:p>
    <w:p>
      <w:pPr>
        <w:spacing w:line="480" w:lineRule="auto"/>
        <w:jc w:val="both"/>
      </w:pPr>
      <w:r>
        <w:t>The theoretical underpinning of this research is anchored in two complementary frameworks: the Multisensory Instructional Approach (originating from the Orton-Gillingham methodology) and the Cognitive Theory of Multimedia Learning (CTML). The synergistic application of these theories provides a robust pedagogical structure for the design and evaluation of the proposed digital literacy intervention.</w:t>
      </w:r>
    </w:p>
    <w:p>
      <w:pPr>
        <w:spacing w:line="480" w:lineRule="auto"/>
        <w:jc w:val="both"/>
      </w:pPr>
      <w:r/>
      <w:r>
        <w:rPr>
          <w:b/>
        </w:rPr>
        <w:t>The Multisensory Instructional Approach (Orton-Gillingham)</w:t>
      </w:r>
      <w:r/>
    </w:p>
    <w:p>
      <w:pPr>
        <w:spacing w:line="480" w:lineRule="auto"/>
        <w:jc w:val="both"/>
      </w:pPr>
      <w:r>
        <w:t>Pioneered in the 1930s by neuropsychiatrist Dr. Samuel T. Orton and educator Anna Gillingham, the Orton-Gillingham approach is fundamentally premised on the neurobiological reality that language acquisition involves complex networks across multiple brain regions. For neurotypical individuals, the synchronization of visual processing (seeing a letter), auditory processing (hearing its sound), and kinesthetic-tactile processing (writing the letter) occurs naturally. However, neuroimaging studies demonstrate that individuals with dyslexia exhibit atypical activation patterns in the left temporoparietal and occipitotemporal regions, which are responsible for phonological decoding and visual word recognition.</w:t>
      </w:r>
    </w:p>
    <w:p>
      <w:pPr>
        <w:spacing w:line="480" w:lineRule="auto"/>
        <w:jc w:val="both"/>
      </w:pPr>
      <w:r>
        <w:t>The multisensory approach mitigates these atypical neural pathways by forcing the simultaneous, explicit integration of visual, auditory, kinesthetic, and tactile (VAKT) sensory modalities. The theoretical assertion is that when multiple sensory pathways are engaged concurrently, the cognitive imprint of the grapheme-phoneme association is significantly strengthened, facilitating the circumvention of weaker neural pathways. In the context of the proposed mobile application, this theoretical framework mandates the design of interactive modules that require the user to trace letters on a touchscreen (tactile/kinesthetic) while simultaneously receiving immediate auditory feedback (sound pronunciation) and visual reinforcement (dynamic animations). The digitization of the Orton-Gillingham approach transforms theoretical multisensory integration into accessible, ubiquitous, and interactive technological exercises.</w:t>
      </w:r>
    </w:p>
    <w:p>
      <w:pPr>
        <w:spacing w:line="480" w:lineRule="auto"/>
        <w:jc w:val="both"/>
      </w:pPr>
      <w:r/>
      <w:r>
        <w:rPr>
          <w:b/>
        </w:rPr>
        <w:t>Cognitive Theory of Multimedia Learning (CTML)</w:t>
      </w:r>
      <w:r/>
    </w:p>
    <w:p>
      <w:pPr>
        <w:spacing w:line="480" w:lineRule="auto"/>
        <w:jc w:val="both"/>
      </w:pPr>
      <w:r>
        <w:t>Developed by Richard E. Mayer, the Cognitive Theory of Multimedia Learning (CTML) provides the psychological framework for how instructional technology should be designed to align with human cognitive architecture. CTML is predicated on three core assumptions: the dual-channel assumption (humans possess separate channels for processing visual/pictorial and auditory/verbal information), the limited capacity assumption (each channel has a finite capacity for processing information at any one time), and the active processing assumption (meaningful learning requires the active cognitive processing of incoming information, including selecting, organizing, and integrating it with prior knowledge).</w:t>
      </w:r>
    </w:p>
    <w:p>
      <w:pPr>
        <w:spacing w:line="480" w:lineRule="auto"/>
        <w:jc w:val="both"/>
      </w:pPr>
      <w:r>
        <w:t>For dyslexic learners, who frequently experience deficits in working memory and rapid processing speed, adherence to CTML principles is paramount. The theory posits that learning is optimized when digital environments present information through complementary verbal and visual channels, meticulously avoiding extraneous cognitive load. Applying CTML to the proposed mobile application involves the strict elimination of distracting UI elements (the coherence principle), the temporal synchronization of spoken words with their highlighted visual counterparts in the Read-Along Story module (the temporal contiguity principle), and the presentation of text accompanied by corresponding auditory narrations to prevent visual channel overload (the modality principle). By grounding the software architecture in CTML, the application ensures that the technological medium facilitates, rather than impedes, the pedagogical objective.</w:t>
      </w:r>
    </w:p>
    <w:p>
      <w:pPr>
        <w:spacing w:before="240" w:after="120"/>
      </w:pPr>
      <w:r>
        <w:rPr>
          <w:b/>
        </w:rPr>
        <w:t>Concept of Dyslexia and Literacy Challenges</w:t>
      </w:r>
    </w:p>
    <w:p>
      <w:pPr>
        <w:spacing w:line="480" w:lineRule="auto"/>
        <w:jc w:val="both"/>
      </w:pPr>
      <w:r>
        <w:t>Dyslexia represents a specific, highly prevalent neurodevelopmental disorder that significantly impairs an individual's ability to acquire accurate and fluent reading, spelling, and writing skills. Historically misunderstood as a visual defect involving the "reversal" of letters, contemporary cognitive neuroscience has definitively established dyslexia as a language-based learning disability. The core deficit lies in the phonological processing module of the brain—the ability to identify, manipulate, and decode the discrete sound units (phonemes) that constitute human speech and map them onto their corresponding visual symbols (graphemes).</w:t>
      </w:r>
    </w:p>
    <w:p>
      <w:pPr>
        <w:spacing w:line="480" w:lineRule="auto"/>
        <w:jc w:val="both"/>
      </w:pPr>
      <w:r>
        <w:t>In early childhood, the manifestation of dyslexia is characterized by severe difficulties with rapid automatized naming, poor working memory capacity, and profound challenges in acquiring the alphabetic principle. As children transition from emergent literacy into formal schooling, these foundational deficits cascade, leading to severe impairments in reading comprehension. The inability to decode words effortlessly forces the dyslexic reader to expend disproportionate cognitive resources on the mechanics of reading, leaving minimal working memory available for extracting meaning from the text.</w:t>
      </w:r>
    </w:p>
    <w:p>
      <w:pPr>
        <w:spacing w:line="480" w:lineRule="auto"/>
        <w:jc w:val="both"/>
      </w:pPr>
      <w:r>
        <w:t>The socio-educational implications of dyslexia, particularly within the Nigerian context, are profound. The Nigerian educational system is heavily reliant on high-stakes, written examinations and text-dense curricula. Consequently, children with undiagnosed or unsupported dyslexia are frequently subjected to a cycle of academic failure. The psychological sequelae are equally devastating. Research consistently indicates that children with dyslexia experience significantly higher rates of generalized anxiety, academic-specific phobias, and lowered self-efficacy compared to their neurotypical peers. The internalization of academic failure often results in behavioral avoidance strategies, leading to school refusal and ultimately, high dropout rates. Addressing these literacy challenges therefore requires interventions that are not only pedagogically sound but also psychologically supportive and stigma-free.</w:t>
      </w:r>
    </w:p>
    <w:p>
      <w:pPr>
        <w:spacing w:before="240" w:after="120"/>
      </w:pPr>
      <w:r>
        <w:rPr>
          <w:b/>
        </w:rPr>
        <w:t>Multisensory Learning Approaches in Digital Environments</w:t>
      </w:r>
    </w:p>
    <w:p>
      <w:pPr>
        <w:spacing w:line="480" w:lineRule="auto"/>
        <w:jc w:val="both"/>
      </w:pPr>
      <w:r>
        <w:t>The efficacy of multisensory learning environments for neurodivergent students is well-documented in the empirical literature. Traditional implementations of multisensory pedagogy require highly trained special educators utilizing physical manipulatives, such as sandpaper letters, shaving cream, and auditory drills. While effective, this analog approach is highly resource-intensive and difficult to scale, particularly in developing nations facing acute shortages of special education professionals.</w:t>
      </w:r>
    </w:p>
    <w:p>
      <w:pPr>
        <w:spacing w:line="480" w:lineRule="auto"/>
        <w:jc w:val="both"/>
      </w:pPr>
      <w:r>
        <w:t>The evolution of digital environments and human-computer interaction (HCI) has introduced unprecedented capabilities for simulating and scaling multisensory interventions. Modern touchscreen devices are inherently multimodal, offering high-resolution visual displays, sophisticated audio output, and haptic (tactile) feedback mechanisms. The integration of multisensory learning approaches into digital environments capitalizes on these technological affordances to create interactive, dynamic, and repeatable exercises that children can practice independently.</w:t>
      </w:r>
    </w:p>
    <w:p>
      <w:pPr>
        <w:spacing w:line="480" w:lineRule="auto"/>
        <w:jc w:val="both"/>
      </w:pPr>
      <w:r>
        <w:t>Empirical studies investigating digital multisensory interventions have demonstrated significant positive outcomes in phonemic awareness and grapheme-phoneme mapping. Digital platforms possess a unique pedagogical advantage: they can provide instantaneous, corrective feedback, a critical component of learning that is often delayed in traditional classroom settings. For instance, if a child incorrectly traces a letter on a tablet, the software can immediately interrupt the action, provide an auditory cue, and visually demonstrate the correct stroke path. This immediate feedback loop prevents the automatization of errors and reinforces accurate neural pathways.</w:t>
      </w:r>
    </w:p>
    <w:p>
      <w:pPr>
        <w:spacing w:line="480" w:lineRule="auto"/>
        <w:jc w:val="both"/>
      </w:pPr>
      <w:r>
        <w:t>Furthermore, digital environments allow for the meticulous control of cognitive load. Applications can be programmed to gradually increase the complexity of phonetic exercises based on the real-time performance data of the user. This adaptive capability ensures that the dyslexic learner remains within their Zone of Proximal Development (ZPD), experiencing sufficient challenge to promote learning without crossing the threshold into frustration. The proposed mobile application leverages these digital affordances, translating the evidence-based principles of multisensory pedagogy into a scalable, accessible, and highly engaging technological format.</w:t>
      </w:r>
    </w:p>
    <w:p>
      <w:pPr>
        <w:spacing w:before="240" w:after="120"/>
      </w:pPr>
      <w:r>
        <w:rPr>
          <w:b/>
        </w:rPr>
        <w:t>Color Psychology and Visual Coding in Special Education</w:t>
      </w:r>
    </w:p>
    <w:p>
      <w:pPr>
        <w:spacing w:line="480" w:lineRule="auto"/>
        <w:jc w:val="both"/>
      </w:pPr>
      <w:r>
        <w:t>The strategic utilization of color in educational materials represents a profound, yet frequently underutilized, pedagogical tool, particularly within the realm of special education and specific learning disabilities. Color psychology—the study of how hues, saturation, and brightness influence human behavior, cognition, and emotional states—provides a robust theoretical framework for enhancing instructional design. For children with dyslexia, the visual processing of monochromatic text (typically black text on a white background) is often fraught with perceptual distortions, such as visual crowding, text instability, and the "glare" effect. The introduction of systemic color-coding directly addresses these visual processing deficits by providing distinct visual anchors that assist in grapheme differentiation and spatial orientation on the screen.</w:t>
      </w:r>
    </w:p>
    <w:p>
      <w:pPr>
        <w:spacing w:line="480" w:lineRule="auto"/>
        <w:jc w:val="both"/>
      </w:pPr>
      <w:r>
        <w:t>The implementation of a color-coded alphabet, where five primary colors are assigned to vowels and secondary/tertiary blends are assigned to consonants, leverages the brain's innate capacity for pattern recognition and chromatic differentiation. According to the Dual-Coding Theory proposed by Allan Paivio, cognitive processing is significantly enhanced when information is presented simultaneously through both verbal and non-verbal (visual) channels. By assigning a persistent, specific color identity to a letter, the application effectively creates a dual-code for that grapheme: the shape of the letter (verbal/linguistic code) and its color (visual/imaginal code). When a dyslexic child attempts to recall the spelling of a word, they are no longer relying solely on their impaired phonological loop; instead, they can access the memory through the intact visual-chromatic pathway. For instance, if the vowel 'A' is consistently encoded as vivid red, the mental representation of the word "CAT" becomes a sequence of specific color pops, significantly reducing the cognitive load required for decoding.</w:t>
      </w:r>
    </w:p>
    <w:p>
      <w:pPr>
        <w:spacing w:line="480" w:lineRule="auto"/>
        <w:jc w:val="both"/>
      </w:pPr>
      <w:r>
        <w:t>Furthermore, the interactive mechanism where a letter "pops out" in its assigned color upon being pressed serves a dual function: it acts as a visual orienting mechanism and an immediate feedback loop. Visual orienting mechanisms are crucial for capturing and sustaining the attention of neurodivergent learners, who frequently exhibit heightened distractibility. The sudden, dynamic illumination of the letter draws the child's focal attention precisely to the grapheme being interacted with, minimizing the peripheral visual noise that often exacerbates reading difficulties. This instantaneous, colorful feedback translates the abstract process of spelling into a tangible, visually stimulating, and highly attractive activity, thereby increasing the user's time-on-task and intrinsic motivation.</w:t>
      </w:r>
    </w:p>
    <w:p>
      <w:pPr>
        <w:spacing w:before="240" w:after="120"/>
      </w:pPr>
      <w:r>
        <w:rPr>
          <w:b/>
        </w:rPr>
        <w:t>The Neurobiology of Chromatic Association as an Educational Heuristic</w:t>
      </w:r>
    </w:p>
    <w:p>
      <w:pPr>
        <w:spacing w:line="480" w:lineRule="auto"/>
        <w:jc w:val="both"/>
      </w:pPr>
      <w:r>
        <w:t>From a neurobiological perspective, the association of color with specific linguistic elements mimics the neurological phenomenon of grapheme-color synesthesia, wherein the stimulation of the visual-linguistic cortex inadvertently triggers activation in the V4 color-processing center of the brain. While true synesthesia is an involuntary condition, the deliberate, systemic application of color-coding in an educational application can be viewed as an attempt to artificially induce a "synesthetic heuristic." This heuristic serves to bypass the compromised left temporoparietal language networks typically observed in dyslexic brains by routing the information through alternative, robust neural pathways responsible for color and object recognition.</w:t>
      </w:r>
    </w:p>
    <w:p>
      <w:pPr>
        <w:spacing w:line="480" w:lineRule="auto"/>
        <w:jc w:val="both"/>
      </w:pPr>
      <w:r>
        <w:t>Research by the Irlen Institute and various cognitive neuroscientists has long established that specific wavelengths of light (colors) can dramatically alter reading fluency and visual comfort for individuals with reading disabilities. While much of this research has focused on colored overlays to reduce visual stress, the application of color at the individual grapheme level provides a more granular and structural intervention. By systematically teaching the child that vowels (the core sound-anchors of any syllable) exist in primary colors, the application inherently teaches the underlying structure of language. The child visually learns that every word must contain a primary color (a vowel), providing a powerful, intuitive rule-set for spelling that circumvents the need for rote phonological memorization.</w:t>
      </w:r>
    </w:p>
    <w:p>
      <w:pPr>
        <w:spacing w:line="480" w:lineRule="auto"/>
        <w:jc w:val="both"/>
      </w:pPr>
      <w:r>
        <w:t>This color-based structural approach is particularly beneficial for mitigating the prevalent issue of letter reversals (e.g., confusing 'b' and 'd', or 'p' and 'q'). If 'b' and 'd' are assigned distinct secondary colors based on their phonetic properties, the visual distinction between the two graphemes is exponentially increased. The child no longer has to rely solely on the subtle spatial orientation of the letter's "belly"; they can rely on the stark contrast of their assigned colors. The combination of the "pop out" animation and the vivid color association effectively transforms static, confusing text into an interactive, vibrant, and highly structured learning environment, making the acquisition of literacy an attractive and attainable goal.</w:t>
      </w:r>
    </w:p>
    <w:p>
      <w:pPr>
        <w:spacing w:before="240" w:after="120"/>
      </w:pPr>
      <w:r>
        <w:rPr>
          <w:b/>
        </w:rPr>
        <w:t>The Role of Mobile Applications in Special Education</w:t>
      </w:r>
    </w:p>
    <w:p>
      <w:pPr>
        <w:spacing w:line="480" w:lineRule="auto"/>
        <w:jc w:val="both"/>
      </w:pPr>
      <w:r>
        <w:t>The pervasive adoption of mobile technologies—smartphones and tablet computers—has irrevocably altered the landscape of special education. The inherent characteristics of mobile devices, including portability, touchscreen interfaces, built-in sensors, and robust computational power, render them uniquely suited for educational remediation. In the realm of learning disabilities, mobile applications transcend the limitations of traditional desktop computing by providing an intimate, intuitive, and ubiquitous learning medium.</w:t>
      </w:r>
    </w:p>
    <w:p>
      <w:pPr>
        <w:spacing w:line="480" w:lineRule="auto"/>
        <w:jc w:val="both"/>
      </w:pPr>
      <w:r>
        <w:t>Empirical literature consistently underscores the pedagogical advantages of mobile learning (m-learning) for children with dyslexia. Traditional reading instruction often relies heavily on fine motor skills involving a pencil and paper, which can be an additional source of frustration for dyslexic learners who frequently present with comorbid dysgraphia. Mobile applications bypass this barrier by utilizing intuitive swipe and tap gestures, allowing the cognitive focus to remain entirely on phonological processing and reading comprehension rather than the mechanics of writing.</w:t>
      </w:r>
    </w:p>
    <w:p>
      <w:pPr>
        <w:spacing w:line="480" w:lineRule="auto"/>
        <w:jc w:val="both"/>
      </w:pPr>
      <w:r>
        <w:t>Furthermore, the integration of assistive technologies within mobile applications is a critical area of academic inquiry. Sophisticated text-to-speech (TTS) engines and speech recognition algorithms can be seamlessly embedded into reading modules, providing crucial auditory scaffolding. Typography also plays a significant role; research indicates that the implementation of specialized dyslexia-friendly fonts, such as OpenDyslexic or Dyslexie, can mitigate visual crowding and reduce reading errors by utilizing heavy-weighted baselines to anchor the text visually. The proposed mobile application will integrate these design principles, ensuring that the visual interface is not only aesthetically engaging but also scientifically optimized for readability.</w:t>
      </w:r>
    </w:p>
    <w:p>
      <w:pPr>
        <w:spacing w:line="480" w:lineRule="auto"/>
        <w:jc w:val="both"/>
      </w:pPr>
      <w:r>
        <w:t>Despite the proliferation of educational apps, a critical gap identified in the literature is the lack of robust administrative control for educators. Many applications function as closed ecosystems, depriving teachers of the ability to curate content, track longitudinal progress, or integrate the tool into broader instructional strategies. The effectiveness of educational technology is significantly amplified when it is utilized as a collaborative tool between the student and the educator. Therefore, the development of a dual-tier architecture—combining a user-facing mobile application with a web-based administrative backend—represents a vital advancement in the field. This structure empowers educators to dynamically manage learning activities, customize interventions, and employ data-driven pedagogical strategies.</w:t>
      </w:r>
    </w:p>
    <w:p>
      <w:pPr>
        <w:spacing w:before="240" w:after="120"/>
      </w:pPr>
      <w:r>
        <w:rPr>
          <w:b/>
        </w:rPr>
        <w:t>Gamification and Reward Systems in Learning</w:t>
      </w:r>
    </w:p>
    <w:p>
      <w:pPr>
        <w:spacing w:line="480" w:lineRule="auto"/>
        <w:jc w:val="both"/>
      </w:pPr>
      <w:r>
        <w:t>Motivation and sustained engagement are persistent challenges in special education. Children with dyslexia, having frequently experienced a history of academic failure and frustration, often exhibit high levels of task avoidance when confronted with literacy exercises. Addressing this motivational deficit requires the implementation of strategic psychological frameworks within educational technology. Gamification—defined as the application of game-design elements and mechanics in non-game contexts—has emerged as a highly effective strategy for fostering both intrinsic and extrinsic motivation.</w:t>
      </w:r>
    </w:p>
    <w:p>
      <w:pPr>
        <w:spacing w:line="480" w:lineRule="auto"/>
        <w:jc w:val="both"/>
      </w:pPr>
      <w:r>
        <w:t>The theoretical basis for gamification in education is rooted in Self-Determination Theory (SDT), which posits that human motivation is driven by the fulfillment of three basic psychological needs: competence, autonomy, and relatedness. Gamified systems address the need for competence by providing clear goals, immediate feedback, and progressive difficulty levels. The need for autonomy is fulfilled by allowing users to make choices within the application, such as selecting an avatar or choosing which learning module to engage with.</w:t>
      </w:r>
    </w:p>
    <w:p>
      <w:pPr>
        <w:spacing w:line="480" w:lineRule="auto"/>
        <w:jc w:val="both"/>
      </w:pPr>
      <w:r>
        <w:t>Empirical studies investigating the impact of gamification on educational outcomes consistently report significant increases in time-on-task, completion rates, and overall user satisfaction. The integration of reward structures—such as points, badges, leaderboards, and virtual currencies—provides immediate positive reinforcement, transforming the learning experience from a tedious chore into an intrinsically rewarding activity.</w:t>
      </w:r>
    </w:p>
    <w:p>
      <w:pPr>
        <w:spacing w:line="480" w:lineRule="auto"/>
        <w:jc w:val="both"/>
      </w:pPr>
      <w:r>
        <w:t>In the context of the proposed mobile application, the gamification strategy must be carefully calibrated to avoid cognitive distraction while maximizing motivational impact. The integration of a localized reward system, specifically the utilization of "Naira Icons" alongside standard points, represents a novel approach to contextualizing the gamified experience for Nigerian users. This localized incentive structure not only provides positive reinforcement but also fosters a sense of cultural relevance and familiarity. The dynamic success overlay—celebrating achievements upon module completion—serves as an immediate psychological reward, mitigating the anxiety associated with traditional academic assessment and encouraging continued engagement with the literacy materials.</w:t>
      </w:r>
    </w:p>
    <w:p>
      <w:pPr>
        <w:spacing w:before="240" w:after="120"/>
      </w:pPr>
      <w:r>
        <w:rPr>
          <w:b/>
        </w:rPr>
        <w:t>Appraisal of the Reviewed Literature</w:t>
      </w:r>
    </w:p>
    <w:p>
      <w:pPr>
        <w:spacing w:line="480" w:lineRule="auto"/>
        <w:jc w:val="both"/>
      </w:pPr>
      <w:r>
        <w:t>A critical appraisal of the extant literature reveals a strong theoretical and empirical consensus supporting the use of multisensory interventions for the remediation of dyslexia. Both the Orton-Gillingham approach and the Cognitive Theory of Multimedia Learning advocate for the strategic integration of visual, auditory, and tactile modalities to optimize cognitive processing and circumvent neurological deficits. Furthermore, the literature robustly supports the efficacy of mobile applications and gamified reward systems in enhancing engagement, accessibility, and learning outcomes in special education contexts.</w:t>
      </w:r>
    </w:p>
    <w:p>
      <w:pPr>
        <w:spacing w:line="480" w:lineRule="auto"/>
        <w:jc w:val="both"/>
      </w:pPr>
      <w:r>
        <w:t>However, significant gaps remain within the current body of research and technological development, particularly concerning the Nigerian educational landscape. While generic educational applications are abundant, there is a pronounced scarcity of localized, culturally relevant digital tools specifically engineered for dyslexic learners in Africa. Existing tools frequently suffer from closed architectural designs, lacking the comprehensive administrative backend systems required by educators to dynamically manage content and monitor progress. Moreover, the integration of localized gamification strategies, such as utilizing culturally familiar symbols (e.g., Naira icons) as reward metrics, remains largely unexplored in academic literature.</w:t>
      </w:r>
    </w:p>
    <w:p>
      <w:pPr>
        <w:spacing w:line="480" w:lineRule="auto"/>
        <w:jc w:val="both"/>
      </w:pPr>
      <w:r>
        <w:t>The proposed study directly addresses these identified gaps. By synthesizing evidence-based multisensory pedagogy with modern mobile computing architecture (Flutter) and robust backend infrastructure (NestJS/MongoDB), the project aims to develop a comprehensive, scalable, and highly effective digital remediation tool. The integration of a web-based administrative dashboard empowers educators, while the localized gamified mobile application engages the dyslexic learner. Therefore, the proposed system not only builds upon the theoretical foundations established in the literature but also represents a significant practical and technological advancement in the delivery of inclusive education.</w:t>
      </w:r>
    </w:p>
    <w:p>
      <w:r>
        <w:br w:type="page"/>
      </w:r>
    </w:p>
    <w:p>
      <w:pPr>
        <w:jc w:val="center"/>
      </w:pPr>
      <w:r>
        <w:rPr>
          <w:b/>
        </w:rPr>
        <w:t>CHAPTER THREE</w:t>
      </w:r>
    </w:p>
    <w:p>
      <w:pPr>
        <w:spacing w:after="240"/>
        <w:jc w:val="center"/>
      </w:pPr>
      <w:r>
        <w:rPr>
          <w:b/>
        </w:rPr>
        <w:t>METHODOLOGY AND SYSTEM DESIGN</w:t>
      </w:r>
    </w:p>
    <w:p>
      <w:pPr>
        <w:spacing w:line="480" w:lineRule="auto"/>
        <w:jc w:val="both"/>
      </w:pPr>
      <w:r>
        <w:t>This chapter delineates the systematic procedures, architectural frameworks, and research methodologies employed to achieve the objectives of this study. It outlines the research design, the target population, sampling techniques, data collection instruments, and the comprehensive system architecture detailing the development of the mobile learning application and the administrative backend.</w:t>
      </w:r>
    </w:p>
    <w:p>
      <w:pPr>
        <w:spacing w:before="240" w:after="120"/>
      </w:pPr>
      <w:r>
        <w:rPr>
          <w:b/>
        </w:rPr>
        <w:t>Research Design</w:t>
      </w:r>
    </w:p>
    <w:p>
      <w:pPr>
        <w:spacing w:line="480" w:lineRule="auto"/>
        <w:jc w:val="both"/>
      </w:pPr>
      <w:r>
        <w:t>The study adopts a Research and Development (R&amp;D) design integrated with a pre-experimental pre-test/post-test framework. The R&amp;D approach is utilized for the rigorous design, iterative development, and technical validation of the dual-tier educational software (the mobile application and the web-based administrative backend). This methodology involves a cyclic process of requirement analysis, architectural design, software coding, internal testing, and iterative refinement based on heuristic evaluations.</w:t>
      </w:r>
    </w:p>
    <w:p>
      <w:pPr>
        <w:spacing w:line="480" w:lineRule="auto"/>
        <w:jc w:val="both"/>
      </w:pPr>
      <w:r>
        <w:t>Following the successful development of the software prototype, a pre-experimental research design will be employed to evaluate the system's pedagogical efficacy, usability, and impact on user engagement. This quantitative approach allows for the empirical assessment of the intervention—specifically, the multisensory learning modules and the gamified reward system—by comparing the literacy performance and engagement metrics of the target demographic before and after utilizing the mobile application over a specified intervention period.</w:t>
      </w:r>
    </w:p>
    <w:p>
      <w:pPr>
        <w:spacing w:before="240" w:after="120"/>
      </w:pPr>
      <w:r>
        <w:rPr>
          <w:b/>
        </w:rPr>
        <w:t>Population, Sample, and Sampling Technique</w:t>
      </w:r>
    </w:p>
    <w:p>
      <w:pPr>
        <w:spacing w:line="480" w:lineRule="auto"/>
        <w:jc w:val="both"/>
      </w:pPr>
      <w:r>
        <w:t>The target population for this study comprises primary school children (ages 5–12) within the Ilorin Metropolis, Kwara State, Nigeria, who have been formally diagnosed with dyslexia or exhibit significant symptoms of specific reading difficulties. A secondary population includes special education teachers, therapists, and parents who are actively involved in the educational remediation of these children.</w:t>
      </w:r>
    </w:p>
    <w:p>
      <w:pPr>
        <w:spacing w:line="480" w:lineRule="auto"/>
        <w:jc w:val="both"/>
      </w:pPr>
      <w:r>
        <w:t>A purposive sampling technique will be employed to select a representative sample size of 50 primary users (children with dyslexia) and 20 secondary users (10 educators/therapists and 10 parents). Purposive sampling is deemed appropriate as the study necessitates participants who meet specific inclusion criteria: children must exhibit documented phonological deficits and have access to an Android mobile device, while educators must be currently practicing within inclusive or special education settings. This targeted approach ensures that the empirical data collected accurately reflects the experiences and needs of the demographic for whom the software was explicitly engineered.</w:t>
      </w:r>
    </w:p>
    <w:p>
      <w:pPr>
        <w:spacing w:before="240" w:after="120"/>
      </w:pPr>
      <w:r>
        <w:rPr>
          <w:b/>
        </w:rPr>
        <w:t>Research Instrument</w:t>
      </w:r>
    </w:p>
    <w:p>
      <w:pPr>
        <w:spacing w:line="480" w:lineRule="auto"/>
        <w:jc w:val="both"/>
      </w:pPr>
      <w:r>
        <w:t>Data collection will be facilitated through three primary instruments: an adapted Literacy Performance Test (LPT), a System Usability Scale (SUS) questionnaire, and backend application analytics.</w:t>
      </w:r>
    </w:p>
    <w:p/>
    <w:p>
      <w:pPr>
        <w:spacing w:line="480" w:lineRule="auto"/>
      </w:pPr>
      <w:r/>
      <w:r>
        <w:rPr>
          <w:b/>
        </w:rPr>
        <w:t>Literary Performance Test (LPT):</w:t>
      </w:r>
      <w:r>
        <w:t xml:space="preserve"> The LPT will serve as both the pre-test and post-test instrument. It comprises a standardized set of interactive tasks designed to measure foundational literacy metrics, specifically phoneme-grapheme recognition, reading fluency, and visual comprehension. The LPT will be administered digitally to accurately record response times and error rates.</w:t>
      </w:r>
    </w:p>
    <w:p/>
    <w:p>
      <w:pPr>
        <w:spacing w:line="480" w:lineRule="auto"/>
      </w:pPr>
      <w:r/>
      <w:r>
        <w:rPr>
          <w:b/>
        </w:rPr>
        <w:t>System Usability Scale (SUS) Questionnaire:</w:t>
      </w:r>
      <w:r>
        <w:t xml:space="preserve"> The SUS is a highly reliable, 10-item Likert-scale questionnaire utilized to assess the subjective usability and accessibility of the software. Two distinct versions of the SUS will be administered: one adapted for the secondary users to evaluate the administrative backend, and a simplified, pictorial version for the primary users to evaluate the mobile application interface.</w:t>
      </w:r>
    </w:p>
    <w:p/>
    <w:p>
      <w:pPr>
        <w:spacing w:line="480" w:lineRule="auto"/>
      </w:pPr>
      <w:r/>
      <w:r>
        <w:rPr>
          <w:b/>
        </w:rPr>
        <w:t>Backend Application Analytics:</w:t>
      </w:r>
      <w:r>
        <w:t xml:space="preserve"> Objective, quantitative data regarding user engagement will be automatically collected by the NestJS backend system. This includes metrics such as time-on-task, module completion rates, frequency of app usage, and the accumulation of gamified rewards (Points and Naira Icons).</w:t>
      </w:r>
    </w:p>
    <w:p>
      <w:pPr>
        <w:spacing w:before="240" w:after="120"/>
      </w:pPr>
      <w:r>
        <w:rPr>
          <w:b/>
        </w:rPr>
        <w:t>Validation and Reliability of the Research Instruments</w:t>
      </w:r>
    </w:p>
    <w:p>
      <w:pPr>
        <w:spacing w:line="480" w:lineRule="auto"/>
        <w:jc w:val="both"/>
      </w:pPr>
      <w:r>
        <w:t>To ensure the validity of the Research Instruments, the adapted Literacy Performance Test and the SUS questionnaires will be subjected to face and content validation by a panel of three experts: two specialists in Special Education and one expert in Educational Technology from the University of Ilorin. The experts will evaluate the instruments for pedagogical relevance, clarity of instruction, and cultural appropriateness. Based on their critical feedback, necessary modifications will be integrated prior to the pilot study.</w:t>
      </w:r>
    </w:p>
    <w:p>
      <w:pPr>
        <w:spacing w:line="480" w:lineRule="auto"/>
        <w:jc w:val="both"/>
      </w:pPr>
      <w:r>
        <w:t>The reliability of the LPT and SUS questionnaires will be determined through a pilot test conducted with a small, non-participating sample of 10 children and 5 educators. The internal consistency of the instruments will be calculated using Cronbach's Alpha reliability coefficient. A reliability index of 0.75 or higher will be considered acceptable for the study, ensuring that the instruments consistently measure the intended variables across different testing periods.</w:t>
      </w:r>
    </w:p>
    <w:p>
      <w:pPr>
        <w:spacing w:before="240" w:after="120"/>
      </w:pPr>
      <w:r>
        <w:rPr>
          <w:b/>
        </w:rPr>
        <w:t>Procedure for Data Collection</w:t>
      </w:r>
    </w:p>
    <w:p>
      <w:pPr>
        <w:spacing w:line="480" w:lineRule="auto"/>
        <w:jc w:val="both"/>
      </w:pPr>
      <w:r>
        <w:t>The data collection process will be executed in three systematic phases spanning a six-week period:</w:t>
      </w:r>
    </w:p>
    <w:p/>
    <w:p>
      <w:pPr>
        <w:spacing w:line="480" w:lineRule="auto"/>
      </w:pPr>
      <w:r/>
      <w:r>
        <w:rPr>
          <w:b/>
        </w:rPr>
        <w:t>Phase I (Pre-Intervention):</w:t>
      </w:r>
      <w:r>
        <w:t xml:space="preserve"> Following the acquisition of informed consent from parents and institutional approval from participating schools, the pre-test (LPT) will be administered to the 50 primary users to establish a baseline literacy metric. Concurrently, secondary users will be provided with login credentials for the administrative backend and instructed on how to assign learning modules.</w:t>
      </w:r>
    </w:p>
    <w:p/>
    <w:p>
      <w:pPr>
        <w:spacing w:line="480" w:lineRule="auto"/>
      </w:pPr>
      <w:r/>
      <w:r>
        <w:rPr>
          <w:b/>
        </w:rPr>
        <w:t>Phase II (Intervention):</w:t>
      </w:r>
      <w:r>
        <w:t xml:space="preserve"> Over a consecutive four-week period, the primary users will engage with the mobile learning application. They will be required to utilize the app for a minimum of 30 minutes daily, progressing through the six multisensory modules (Tap the Sound, Trace the Letter, etc.). During this phase, backend analytics will continuously record engagement data and reward accumulation. Secondary users will utilize the dashboard to monitor progress and dynamically adjust module difficulty.</w:t>
      </w:r>
    </w:p>
    <w:p/>
    <w:p>
      <w:pPr>
        <w:spacing w:line="480" w:lineRule="auto"/>
      </w:pPr>
      <w:r/>
      <w:r>
        <w:rPr>
          <w:b/>
        </w:rPr>
        <w:t>Phase III (Post-Intervention):</w:t>
      </w:r>
      <w:r>
        <w:t xml:space="preserve"> At the conclusion of the four-week intervention, the post-test (LPT) will be administered to measure any significant changes in literacy metrics. Furthermore, both primary and secondary users will complete their respective System Usability Scale (SUS) questionnaires to provide subjective feedback on the technological platform.</w:t>
      </w:r>
    </w:p>
    <w:p>
      <w:pPr>
        <w:spacing w:before="240" w:after="120"/>
      </w:pPr>
      <w:r>
        <w:rPr>
          <w:b/>
        </w:rPr>
        <w:t>Data Analysis Techniques</w:t>
      </w:r>
    </w:p>
    <w:p>
      <w:pPr>
        <w:spacing w:line="480" w:lineRule="auto"/>
        <w:jc w:val="both"/>
      </w:pPr>
      <w:r>
        <w:t>The empirical data collected will be analyzed using both descriptive and inferential statistical methods via the Statistical Package for the Social Sciences (SPSS).</w:t>
      </w:r>
    </w:p>
    <w:p/>
    <w:p>
      <w:pPr>
        <w:spacing w:line="480" w:lineRule="auto"/>
      </w:pPr>
      <w:r>
        <w:t>Descriptive statistics, including means, standard deviations, and frequency distributions, will be utilized to summarize the demographic data, backend analytics (time-on-task, completion rates), and the SUS usability scores.</w:t>
      </w:r>
    </w:p>
    <w:p/>
    <w:p>
      <w:pPr>
        <w:spacing w:line="480" w:lineRule="auto"/>
      </w:pPr>
      <w:r>
        <w:t>Inferential statistics, specifically the Paired Samples T-test, will be employed to test the null hypotheses ($H_{01}$ and $H_{02}$), comparing the mean differences between the pre-test and post-test literacy scores to determine the statistical significance of the intervention at the 0.05 alpha level. Independent Samples T-tests will be utilized to analyze variations in usability perceptions among different subsets of secondary users ($H_{03}$).</w:t>
      </w:r>
    </w:p>
    <w:p>
      <w:pPr>
        <w:spacing w:before="240" w:after="120"/>
      </w:pPr>
      <w:r>
        <w:rPr>
          <w:b/>
        </w:rPr>
        <w:t>System Architecture Design</w:t>
      </w:r>
    </w:p>
    <w:p>
      <w:pPr>
        <w:spacing w:line="480" w:lineRule="auto"/>
        <w:jc w:val="both"/>
      </w:pPr>
      <w:r>
        <w:t>To ensure high performance, real-time data synchronization, and cross-platform compatibility, the educational software is engineered using a robust four-tier architectural model. This modern architecture guarantees a seamless user experience while maintaining stringent security protocols for the administrative backend. The four architectural tiers comprise the Presentation Tier (Mobile Frontend), the Administrative Tier (Web Frontend), the Application Logic Tier (Backend API), and the Data Persistence Tier (Database).</w:t>
      </w:r>
    </w:p>
    <w:p>
      <w:pPr>
        <w:spacing w:line="480" w:lineRule="auto"/>
        <w:jc w:val="both"/>
      </w:pPr>
      <w:r/>
      <w:r>
        <w:rPr>
          <w:b/>
        </w:rPr>
        <w:t>1. The Presentation Tier (Mobile Application Frontend)</w:t>
      </w:r>
      <w:r/>
    </w:p>
    <w:p>
      <w:pPr>
        <w:spacing w:line="480" w:lineRule="auto"/>
        <w:jc w:val="both"/>
      </w:pPr>
      <w:r>
        <w:t>The user-facing mobile application is developed using the Flutter (Dart) framework. Flutter was selected due to its capacity for high-performance, native-compiled applications across both Android and iOS platforms from a single codebase. The presentation tier is explicitly designed following universal accessibility principles to accommodate the cognitive needs of dyslexic users. The user interface (UI) features a distraction-free layout, utilizing the OpenDyslexic font to mitigate visual crowding, and employs a high-contrast, soft-pastel color palette (e.g., Soft Cream #FDFBF7, Pastel Green #E8F5E9) to reduce visual stress. The presentation tier handles all local state management, touch-event processing (for the tracing modules), and the triggering of auditory outputs via local device APIs.</w:t>
      </w:r>
    </w:p>
    <w:p>
      <w:pPr>
        <w:spacing w:line="480" w:lineRule="auto"/>
        <w:jc w:val="both"/>
      </w:pPr>
      <w:r/>
      <w:r>
        <w:rPr>
          <w:b/>
        </w:rPr>
        <w:t>2. The Administrative Tier (Web Dashboard Frontend)</w:t>
      </w:r>
      <w:r/>
    </w:p>
    <w:p>
      <w:pPr>
        <w:spacing w:line="480" w:lineRule="auto"/>
        <w:jc w:val="both"/>
      </w:pPr>
      <w:r>
        <w:t>The administrative portal is a secure, web-based React (or AdminJS) application designed for secondary users (educators and parents). This tier provides a graphical user interface (GUI) for the dynamic management of the platform. Through secure, role-based authentication, administrators access a central dashboard to monitor longitudinal student performance data, curate specific learning modules, and update the multimedia repository. The web frontend communicates asynchronously with the backend API to push real-time content updates directly to the mobile application without necessitating App Store updates.</w:t>
      </w:r>
    </w:p>
    <w:p>
      <w:pPr>
        <w:spacing w:line="480" w:lineRule="auto"/>
        <w:jc w:val="both"/>
      </w:pPr>
      <w:r/>
      <w:r>
        <w:rPr>
          <w:b/>
        </w:rPr>
        <w:t>3. The Application Logic Tier (Backend API)</w:t>
      </w:r>
      <w:r/>
    </w:p>
    <w:p>
      <w:pPr>
        <w:spacing w:line="480" w:lineRule="auto"/>
        <w:jc w:val="both"/>
      </w:pPr>
      <w:r>
        <w:t>The core computational logic and data routing are handled by a RESTful API engineered using the NestJS (Node.js) framework. NestJS provides a scalable, modular architecture ideal for handling high-frequency, concurrent requests from multiple mobile clients. This tier processes all authentication requests, manages the business logic for the gamified reward system (calculating point allocations and unlocking Naira icons based on module completion), and orchestrates the seamless transfer of multimedia assets from cloud storage to the mobile client.</w:t>
      </w:r>
    </w:p>
    <w:p>
      <w:pPr>
        <w:spacing w:line="480" w:lineRule="auto"/>
        <w:jc w:val="both"/>
      </w:pPr>
      <w:r/>
      <w:r>
        <w:rPr>
          <w:b/>
        </w:rPr>
        <w:t>4. The Data Persistence Tier (Database and File Storage)</w:t>
      </w:r>
      <w:r/>
    </w:p>
    <w:p>
      <w:pPr>
        <w:spacing w:line="480" w:lineRule="auto"/>
        <w:jc w:val="both"/>
      </w:pPr>
      <w:r>
        <w:t>Data storage is bifurcated to optimize retrieval speeds and system performance. Relational and document-based data—such as user profiles, performance metrics, module configurations, and localized reward tallies—are stored securely in a MongoDB (NoSQL) database hosted on MongoDB Atlas. This flexible schema design easily accommodates the varying data structures generated by the diverse interactive modules. Concurrently, heavy multimedia assets (high-fidelity audio prompts and module illustrations) are hosted on Firebase Storage or Cloudinary, ensuring rapid, low-latency content delivery to the mobile application via robust Content Delivery Networks (CDNs).</w:t>
      </w:r>
    </w:p>
    <w:p>
      <w:pPr>
        <w:spacing w:before="240" w:after="120"/>
      </w:pPr>
      <w:r>
        <w:rPr>
          <w:b/>
        </w:rPr>
        <w:t>Detailed Workflow &amp; Core Learning Modules</w:t>
      </w:r>
    </w:p>
    <w:p>
      <w:pPr>
        <w:spacing w:line="480" w:lineRule="auto"/>
        <w:jc w:val="both"/>
      </w:pPr>
      <w:r>
        <w:t>The mobile application is meticulously structured around six core interactive learning modules, each corresponding to a specific pedagogical objective derived from the Orton-Gillingham multisensory approach. The overarching workflow is governed by a central "Learning Hub" dashboard.</w:t>
      </w:r>
    </w:p>
    <w:p/>
    <w:p>
      <w:pPr>
        <w:spacing w:line="480" w:lineRule="auto"/>
      </w:pPr>
      <w:r>
        <w:t xml:space="preserve">  </w:t>
      </w:r>
      <w:r>
        <w:rPr>
          <w:b/>
        </w:rPr>
        <w:t>Module 1: Tap the Sound (Auditory-Visual Mapping):</w:t>
      </w:r>
      <w:r>
        <w:t xml:space="preserve"> This module trains phoneme-grapheme correlation. The user interface displays a target letter or word alongside an auditory prompt ("Tap the letter that says 'Ah'"). The child must select the corresponding visual symbol. Immediate audio-visual feedback is provided upon selection, reinforcing accurate neuro-linguistic pathways.</w:t>
      </w:r>
    </w:p>
    <w:p/>
    <w:p>
      <w:pPr>
        <w:spacing w:line="480" w:lineRule="auto"/>
      </w:pPr>
      <w:r>
        <w:t xml:space="preserve">  </w:t>
      </w:r>
      <w:r>
        <w:rPr>
          <w:b/>
        </w:rPr>
        <w:t>Module 2: Trace the Letter (Kinesthetic-Tactile Mapping):</w:t>
      </w:r>
      <w:r>
        <w:t xml:space="preserve"> Focusing on fine motor skill development and muscle memory, this module presents a dotted outline of a letter. The child utilizes touch gestures to trace the correct path. The application employs collision-detection algorithms to ensure the child adheres to the proper stroke sequence, immediately correcting deviations to prevent the automatization of incorrect writing habits.</w:t>
      </w:r>
    </w:p>
    <w:p/>
    <w:p>
      <w:pPr>
        <w:spacing w:line="480" w:lineRule="auto"/>
      </w:pPr>
      <w:r>
        <w:t xml:space="preserve">  </w:t>
      </w:r>
      <w:r>
        <w:rPr>
          <w:b/>
        </w:rPr>
        <w:t>Module 3: Match Word to Picture (Visual Comprehension):</w:t>
      </w:r>
      <w:r>
        <w:t xml:space="preserve"> Designed to enhance reading recognition, this module presents a focal image (e.g., a "Cat") alongside multiple textual options. The child must process the text and map it to the visual representation.</w:t>
      </w:r>
    </w:p>
    <w:p/>
    <w:p>
      <w:pPr>
        <w:spacing w:line="480" w:lineRule="auto"/>
      </w:pPr>
      <w:r>
        <w:t xml:space="preserve">  </w:t>
      </w:r>
      <w:r>
        <w:rPr>
          <w:b/>
        </w:rPr>
        <w:t>Module 4: Phonics Puzzle Game (Structural Decoding):</w:t>
      </w:r>
      <w:r>
        <w:t xml:space="preserve"> Utilizing a drag-and-drop framework, this module requires the child to physically manipulate syllables or individual letter tiles into designated drop zones to construct complete words. This kinesthetic interaction reinforces the structural composition of language.</w:t>
      </w:r>
    </w:p>
    <w:p/>
    <w:p>
      <w:pPr>
        <w:spacing w:line="480" w:lineRule="auto"/>
      </w:pPr>
      <w:r>
        <w:t xml:space="preserve">  </w:t>
      </w:r>
      <w:r>
        <w:rPr>
          <w:b/>
        </w:rPr>
        <w:t>Module 5: Read-Along Story Mode (Reading Fluency):</w:t>
      </w:r>
      <w:r>
        <w:t xml:space="preserve"> This module features narrated digital stories. To assist with visual tracking and prevent text skipping—a common difficulty in dyslexia—the application employs active text highlighting, synchronizing the visual illumination of each word exactly as it is spoken by the audio narrator.</w:t>
      </w:r>
    </w:p>
    <w:p/>
    <w:p>
      <w:pPr>
        <w:spacing w:line="480" w:lineRule="auto"/>
      </w:pPr>
      <w:r>
        <w:t xml:space="preserve">  </w:t>
      </w:r>
      <w:r>
        <w:rPr>
          <w:b/>
        </w:rPr>
        <w:t>Module 6: Match Alphabet with Color (Pattern Recognition):</w:t>
      </w:r>
      <w:r>
        <w:t xml:space="preserve"> To enhance visual memory structures, the child is tasked with matching specific alphabetic characters to corresponding color cards, strengthening secondary cognitive processing pathways.</w:t>
      </w:r>
    </w:p>
    <w:p>
      <w:pPr>
        <w:spacing w:line="480" w:lineRule="auto"/>
        <w:jc w:val="both"/>
      </w:pPr>
      <w:r/>
      <w:r>
        <w:rPr>
          <w:b/>
        </w:rPr>
        <w:t>The Gamified Reward Workflow</w:t>
      </w:r>
      <w:r/>
    </w:p>
    <w:p>
      <w:pPr>
        <w:spacing w:line="480" w:lineRule="auto"/>
        <w:jc w:val="both"/>
      </w:pPr>
      <w:r>
        <w:t>Upon the successful completion of any module, a dynamic "Success/Reward Modal Overlay" intercepts the screen. This overlay provides immediate positive reinforcement ("FANTASTIC! 🎉") and visualizes the acquisition of localized rewards (Points and Naira Icons). The backend API updates the user's persistent profile, and a progressive visual tally on the main dashboard motivates the child to engage in sustained learning sessions.</w:t>
      </w:r>
    </w:p>
    <w:p>
      <w:pPr>
        <w:spacing w:before="240" w:after="120"/>
      </w:pPr>
      <w:r>
        <w:rPr>
          <w:b/>
        </w:rPr>
        <w:t>Technology Stack and Development Timeline</w:t>
      </w:r>
    </w:p>
    <w:p>
      <w:pPr>
        <w:spacing w:line="480" w:lineRule="auto"/>
        <w:jc w:val="both"/>
      </w:pPr>
      <w:r>
        <w:t>The project will be executed over an intensive seven-week development lifecycle, utilizing the following deployment architecture:</w:t>
      </w:r>
    </w:p>
    <w:p/>
    <w:p>
      <w:pPr>
        <w:spacing w:line="480" w:lineRule="auto"/>
      </w:pPr>
      <w:r>
        <w:t xml:space="preserve">  </w:t>
      </w:r>
      <w:r>
        <w:rPr>
          <w:b/>
        </w:rPr>
        <w:t>Hosting Infrastructure:</w:t>
      </w:r>
      <w:r>
        <w:t xml:space="preserve"> The Admin Panel will be deployed via Vercel, ensuring rapid global content delivery. The Backend API will be hosted on Render or Railway for continuous deployment capabilities, while data will be secured on MongoDB Atlas.</w:t>
      </w:r>
    </w:p>
    <w:p>
      <w:pPr>
        <w:spacing w:line="480" w:lineRule="auto"/>
        <w:jc w:val="both"/>
      </w:pPr>
      <w:r/>
      <w:r>
        <w:rPr>
          <w:b/>
        </w:rPr>
        <w:t>Development Phases:</w:t>
      </w:r>
      <w:r/>
    </w:p>
    <w:p/>
    <w:p>
      <w:pPr>
        <w:spacing w:line="480" w:lineRule="auto"/>
      </w:pPr>
      <w:r>
        <w:t xml:space="preserve"> </w:t>
      </w:r>
      <w:r>
        <w:rPr>
          <w:b/>
        </w:rPr>
        <w:t>Week 1 (Planning &amp; Design):</w:t>
      </w:r>
      <w:r>
        <w:t xml:space="preserve"> Finalization of UI/UX wireframing, pedagogical requirement validation, and the preparation of high-fidelity mockups for both the mobile app and admin dashboard.</w:t>
      </w:r>
    </w:p>
    <w:p/>
    <w:p>
      <w:pPr>
        <w:spacing w:line="480" w:lineRule="auto"/>
      </w:pPr>
      <w:r>
        <w:t xml:space="preserve"> </w:t>
      </w:r>
      <w:r>
        <w:rPr>
          <w:b/>
        </w:rPr>
        <w:t>Week 2–3 (Backend and Database Architecture):</w:t>
      </w:r>
      <w:r>
        <w:t xml:space="preserve"> Initialization of the NestJS project, construction of the MongoDB schemas, and the coding of secure RESTful API routes.</w:t>
      </w:r>
    </w:p>
    <w:p/>
    <w:p>
      <w:pPr>
        <w:spacing w:line="480" w:lineRule="auto"/>
      </w:pPr>
      <w:r>
        <w:t xml:space="preserve"> </w:t>
      </w:r>
      <w:r>
        <w:rPr>
          <w:b/>
        </w:rPr>
        <w:t>Week 4–6 (Mobile App and Core Feature Implementation):</w:t>
      </w:r>
      <w:r>
        <w:t xml:space="preserve"> Rigorous programming of the Flutter frontend, integration of the six interactive multisensory modules, and the algorithmic implementation of the gamified reward system.</w:t>
      </w:r>
    </w:p>
    <w:p/>
    <w:p>
      <w:pPr>
        <w:spacing w:line="480" w:lineRule="auto"/>
      </w:pPr>
      <w:r>
        <w:t xml:space="preserve"> </w:t>
      </w:r>
      <w:r>
        <w:rPr>
          <w:b/>
        </w:rPr>
        <w:t>Week 7 (Testing, Evaluation, &amp; Launch):</w:t>
      </w:r>
      <w:r>
        <w:t xml:space="preserve"> Execution of the pre-experimental usability testing, integration of user feedback, final system deployment, and the compilation of all academic documentation for defense.</w:t>
      </w:r>
    </w:p>
    <w:p>
      <w:r>
        <w:br w:type="page"/>
      </w:r>
    </w:p>
    <w:p>
      <w:pPr>
        <w:jc w:val="center"/>
      </w:pPr>
      <w:r>
        <w:rPr>
          <w:b/>
        </w:rPr>
        <w:t>REFERENCES</w:t>
      </w:r>
    </w:p>
    <w:p>
      <w:pPr>
        <w:spacing w:line="480" w:lineRule="auto"/>
        <w:jc w:val="both"/>
      </w:pPr>
      <w:r>
        <w:t>Baddeley, A. (2003). Working memory and language: an overview. *Journal of Communication Disorders*, 36(3), 189-208.</w:t>
      </w:r>
    </w:p>
    <w:p>
      <w:pPr>
        <w:spacing w:line="480" w:lineRule="auto"/>
        <w:jc w:val="both"/>
      </w:pPr>
      <w:r>
        <w:t>Fletcher, J. M., Lyon, G. R., Fuchs, L. S., &amp; Barnes, M. A. (2018). *Learning disabilities: From identification to intervention*. Guilford Publications.</w:t>
      </w:r>
    </w:p>
    <w:p>
      <w:pPr>
        <w:spacing w:line="480" w:lineRule="auto"/>
        <w:jc w:val="both"/>
      </w:pPr>
      <w:r>
        <w:t>Mayer, R. E. (2014). *The Cambridge handbook of multimedia learning*. Cambridge University Press.</w:t>
      </w:r>
    </w:p>
    <w:p>
      <w:pPr>
        <w:spacing w:line="480" w:lineRule="auto"/>
        <w:jc w:val="both"/>
      </w:pPr>
      <w:r>
        <w:t>Orton, S. T. (1937). *Reading, writing and speech problems in children*. WW Norton &amp; Company.</w:t>
      </w:r>
    </w:p>
    <w:p>
      <w:pPr>
        <w:spacing w:line="480" w:lineRule="auto"/>
        <w:jc w:val="both"/>
      </w:pPr>
      <w:r>
        <w:t>Shaywitz, S. E. (1998). Dyslexia. *New England Journal of Medicine*, 338(5), 307-312.</w:t>
      </w:r>
    </w:p>
    <w:p>
      <w:pPr>
        <w:spacing w:line="480" w:lineRule="auto"/>
        <w:jc w:val="both"/>
      </w:pPr>
      <w:r>
        <w:t>Snowling, M. J. (2000). *Dyslexia*. Blackwell Publishing.</w:t>
      </w:r>
    </w:p>
    <w:p>
      <w:pPr>
        <w:spacing w:line="480" w:lineRule="auto"/>
        <w:jc w:val="both"/>
      </w:pPr>
      <w:r>
        <w:t>Vellutino, F. R., Fletcher, J. M., Snowling, M. J., &amp; Scanlon, D. M. (2004). Specific reading disability (dyslexia): what have we learned in the past four decades?. *Journal of Child Psychology and Psychiatry*, 45(1), 2-40.</w:t>
      </w:r>
    </w:p>
    <w:sectPr w:rsidR="00C20340" w:rsidRPr="00F87F65" w:rsidSect="00376BEF">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6FFBB4" w14:textId="77777777" w:rsidR="00C3122E" w:rsidRPr="00FF767C" w:rsidRDefault="00C3122E" w:rsidP="00B23AFB">
      <w:r w:rsidRPr="00FF767C">
        <w:separator/>
      </w:r>
    </w:p>
  </w:endnote>
  <w:endnote w:type="continuationSeparator" w:id="0">
    <w:p w14:paraId="55FDCFE8" w14:textId="77777777" w:rsidR="00C3122E" w:rsidRPr="00FF767C" w:rsidRDefault="00C3122E" w:rsidP="00B23AFB">
      <w:r w:rsidRPr="00FF767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65307419"/>
      <w:docPartObj>
        <w:docPartGallery w:val="Page Numbers (Bottom of Page)"/>
        <w:docPartUnique/>
      </w:docPartObj>
    </w:sdtPr>
    <w:sdtContent>
      <w:p w14:paraId="01AA6E76" w14:textId="6B7395E3" w:rsidR="00B23AFB" w:rsidRPr="00FF767C" w:rsidRDefault="00B23AFB">
        <w:pPr>
          <w:pStyle w:val="Footer"/>
          <w:jc w:val="center"/>
        </w:pPr>
        <w:r w:rsidRPr="00FF767C">
          <w:fldChar w:fldCharType="begin"/>
        </w:r>
        <w:r w:rsidRPr="00FF767C">
          <w:instrText xml:space="preserve"> PAGE   \* MERGEFORMAT </w:instrText>
        </w:r>
        <w:r w:rsidRPr="00FF767C">
          <w:fldChar w:fldCharType="separate"/>
        </w:r>
        <w:r w:rsidRPr="00FF767C">
          <w:t>2</w:t>
        </w:r>
        <w:r w:rsidRPr="00FF767C">
          <w:fldChar w:fldCharType="end"/>
        </w:r>
      </w:p>
    </w:sdtContent>
  </w:sdt>
  <w:p w14:paraId="6E088E52" w14:textId="77777777" w:rsidR="00B23AFB" w:rsidRPr="00FF767C" w:rsidRDefault="00B23A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37FCD4" w14:textId="77777777" w:rsidR="00C3122E" w:rsidRPr="00FF767C" w:rsidRDefault="00C3122E" w:rsidP="00B23AFB">
      <w:r w:rsidRPr="00FF767C">
        <w:separator/>
      </w:r>
    </w:p>
  </w:footnote>
  <w:footnote w:type="continuationSeparator" w:id="0">
    <w:p w14:paraId="3CF1C411" w14:textId="77777777" w:rsidR="00C3122E" w:rsidRPr="00FF767C" w:rsidRDefault="00C3122E" w:rsidP="00B23AFB">
      <w:r w:rsidRPr="00FF767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7600821C">
      <w:start w:val="1"/>
      <w:numFmt w:val="bullet"/>
      <w:lvlText w:val="•"/>
      <w:lvlJc w:val="left"/>
      <w:pPr>
        <w:tabs>
          <w:tab w:val="num" w:pos="180"/>
        </w:tabs>
        <w:ind w:left="180" w:hanging="180"/>
      </w:pPr>
      <w:rPr>
        <w:rFonts w:ascii="Symbol" w:eastAsia="Symbol" w:hAnsi="Symbol" w:cs="Symbol"/>
      </w:rPr>
    </w:lvl>
    <w:lvl w:ilvl="1" w:tplc="02AE3954">
      <w:start w:val="1"/>
      <w:numFmt w:val="bullet"/>
      <w:lvlText w:val="•"/>
      <w:lvlJc w:val="left"/>
      <w:pPr>
        <w:tabs>
          <w:tab w:val="num" w:pos="540"/>
        </w:tabs>
        <w:ind w:left="540" w:hanging="180"/>
      </w:pPr>
      <w:rPr>
        <w:rFonts w:ascii="Symbol" w:eastAsia="Symbol" w:hAnsi="Symbol" w:cs="Symbol"/>
      </w:rPr>
    </w:lvl>
    <w:lvl w:ilvl="2" w:tplc="9410CC8E">
      <w:start w:val="1"/>
      <w:numFmt w:val="bullet"/>
      <w:lvlText w:val="•"/>
      <w:lvlJc w:val="left"/>
      <w:pPr>
        <w:tabs>
          <w:tab w:val="num" w:pos="900"/>
        </w:tabs>
        <w:ind w:left="900" w:hanging="180"/>
      </w:pPr>
      <w:rPr>
        <w:rFonts w:ascii="Symbol" w:eastAsia="Symbol" w:hAnsi="Symbol" w:cs="Symbol"/>
      </w:rPr>
    </w:lvl>
    <w:lvl w:ilvl="3" w:tplc="0DD4BD78">
      <w:start w:val="1"/>
      <w:numFmt w:val="bullet"/>
      <w:lvlText w:val="•"/>
      <w:lvlJc w:val="left"/>
      <w:pPr>
        <w:tabs>
          <w:tab w:val="num" w:pos="1260"/>
        </w:tabs>
        <w:ind w:left="1260" w:hanging="180"/>
      </w:pPr>
      <w:rPr>
        <w:rFonts w:ascii="Symbol" w:eastAsia="Symbol" w:hAnsi="Symbol" w:cs="Symbol"/>
      </w:rPr>
    </w:lvl>
    <w:lvl w:ilvl="4" w:tplc="44A4C790">
      <w:start w:val="1"/>
      <w:numFmt w:val="bullet"/>
      <w:lvlText w:val="•"/>
      <w:lvlJc w:val="left"/>
      <w:pPr>
        <w:tabs>
          <w:tab w:val="num" w:pos="1620"/>
        </w:tabs>
        <w:ind w:left="1620" w:hanging="180"/>
      </w:pPr>
      <w:rPr>
        <w:rFonts w:ascii="Symbol" w:eastAsia="Symbol" w:hAnsi="Symbol" w:cs="Symbol"/>
      </w:rPr>
    </w:lvl>
    <w:lvl w:ilvl="5" w:tplc="6A0EF552">
      <w:start w:val="1"/>
      <w:numFmt w:val="bullet"/>
      <w:lvlText w:val="•"/>
      <w:lvlJc w:val="left"/>
      <w:pPr>
        <w:tabs>
          <w:tab w:val="num" w:pos="1980"/>
        </w:tabs>
        <w:ind w:left="1980" w:hanging="180"/>
      </w:pPr>
      <w:rPr>
        <w:rFonts w:ascii="Symbol" w:eastAsia="Symbol" w:hAnsi="Symbol" w:cs="Symbol"/>
      </w:rPr>
    </w:lvl>
    <w:lvl w:ilvl="6" w:tplc="F3523E96">
      <w:start w:val="1"/>
      <w:numFmt w:val="bullet"/>
      <w:lvlText w:val="•"/>
      <w:lvlJc w:val="left"/>
      <w:pPr>
        <w:tabs>
          <w:tab w:val="num" w:pos="2340"/>
        </w:tabs>
        <w:ind w:left="2340" w:hanging="180"/>
      </w:pPr>
      <w:rPr>
        <w:rFonts w:ascii="Symbol" w:eastAsia="Symbol" w:hAnsi="Symbol" w:cs="Symbol"/>
      </w:rPr>
    </w:lvl>
    <w:lvl w:ilvl="7" w:tplc="8E3030D0">
      <w:start w:val="1"/>
      <w:numFmt w:val="bullet"/>
      <w:lvlText w:val="•"/>
      <w:lvlJc w:val="left"/>
      <w:pPr>
        <w:tabs>
          <w:tab w:val="num" w:pos="2700"/>
        </w:tabs>
        <w:ind w:left="2700" w:hanging="180"/>
      </w:pPr>
      <w:rPr>
        <w:rFonts w:ascii="Symbol" w:eastAsia="Symbol" w:hAnsi="Symbol" w:cs="Symbol"/>
      </w:rPr>
    </w:lvl>
    <w:lvl w:ilvl="8" w:tplc="260ADA9C">
      <w:start w:val="1"/>
      <w:numFmt w:val="bullet"/>
      <w:lvlText w:val="•"/>
      <w:lvlJc w:val="left"/>
      <w:pPr>
        <w:tabs>
          <w:tab w:val="num" w:pos="3060"/>
        </w:tabs>
        <w:ind w:left="3060" w:hanging="180"/>
      </w:pPr>
      <w:rPr>
        <w:rFonts w:ascii="Symbol" w:eastAsia="Symbol" w:hAnsi="Symbol" w:cs="Symbol"/>
      </w:rPr>
    </w:lvl>
  </w:abstractNum>
  <w:abstractNum w:abstractNumId="1" w15:restartNumberingAfterBreak="0">
    <w:nsid w:val="00000002"/>
    <w:multiLevelType w:val="hybridMultilevel"/>
    <w:tmpl w:val="00000002"/>
    <w:lvl w:ilvl="0" w:tplc="FAC61848">
      <w:start w:val="1"/>
      <w:numFmt w:val="bullet"/>
      <w:lvlText w:val="•"/>
      <w:lvlJc w:val="left"/>
      <w:pPr>
        <w:tabs>
          <w:tab w:val="num" w:pos="180"/>
        </w:tabs>
        <w:ind w:left="180" w:hanging="180"/>
      </w:pPr>
      <w:rPr>
        <w:rFonts w:ascii="Symbol" w:eastAsia="Symbol" w:hAnsi="Symbol" w:cs="Symbol"/>
      </w:rPr>
    </w:lvl>
    <w:lvl w:ilvl="1" w:tplc="FAA679FC">
      <w:start w:val="1"/>
      <w:numFmt w:val="bullet"/>
      <w:lvlText w:val="•"/>
      <w:lvlJc w:val="left"/>
      <w:pPr>
        <w:tabs>
          <w:tab w:val="num" w:pos="540"/>
        </w:tabs>
        <w:ind w:left="540" w:hanging="180"/>
      </w:pPr>
      <w:rPr>
        <w:rFonts w:ascii="Symbol" w:eastAsia="Symbol" w:hAnsi="Symbol" w:cs="Symbol"/>
      </w:rPr>
    </w:lvl>
    <w:lvl w:ilvl="2" w:tplc="417C88F4">
      <w:start w:val="1"/>
      <w:numFmt w:val="bullet"/>
      <w:lvlText w:val="•"/>
      <w:lvlJc w:val="left"/>
      <w:pPr>
        <w:tabs>
          <w:tab w:val="num" w:pos="900"/>
        </w:tabs>
        <w:ind w:left="900" w:hanging="180"/>
      </w:pPr>
      <w:rPr>
        <w:rFonts w:ascii="Symbol" w:eastAsia="Symbol" w:hAnsi="Symbol" w:cs="Symbol"/>
      </w:rPr>
    </w:lvl>
    <w:lvl w:ilvl="3" w:tplc="86B2CE82">
      <w:start w:val="1"/>
      <w:numFmt w:val="bullet"/>
      <w:lvlText w:val="•"/>
      <w:lvlJc w:val="left"/>
      <w:pPr>
        <w:tabs>
          <w:tab w:val="num" w:pos="1260"/>
        </w:tabs>
        <w:ind w:left="1260" w:hanging="180"/>
      </w:pPr>
      <w:rPr>
        <w:rFonts w:ascii="Symbol" w:eastAsia="Symbol" w:hAnsi="Symbol" w:cs="Symbol"/>
      </w:rPr>
    </w:lvl>
    <w:lvl w:ilvl="4" w:tplc="0B2CF1FA">
      <w:start w:val="1"/>
      <w:numFmt w:val="bullet"/>
      <w:lvlText w:val="•"/>
      <w:lvlJc w:val="left"/>
      <w:pPr>
        <w:tabs>
          <w:tab w:val="num" w:pos="1620"/>
        </w:tabs>
        <w:ind w:left="1620" w:hanging="180"/>
      </w:pPr>
      <w:rPr>
        <w:rFonts w:ascii="Symbol" w:eastAsia="Symbol" w:hAnsi="Symbol" w:cs="Symbol"/>
      </w:rPr>
    </w:lvl>
    <w:lvl w:ilvl="5" w:tplc="A43E7064">
      <w:start w:val="1"/>
      <w:numFmt w:val="bullet"/>
      <w:lvlText w:val="•"/>
      <w:lvlJc w:val="left"/>
      <w:pPr>
        <w:tabs>
          <w:tab w:val="num" w:pos="1980"/>
        </w:tabs>
        <w:ind w:left="1980" w:hanging="180"/>
      </w:pPr>
      <w:rPr>
        <w:rFonts w:ascii="Symbol" w:eastAsia="Symbol" w:hAnsi="Symbol" w:cs="Symbol"/>
      </w:rPr>
    </w:lvl>
    <w:lvl w:ilvl="6" w:tplc="1A521D34">
      <w:start w:val="1"/>
      <w:numFmt w:val="bullet"/>
      <w:lvlText w:val="•"/>
      <w:lvlJc w:val="left"/>
      <w:pPr>
        <w:tabs>
          <w:tab w:val="num" w:pos="2340"/>
        </w:tabs>
        <w:ind w:left="2340" w:hanging="180"/>
      </w:pPr>
      <w:rPr>
        <w:rFonts w:ascii="Symbol" w:eastAsia="Symbol" w:hAnsi="Symbol" w:cs="Symbol"/>
      </w:rPr>
    </w:lvl>
    <w:lvl w:ilvl="7" w:tplc="9CA26470">
      <w:start w:val="1"/>
      <w:numFmt w:val="bullet"/>
      <w:lvlText w:val="•"/>
      <w:lvlJc w:val="left"/>
      <w:pPr>
        <w:tabs>
          <w:tab w:val="num" w:pos="2700"/>
        </w:tabs>
        <w:ind w:left="2700" w:hanging="180"/>
      </w:pPr>
      <w:rPr>
        <w:rFonts w:ascii="Symbol" w:eastAsia="Symbol" w:hAnsi="Symbol" w:cs="Symbol"/>
      </w:rPr>
    </w:lvl>
    <w:lvl w:ilvl="8" w:tplc="ACEA180A">
      <w:start w:val="1"/>
      <w:numFmt w:val="bullet"/>
      <w:lvlText w:val="•"/>
      <w:lvlJc w:val="left"/>
      <w:pPr>
        <w:tabs>
          <w:tab w:val="num" w:pos="3060"/>
        </w:tabs>
        <w:ind w:left="3060" w:hanging="180"/>
      </w:pPr>
      <w:rPr>
        <w:rFonts w:ascii="Symbol" w:eastAsia="Symbol" w:hAnsi="Symbol" w:cs="Symbol"/>
      </w:rPr>
    </w:lvl>
  </w:abstractNum>
  <w:abstractNum w:abstractNumId="2" w15:restartNumberingAfterBreak="0">
    <w:nsid w:val="00000003"/>
    <w:multiLevelType w:val="hybridMultilevel"/>
    <w:tmpl w:val="00000003"/>
    <w:lvl w:ilvl="0" w:tplc="0B2AB0D2">
      <w:start w:val="1"/>
      <w:numFmt w:val="bullet"/>
      <w:lvlText w:val="•"/>
      <w:lvlJc w:val="left"/>
      <w:pPr>
        <w:tabs>
          <w:tab w:val="num" w:pos="180"/>
        </w:tabs>
        <w:ind w:left="180" w:hanging="180"/>
      </w:pPr>
      <w:rPr>
        <w:rFonts w:ascii="Symbol" w:eastAsia="Symbol" w:hAnsi="Symbol" w:cs="Symbol"/>
      </w:rPr>
    </w:lvl>
    <w:lvl w:ilvl="1" w:tplc="DB085036">
      <w:start w:val="1"/>
      <w:numFmt w:val="bullet"/>
      <w:lvlText w:val="•"/>
      <w:lvlJc w:val="left"/>
      <w:pPr>
        <w:tabs>
          <w:tab w:val="num" w:pos="540"/>
        </w:tabs>
        <w:ind w:left="540" w:hanging="180"/>
      </w:pPr>
      <w:rPr>
        <w:rFonts w:ascii="Symbol" w:eastAsia="Symbol" w:hAnsi="Symbol" w:cs="Symbol"/>
      </w:rPr>
    </w:lvl>
    <w:lvl w:ilvl="2" w:tplc="76E21D28">
      <w:start w:val="1"/>
      <w:numFmt w:val="bullet"/>
      <w:lvlText w:val="•"/>
      <w:lvlJc w:val="left"/>
      <w:pPr>
        <w:tabs>
          <w:tab w:val="num" w:pos="900"/>
        </w:tabs>
        <w:ind w:left="900" w:hanging="180"/>
      </w:pPr>
      <w:rPr>
        <w:rFonts w:ascii="Symbol" w:eastAsia="Symbol" w:hAnsi="Symbol" w:cs="Symbol"/>
      </w:rPr>
    </w:lvl>
    <w:lvl w:ilvl="3" w:tplc="F48886BC">
      <w:start w:val="1"/>
      <w:numFmt w:val="bullet"/>
      <w:lvlText w:val="•"/>
      <w:lvlJc w:val="left"/>
      <w:pPr>
        <w:tabs>
          <w:tab w:val="num" w:pos="1260"/>
        </w:tabs>
        <w:ind w:left="1260" w:hanging="180"/>
      </w:pPr>
      <w:rPr>
        <w:rFonts w:ascii="Symbol" w:eastAsia="Symbol" w:hAnsi="Symbol" w:cs="Symbol"/>
      </w:rPr>
    </w:lvl>
    <w:lvl w:ilvl="4" w:tplc="3E8AAABE">
      <w:start w:val="1"/>
      <w:numFmt w:val="bullet"/>
      <w:lvlText w:val="•"/>
      <w:lvlJc w:val="left"/>
      <w:pPr>
        <w:tabs>
          <w:tab w:val="num" w:pos="1620"/>
        </w:tabs>
        <w:ind w:left="1620" w:hanging="180"/>
      </w:pPr>
      <w:rPr>
        <w:rFonts w:ascii="Symbol" w:eastAsia="Symbol" w:hAnsi="Symbol" w:cs="Symbol"/>
      </w:rPr>
    </w:lvl>
    <w:lvl w:ilvl="5" w:tplc="DF14960A">
      <w:start w:val="1"/>
      <w:numFmt w:val="bullet"/>
      <w:lvlText w:val="•"/>
      <w:lvlJc w:val="left"/>
      <w:pPr>
        <w:tabs>
          <w:tab w:val="num" w:pos="1980"/>
        </w:tabs>
        <w:ind w:left="1980" w:hanging="180"/>
      </w:pPr>
      <w:rPr>
        <w:rFonts w:ascii="Symbol" w:eastAsia="Symbol" w:hAnsi="Symbol" w:cs="Symbol"/>
      </w:rPr>
    </w:lvl>
    <w:lvl w:ilvl="6" w:tplc="6192B5C8">
      <w:start w:val="1"/>
      <w:numFmt w:val="bullet"/>
      <w:lvlText w:val="•"/>
      <w:lvlJc w:val="left"/>
      <w:pPr>
        <w:tabs>
          <w:tab w:val="num" w:pos="2340"/>
        </w:tabs>
        <w:ind w:left="2340" w:hanging="180"/>
      </w:pPr>
      <w:rPr>
        <w:rFonts w:ascii="Symbol" w:eastAsia="Symbol" w:hAnsi="Symbol" w:cs="Symbol"/>
      </w:rPr>
    </w:lvl>
    <w:lvl w:ilvl="7" w:tplc="62F82C92">
      <w:start w:val="1"/>
      <w:numFmt w:val="bullet"/>
      <w:lvlText w:val="•"/>
      <w:lvlJc w:val="left"/>
      <w:pPr>
        <w:tabs>
          <w:tab w:val="num" w:pos="2700"/>
        </w:tabs>
        <w:ind w:left="2700" w:hanging="180"/>
      </w:pPr>
      <w:rPr>
        <w:rFonts w:ascii="Symbol" w:eastAsia="Symbol" w:hAnsi="Symbol" w:cs="Symbol"/>
      </w:rPr>
    </w:lvl>
    <w:lvl w:ilvl="8" w:tplc="37B69988">
      <w:start w:val="1"/>
      <w:numFmt w:val="bullet"/>
      <w:lvlText w:val="•"/>
      <w:lvlJc w:val="left"/>
      <w:pPr>
        <w:tabs>
          <w:tab w:val="num" w:pos="3060"/>
        </w:tabs>
        <w:ind w:left="3060" w:hanging="180"/>
      </w:pPr>
      <w:rPr>
        <w:rFonts w:ascii="Symbol" w:eastAsia="Symbol" w:hAnsi="Symbol" w:cs="Symbol"/>
      </w:rPr>
    </w:lvl>
  </w:abstractNum>
  <w:abstractNum w:abstractNumId="3" w15:restartNumberingAfterBreak="0">
    <w:nsid w:val="00000004"/>
    <w:multiLevelType w:val="hybridMultilevel"/>
    <w:tmpl w:val="00000004"/>
    <w:lvl w:ilvl="0" w:tplc="F7B467AA">
      <w:start w:val="1"/>
      <w:numFmt w:val="bullet"/>
      <w:lvlText w:val="•"/>
      <w:lvlJc w:val="left"/>
      <w:pPr>
        <w:tabs>
          <w:tab w:val="num" w:pos="180"/>
        </w:tabs>
        <w:ind w:left="180" w:hanging="180"/>
      </w:pPr>
      <w:rPr>
        <w:rFonts w:ascii="Symbol" w:eastAsia="Symbol" w:hAnsi="Symbol" w:cs="Symbol"/>
      </w:rPr>
    </w:lvl>
    <w:lvl w:ilvl="1" w:tplc="784C5738">
      <w:start w:val="1"/>
      <w:numFmt w:val="bullet"/>
      <w:lvlText w:val="•"/>
      <w:lvlJc w:val="left"/>
      <w:pPr>
        <w:tabs>
          <w:tab w:val="num" w:pos="540"/>
        </w:tabs>
        <w:ind w:left="540" w:hanging="180"/>
      </w:pPr>
      <w:rPr>
        <w:rFonts w:ascii="Symbol" w:eastAsia="Symbol" w:hAnsi="Symbol" w:cs="Symbol"/>
      </w:rPr>
    </w:lvl>
    <w:lvl w:ilvl="2" w:tplc="77CEAF2C">
      <w:start w:val="1"/>
      <w:numFmt w:val="bullet"/>
      <w:lvlText w:val="•"/>
      <w:lvlJc w:val="left"/>
      <w:pPr>
        <w:tabs>
          <w:tab w:val="num" w:pos="900"/>
        </w:tabs>
        <w:ind w:left="900" w:hanging="180"/>
      </w:pPr>
      <w:rPr>
        <w:rFonts w:ascii="Symbol" w:eastAsia="Symbol" w:hAnsi="Symbol" w:cs="Symbol"/>
      </w:rPr>
    </w:lvl>
    <w:lvl w:ilvl="3" w:tplc="DD129694">
      <w:start w:val="1"/>
      <w:numFmt w:val="bullet"/>
      <w:lvlText w:val="•"/>
      <w:lvlJc w:val="left"/>
      <w:pPr>
        <w:tabs>
          <w:tab w:val="num" w:pos="1260"/>
        </w:tabs>
        <w:ind w:left="1260" w:hanging="180"/>
      </w:pPr>
      <w:rPr>
        <w:rFonts w:ascii="Symbol" w:eastAsia="Symbol" w:hAnsi="Symbol" w:cs="Symbol"/>
      </w:rPr>
    </w:lvl>
    <w:lvl w:ilvl="4" w:tplc="45540ED4">
      <w:start w:val="1"/>
      <w:numFmt w:val="bullet"/>
      <w:lvlText w:val="•"/>
      <w:lvlJc w:val="left"/>
      <w:pPr>
        <w:tabs>
          <w:tab w:val="num" w:pos="1620"/>
        </w:tabs>
        <w:ind w:left="1620" w:hanging="180"/>
      </w:pPr>
      <w:rPr>
        <w:rFonts w:ascii="Symbol" w:eastAsia="Symbol" w:hAnsi="Symbol" w:cs="Symbol"/>
      </w:rPr>
    </w:lvl>
    <w:lvl w:ilvl="5" w:tplc="530C5FF2">
      <w:start w:val="1"/>
      <w:numFmt w:val="bullet"/>
      <w:lvlText w:val="•"/>
      <w:lvlJc w:val="left"/>
      <w:pPr>
        <w:tabs>
          <w:tab w:val="num" w:pos="1980"/>
        </w:tabs>
        <w:ind w:left="1980" w:hanging="180"/>
      </w:pPr>
      <w:rPr>
        <w:rFonts w:ascii="Symbol" w:eastAsia="Symbol" w:hAnsi="Symbol" w:cs="Symbol"/>
      </w:rPr>
    </w:lvl>
    <w:lvl w:ilvl="6" w:tplc="2082A590">
      <w:start w:val="1"/>
      <w:numFmt w:val="bullet"/>
      <w:lvlText w:val="•"/>
      <w:lvlJc w:val="left"/>
      <w:pPr>
        <w:tabs>
          <w:tab w:val="num" w:pos="2340"/>
        </w:tabs>
        <w:ind w:left="2340" w:hanging="180"/>
      </w:pPr>
      <w:rPr>
        <w:rFonts w:ascii="Symbol" w:eastAsia="Symbol" w:hAnsi="Symbol" w:cs="Symbol"/>
      </w:rPr>
    </w:lvl>
    <w:lvl w:ilvl="7" w:tplc="09C2A420">
      <w:start w:val="1"/>
      <w:numFmt w:val="bullet"/>
      <w:lvlText w:val="•"/>
      <w:lvlJc w:val="left"/>
      <w:pPr>
        <w:tabs>
          <w:tab w:val="num" w:pos="2700"/>
        </w:tabs>
        <w:ind w:left="2700" w:hanging="180"/>
      </w:pPr>
      <w:rPr>
        <w:rFonts w:ascii="Symbol" w:eastAsia="Symbol" w:hAnsi="Symbol" w:cs="Symbol"/>
      </w:rPr>
    </w:lvl>
    <w:lvl w:ilvl="8" w:tplc="E828E8E0">
      <w:start w:val="1"/>
      <w:numFmt w:val="bullet"/>
      <w:lvlText w:val="•"/>
      <w:lvlJc w:val="left"/>
      <w:pPr>
        <w:tabs>
          <w:tab w:val="num" w:pos="3060"/>
        </w:tabs>
        <w:ind w:left="3060" w:hanging="180"/>
      </w:pPr>
      <w:rPr>
        <w:rFonts w:ascii="Symbol" w:eastAsia="Symbol" w:hAnsi="Symbol" w:cs="Symbol"/>
      </w:rPr>
    </w:lvl>
  </w:abstractNum>
  <w:abstractNum w:abstractNumId="4" w15:restartNumberingAfterBreak="0">
    <w:nsid w:val="00000005"/>
    <w:multiLevelType w:val="hybridMultilevel"/>
    <w:tmpl w:val="00000005"/>
    <w:lvl w:ilvl="0" w:tplc="B52CDDCC">
      <w:start w:val="1"/>
      <w:numFmt w:val="bullet"/>
      <w:lvlText w:val="•"/>
      <w:lvlJc w:val="left"/>
      <w:pPr>
        <w:tabs>
          <w:tab w:val="num" w:pos="180"/>
        </w:tabs>
        <w:ind w:left="180" w:hanging="180"/>
      </w:pPr>
      <w:rPr>
        <w:rFonts w:ascii="Symbol" w:eastAsia="Symbol" w:hAnsi="Symbol" w:cs="Symbol"/>
      </w:rPr>
    </w:lvl>
    <w:lvl w:ilvl="1" w:tplc="63A068E6">
      <w:start w:val="1"/>
      <w:numFmt w:val="bullet"/>
      <w:lvlText w:val="•"/>
      <w:lvlJc w:val="left"/>
      <w:pPr>
        <w:tabs>
          <w:tab w:val="num" w:pos="540"/>
        </w:tabs>
        <w:ind w:left="540" w:hanging="180"/>
      </w:pPr>
      <w:rPr>
        <w:rFonts w:ascii="Symbol" w:eastAsia="Symbol" w:hAnsi="Symbol" w:cs="Symbol"/>
      </w:rPr>
    </w:lvl>
    <w:lvl w:ilvl="2" w:tplc="AE269A98">
      <w:start w:val="1"/>
      <w:numFmt w:val="bullet"/>
      <w:lvlText w:val="•"/>
      <w:lvlJc w:val="left"/>
      <w:pPr>
        <w:tabs>
          <w:tab w:val="num" w:pos="900"/>
        </w:tabs>
        <w:ind w:left="900" w:hanging="180"/>
      </w:pPr>
      <w:rPr>
        <w:rFonts w:ascii="Symbol" w:eastAsia="Symbol" w:hAnsi="Symbol" w:cs="Symbol"/>
      </w:rPr>
    </w:lvl>
    <w:lvl w:ilvl="3" w:tplc="29B087AA">
      <w:start w:val="1"/>
      <w:numFmt w:val="bullet"/>
      <w:lvlText w:val="•"/>
      <w:lvlJc w:val="left"/>
      <w:pPr>
        <w:tabs>
          <w:tab w:val="num" w:pos="1260"/>
        </w:tabs>
        <w:ind w:left="1260" w:hanging="180"/>
      </w:pPr>
      <w:rPr>
        <w:rFonts w:ascii="Symbol" w:eastAsia="Symbol" w:hAnsi="Symbol" w:cs="Symbol"/>
      </w:rPr>
    </w:lvl>
    <w:lvl w:ilvl="4" w:tplc="F7AC2D72">
      <w:start w:val="1"/>
      <w:numFmt w:val="bullet"/>
      <w:lvlText w:val="•"/>
      <w:lvlJc w:val="left"/>
      <w:pPr>
        <w:tabs>
          <w:tab w:val="num" w:pos="1620"/>
        </w:tabs>
        <w:ind w:left="1620" w:hanging="180"/>
      </w:pPr>
      <w:rPr>
        <w:rFonts w:ascii="Symbol" w:eastAsia="Symbol" w:hAnsi="Symbol" w:cs="Symbol"/>
      </w:rPr>
    </w:lvl>
    <w:lvl w:ilvl="5" w:tplc="EC8A3044">
      <w:start w:val="1"/>
      <w:numFmt w:val="bullet"/>
      <w:lvlText w:val="•"/>
      <w:lvlJc w:val="left"/>
      <w:pPr>
        <w:tabs>
          <w:tab w:val="num" w:pos="1980"/>
        </w:tabs>
        <w:ind w:left="1980" w:hanging="180"/>
      </w:pPr>
      <w:rPr>
        <w:rFonts w:ascii="Symbol" w:eastAsia="Symbol" w:hAnsi="Symbol" w:cs="Symbol"/>
      </w:rPr>
    </w:lvl>
    <w:lvl w:ilvl="6" w:tplc="30B613C8">
      <w:start w:val="1"/>
      <w:numFmt w:val="bullet"/>
      <w:lvlText w:val="•"/>
      <w:lvlJc w:val="left"/>
      <w:pPr>
        <w:tabs>
          <w:tab w:val="num" w:pos="2340"/>
        </w:tabs>
        <w:ind w:left="2340" w:hanging="180"/>
      </w:pPr>
      <w:rPr>
        <w:rFonts w:ascii="Symbol" w:eastAsia="Symbol" w:hAnsi="Symbol" w:cs="Symbol"/>
      </w:rPr>
    </w:lvl>
    <w:lvl w:ilvl="7" w:tplc="39B8A36C">
      <w:start w:val="1"/>
      <w:numFmt w:val="bullet"/>
      <w:lvlText w:val="•"/>
      <w:lvlJc w:val="left"/>
      <w:pPr>
        <w:tabs>
          <w:tab w:val="num" w:pos="2700"/>
        </w:tabs>
        <w:ind w:left="2700" w:hanging="180"/>
      </w:pPr>
      <w:rPr>
        <w:rFonts w:ascii="Symbol" w:eastAsia="Symbol" w:hAnsi="Symbol" w:cs="Symbol"/>
      </w:rPr>
    </w:lvl>
    <w:lvl w:ilvl="8" w:tplc="FD3EECAC">
      <w:start w:val="1"/>
      <w:numFmt w:val="bullet"/>
      <w:lvlText w:val="•"/>
      <w:lvlJc w:val="left"/>
      <w:pPr>
        <w:tabs>
          <w:tab w:val="num" w:pos="3060"/>
        </w:tabs>
        <w:ind w:left="3060" w:hanging="180"/>
      </w:pPr>
      <w:rPr>
        <w:rFonts w:ascii="Symbol" w:eastAsia="Symbol" w:hAnsi="Symbol" w:cs="Symbol"/>
      </w:rPr>
    </w:lvl>
  </w:abstractNum>
  <w:abstractNum w:abstractNumId="5" w15:restartNumberingAfterBreak="0">
    <w:nsid w:val="00000006"/>
    <w:multiLevelType w:val="hybridMultilevel"/>
    <w:tmpl w:val="00000006"/>
    <w:lvl w:ilvl="0" w:tplc="10EED018">
      <w:start w:val="1"/>
      <w:numFmt w:val="bullet"/>
      <w:lvlText w:val="•"/>
      <w:lvlJc w:val="left"/>
      <w:pPr>
        <w:tabs>
          <w:tab w:val="num" w:pos="180"/>
        </w:tabs>
        <w:ind w:left="180" w:hanging="180"/>
      </w:pPr>
      <w:rPr>
        <w:rFonts w:ascii="Symbol" w:eastAsia="Symbol" w:hAnsi="Symbol" w:cs="Symbol"/>
      </w:rPr>
    </w:lvl>
    <w:lvl w:ilvl="1" w:tplc="E4D41A62">
      <w:start w:val="1"/>
      <w:numFmt w:val="bullet"/>
      <w:lvlText w:val="•"/>
      <w:lvlJc w:val="left"/>
      <w:pPr>
        <w:tabs>
          <w:tab w:val="num" w:pos="540"/>
        </w:tabs>
        <w:ind w:left="540" w:hanging="180"/>
      </w:pPr>
      <w:rPr>
        <w:rFonts w:ascii="Symbol" w:eastAsia="Symbol" w:hAnsi="Symbol" w:cs="Symbol"/>
      </w:rPr>
    </w:lvl>
    <w:lvl w:ilvl="2" w:tplc="A80662FC">
      <w:start w:val="1"/>
      <w:numFmt w:val="bullet"/>
      <w:lvlText w:val="•"/>
      <w:lvlJc w:val="left"/>
      <w:pPr>
        <w:tabs>
          <w:tab w:val="num" w:pos="900"/>
        </w:tabs>
        <w:ind w:left="900" w:hanging="180"/>
      </w:pPr>
      <w:rPr>
        <w:rFonts w:ascii="Symbol" w:eastAsia="Symbol" w:hAnsi="Symbol" w:cs="Symbol"/>
      </w:rPr>
    </w:lvl>
    <w:lvl w:ilvl="3" w:tplc="DFEE5186">
      <w:start w:val="1"/>
      <w:numFmt w:val="bullet"/>
      <w:lvlText w:val="•"/>
      <w:lvlJc w:val="left"/>
      <w:pPr>
        <w:tabs>
          <w:tab w:val="num" w:pos="1260"/>
        </w:tabs>
        <w:ind w:left="1260" w:hanging="180"/>
      </w:pPr>
      <w:rPr>
        <w:rFonts w:ascii="Symbol" w:eastAsia="Symbol" w:hAnsi="Symbol" w:cs="Symbol"/>
      </w:rPr>
    </w:lvl>
    <w:lvl w:ilvl="4" w:tplc="061A7700">
      <w:start w:val="1"/>
      <w:numFmt w:val="bullet"/>
      <w:lvlText w:val="•"/>
      <w:lvlJc w:val="left"/>
      <w:pPr>
        <w:tabs>
          <w:tab w:val="num" w:pos="1620"/>
        </w:tabs>
        <w:ind w:left="1620" w:hanging="180"/>
      </w:pPr>
      <w:rPr>
        <w:rFonts w:ascii="Symbol" w:eastAsia="Symbol" w:hAnsi="Symbol" w:cs="Symbol"/>
      </w:rPr>
    </w:lvl>
    <w:lvl w:ilvl="5" w:tplc="967A73D0">
      <w:start w:val="1"/>
      <w:numFmt w:val="bullet"/>
      <w:lvlText w:val="•"/>
      <w:lvlJc w:val="left"/>
      <w:pPr>
        <w:tabs>
          <w:tab w:val="num" w:pos="1980"/>
        </w:tabs>
        <w:ind w:left="1980" w:hanging="180"/>
      </w:pPr>
      <w:rPr>
        <w:rFonts w:ascii="Symbol" w:eastAsia="Symbol" w:hAnsi="Symbol" w:cs="Symbol"/>
      </w:rPr>
    </w:lvl>
    <w:lvl w:ilvl="6" w:tplc="571AFC2E">
      <w:start w:val="1"/>
      <w:numFmt w:val="bullet"/>
      <w:lvlText w:val="•"/>
      <w:lvlJc w:val="left"/>
      <w:pPr>
        <w:tabs>
          <w:tab w:val="num" w:pos="2340"/>
        </w:tabs>
        <w:ind w:left="2340" w:hanging="180"/>
      </w:pPr>
      <w:rPr>
        <w:rFonts w:ascii="Symbol" w:eastAsia="Symbol" w:hAnsi="Symbol" w:cs="Symbol"/>
      </w:rPr>
    </w:lvl>
    <w:lvl w:ilvl="7" w:tplc="0EC8563A">
      <w:start w:val="1"/>
      <w:numFmt w:val="bullet"/>
      <w:lvlText w:val="•"/>
      <w:lvlJc w:val="left"/>
      <w:pPr>
        <w:tabs>
          <w:tab w:val="num" w:pos="2700"/>
        </w:tabs>
        <w:ind w:left="2700" w:hanging="180"/>
      </w:pPr>
      <w:rPr>
        <w:rFonts w:ascii="Symbol" w:eastAsia="Symbol" w:hAnsi="Symbol" w:cs="Symbol"/>
      </w:rPr>
    </w:lvl>
    <w:lvl w:ilvl="8" w:tplc="75A82F10">
      <w:start w:val="1"/>
      <w:numFmt w:val="bullet"/>
      <w:lvlText w:val="•"/>
      <w:lvlJc w:val="left"/>
      <w:pPr>
        <w:tabs>
          <w:tab w:val="num" w:pos="3060"/>
        </w:tabs>
        <w:ind w:left="3060" w:hanging="180"/>
      </w:pPr>
      <w:rPr>
        <w:rFonts w:ascii="Symbol" w:eastAsia="Symbol" w:hAnsi="Symbol" w:cs="Symbol"/>
      </w:rPr>
    </w:lvl>
  </w:abstractNum>
  <w:abstractNum w:abstractNumId="6" w15:restartNumberingAfterBreak="0">
    <w:nsid w:val="00810B10"/>
    <w:multiLevelType w:val="multilevel"/>
    <w:tmpl w:val="2B28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768BB"/>
    <w:multiLevelType w:val="hybridMultilevel"/>
    <w:tmpl w:val="3F24B722"/>
    <w:lvl w:ilvl="0" w:tplc="0409001B">
      <w:start w:val="1"/>
      <w:numFmt w:val="lowerRoman"/>
      <w:lvlText w:val="%1."/>
      <w:lvlJc w:val="righ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15:restartNumberingAfterBreak="0">
    <w:nsid w:val="060B0964"/>
    <w:multiLevelType w:val="hybridMultilevel"/>
    <w:tmpl w:val="055AC54C"/>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0F124C91"/>
    <w:multiLevelType w:val="multilevel"/>
    <w:tmpl w:val="4956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4382E"/>
    <w:multiLevelType w:val="hybridMultilevel"/>
    <w:tmpl w:val="7FFEA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26750F"/>
    <w:multiLevelType w:val="hybridMultilevel"/>
    <w:tmpl w:val="3DE2877A"/>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6C82F28"/>
    <w:multiLevelType w:val="multilevel"/>
    <w:tmpl w:val="D7D48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8469E1"/>
    <w:multiLevelType w:val="hybridMultilevel"/>
    <w:tmpl w:val="2E54ABDE"/>
    <w:lvl w:ilvl="0" w:tplc="0409001B">
      <w:start w:val="1"/>
      <w:numFmt w:val="lowerRoman"/>
      <w:lvlText w:val="%1."/>
      <w:lvlJc w:val="right"/>
      <w:pPr>
        <w:tabs>
          <w:tab w:val="num" w:pos="540"/>
        </w:tabs>
        <w:ind w:left="540" w:hanging="180"/>
      </w:pPr>
    </w:lvl>
    <w:lvl w:ilvl="1" w:tplc="FFFFFFFF">
      <w:start w:val="1"/>
      <w:numFmt w:val="bullet"/>
      <w:lvlText w:val="•"/>
      <w:lvlJc w:val="left"/>
      <w:pPr>
        <w:tabs>
          <w:tab w:val="num" w:pos="900"/>
        </w:tabs>
        <w:ind w:left="900" w:hanging="180"/>
      </w:pPr>
      <w:rPr>
        <w:rFonts w:ascii="Symbol" w:eastAsia="Symbol" w:hAnsi="Symbol" w:cs="Symbol"/>
      </w:rPr>
    </w:lvl>
    <w:lvl w:ilvl="2" w:tplc="FFFFFFFF">
      <w:start w:val="1"/>
      <w:numFmt w:val="bullet"/>
      <w:lvlText w:val="•"/>
      <w:lvlJc w:val="left"/>
      <w:pPr>
        <w:tabs>
          <w:tab w:val="num" w:pos="1260"/>
        </w:tabs>
        <w:ind w:left="1260" w:hanging="180"/>
      </w:pPr>
      <w:rPr>
        <w:rFonts w:ascii="Symbol" w:eastAsia="Symbol" w:hAnsi="Symbol" w:cs="Symbol"/>
      </w:rPr>
    </w:lvl>
    <w:lvl w:ilvl="3" w:tplc="FFFFFFFF">
      <w:start w:val="1"/>
      <w:numFmt w:val="bullet"/>
      <w:lvlText w:val="•"/>
      <w:lvlJc w:val="left"/>
      <w:pPr>
        <w:tabs>
          <w:tab w:val="num" w:pos="1620"/>
        </w:tabs>
        <w:ind w:left="1620" w:hanging="180"/>
      </w:pPr>
      <w:rPr>
        <w:rFonts w:ascii="Symbol" w:eastAsia="Symbol" w:hAnsi="Symbol" w:cs="Symbol"/>
      </w:rPr>
    </w:lvl>
    <w:lvl w:ilvl="4" w:tplc="FFFFFFFF">
      <w:start w:val="1"/>
      <w:numFmt w:val="bullet"/>
      <w:lvlText w:val="•"/>
      <w:lvlJc w:val="left"/>
      <w:pPr>
        <w:tabs>
          <w:tab w:val="num" w:pos="1980"/>
        </w:tabs>
        <w:ind w:left="1980" w:hanging="180"/>
      </w:pPr>
      <w:rPr>
        <w:rFonts w:ascii="Symbol" w:eastAsia="Symbol" w:hAnsi="Symbol" w:cs="Symbol"/>
      </w:rPr>
    </w:lvl>
    <w:lvl w:ilvl="5" w:tplc="FFFFFFFF">
      <w:start w:val="1"/>
      <w:numFmt w:val="bullet"/>
      <w:lvlText w:val="•"/>
      <w:lvlJc w:val="left"/>
      <w:pPr>
        <w:tabs>
          <w:tab w:val="num" w:pos="2340"/>
        </w:tabs>
        <w:ind w:left="2340" w:hanging="180"/>
      </w:pPr>
      <w:rPr>
        <w:rFonts w:ascii="Symbol" w:eastAsia="Symbol" w:hAnsi="Symbol" w:cs="Symbol"/>
      </w:rPr>
    </w:lvl>
    <w:lvl w:ilvl="6" w:tplc="FFFFFFFF">
      <w:start w:val="1"/>
      <w:numFmt w:val="bullet"/>
      <w:lvlText w:val="•"/>
      <w:lvlJc w:val="left"/>
      <w:pPr>
        <w:tabs>
          <w:tab w:val="num" w:pos="2700"/>
        </w:tabs>
        <w:ind w:left="2700" w:hanging="180"/>
      </w:pPr>
      <w:rPr>
        <w:rFonts w:ascii="Symbol" w:eastAsia="Symbol" w:hAnsi="Symbol" w:cs="Symbol"/>
      </w:rPr>
    </w:lvl>
    <w:lvl w:ilvl="7" w:tplc="FFFFFFFF">
      <w:start w:val="1"/>
      <w:numFmt w:val="bullet"/>
      <w:lvlText w:val="•"/>
      <w:lvlJc w:val="left"/>
      <w:pPr>
        <w:tabs>
          <w:tab w:val="num" w:pos="3060"/>
        </w:tabs>
        <w:ind w:left="3060" w:hanging="180"/>
      </w:pPr>
      <w:rPr>
        <w:rFonts w:ascii="Symbol" w:eastAsia="Symbol" w:hAnsi="Symbol" w:cs="Symbol"/>
      </w:rPr>
    </w:lvl>
    <w:lvl w:ilvl="8" w:tplc="FFFFFFFF">
      <w:start w:val="1"/>
      <w:numFmt w:val="bullet"/>
      <w:lvlText w:val="•"/>
      <w:lvlJc w:val="left"/>
      <w:pPr>
        <w:tabs>
          <w:tab w:val="num" w:pos="3420"/>
        </w:tabs>
        <w:ind w:left="3420" w:hanging="180"/>
      </w:pPr>
      <w:rPr>
        <w:rFonts w:ascii="Symbol" w:eastAsia="Symbol" w:hAnsi="Symbol" w:cs="Symbol"/>
      </w:rPr>
    </w:lvl>
  </w:abstractNum>
  <w:abstractNum w:abstractNumId="14" w15:restartNumberingAfterBreak="0">
    <w:nsid w:val="26832200"/>
    <w:multiLevelType w:val="hybridMultilevel"/>
    <w:tmpl w:val="83BAED30"/>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15:restartNumberingAfterBreak="0">
    <w:nsid w:val="27214B09"/>
    <w:multiLevelType w:val="hybridMultilevel"/>
    <w:tmpl w:val="C498999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6" w15:restartNumberingAfterBreak="0">
    <w:nsid w:val="2EB76648"/>
    <w:multiLevelType w:val="multilevel"/>
    <w:tmpl w:val="4B88F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533510"/>
    <w:multiLevelType w:val="hybridMultilevel"/>
    <w:tmpl w:val="929E53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5DD1081"/>
    <w:multiLevelType w:val="hybridMultilevel"/>
    <w:tmpl w:val="90020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0E62EC"/>
    <w:multiLevelType w:val="hybridMultilevel"/>
    <w:tmpl w:val="591E56EA"/>
    <w:lvl w:ilvl="0" w:tplc="0409001B">
      <w:start w:val="1"/>
      <w:numFmt w:val="lowerRoman"/>
      <w:lvlText w:val="%1."/>
      <w:lvlJc w:val="right"/>
      <w:pPr>
        <w:tabs>
          <w:tab w:val="num" w:pos="720"/>
        </w:tabs>
        <w:ind w:left="720" w:hanging="180"/>
      </w:pPr>
    </w:lvl>
    <w:lvl w:ilvl="1" w:tplc="FFFFFFFF">
      <w:start w:val="1"/>
      <w:numFmt w:val="bullet"/>
      <w:lvlText w:val="•"/>
      <w:lvlJc w:val="left"/>
      <w:pPr>
        <w:tabs>
          <w:tab w:val="num" w:pos="1080"/>
        </w:tabs>
        <w:ind w:left="1080" w:hanging="180"/>
      </w:pPr>
      <w:rPr>
        <w:rFonts w:ascii="Symbol" w:eastAsia="Symbol" w:hAnsi="Symbol" w:cs="Symbol"/>
      </w:rPr>
    </w:lvl>
    <w:lvl w:ilvl="2" w:tplc="FFFFFFFF">
      <w:start w:val="1"/>
      <w:numFmt w:val="bullet"/>
      <w:lvlText w:val="•"/>
      <w:lvlJc w:val="left"/>
      <w:pPr>
        <w:tabs>
          <w:tab w:val="num" w:pos="1440"/>
        </w:tabs>
        <w:ind w:left="1440" w:hanging="180"/>
      </w:pPr>
      <w:rPr>
        <w:rFonts w:ascii="Symbol" w:eastAsia="Symbol" w:hAnsi="Symbol" w:cs="Symbol"/>
      </w:rPr>
    </w:lvl>
    <w:lvl w:ilvl="3" w:tplc="FFFFFFFF">
      <w:start w:val="1"/>
      <w:numFmt w:val="bullet"/>
      <w:lvlText w:val="•"/>
      <w:lvlJc w:val="left"/>
      <w:pPr>
        <w:tabs>
          <w:tab w:val="num" w:pos="1800"/>
        </w:tabs>
        <w:ind w:left="1800" w:hanging="180"/>
      </w:pPr>
      <w:rPr>
        <w:rFonts w:ascii="Symbol" w:eastAsia="Symbol" w:hAnsi="Symbol" w:cs="Symbol"/>
      </w:rPr>
    </w:lvl>
    <w:lvl w:ilvl="4" w:tplc="FFFFFFFF">
      <w:start w:val="1"/>
      <w:numFmt w:val="bullet"/>
      <w:lvlText w:val="•"/>
      <w:lvlJc w:val="left"/>
      <w:pPr>
        <w:tabs>
          <w:tab w:val="num" w:pos="2160"/>
        </w:tabs>
        <w:ind w:left="2160" w:hanging="180"/>
      </w:pPr>
      <w:rPr>
        <w:rFonts w:ascii="Symbol" w:eastAsia="Symbol" w:hAnsi="Symbol" w:cs="Symbol"/>
      </w:rPr>
    </w:lvl>
    <w:lvl w:ilvl="5" w:tplc="FFFFFFFF">
      <w:start w:val="1"/>
      <w:numFmt w:val="bullet"/>
      <w:lvlText w:val="•"/>
      <w:lvlJc w:val="left"/>
      <w:pPr>
        <w:tabs>
          <w:tab w:val="num" w:pos="2520"/>
        </w:tabs>
        <w:ind w:left="2520" w:hanging="180"/>
      </w:pPr>
      <w:rPr>
        <w:rFonts w:ascii="Symbol" w:eastAsia="Symbol" w:hAnsi="Symbol" w:cs="Symbol"/>
      </w:rPr>
    </w:lvl>
    <w:lvl w:ilvl="6" w:tplc="FFFFFFFF">
      <w:start w:val="1"/>
      <w:numFmt w:val="bullet"/>
      <w:lvlText w:val="•"/>
      <w:lvlJc w:val="left"/>
      <w:pPr>
        <w:tabs>
          <w:tab w:val="num" w:pos="2880"/>
        </w:tabs>
        <w:ind w:left="2880" w:hanging="180"/>
      </w:pPr>
      <w:rPr>
        <w:rFonts w:ascii="Symbol" w:eastAsia="Symbol" w:hAnsi="Symbol" w:cs="Symbol"/>
      </w:rPr>
    </w:lvl>
    <w:lvl w:ilvl="7" w:tplc="FFFFFFFF">
      <w:start w:val="1"/>
      <w:numFmt w:val="bullet"/>
      <w:lvlText w:val="•"/>
      <w:lvlJc w:val="left"/>
      <w:pPr>
        <w:tabs>
          <w:tab w:val="num" w:pos="3240"/>
        </w:tabs>
        <w:ind w:left="3240" w:hanging="180"/>
      </w:pPr>
      <w:rPr>
        <w:rFonts w:ascii="Symbol" w:eastAsia="Symbol" w:hAnsi="Symbol" w:cs="Symbol"/>
      </w:rPr>
    </w:lvl>
    <w:lvl w:ilvl="8" w:tplc="FFFFFFFF">
      <w:start w:val="1"/>
      <w:numFmt w:val="bullet"/>
      <w:lvlText w:val="•"/>
      <w:lvlJc w:val="left"/>
      <w:pPr>
        <w:tabs>
          <w:tab w:val="num" w:pos="3600"/>
        </w:tabs>
        <w:ind w:left="3600" w:hanging="180"/>
      </w:pPr>
      <w:rPr>
        <w:rFonts w:ascii="Symbol" w:eastAsia="Symbol" w:hAnsi="Symbol" w:cs="Symbol"/>
      </w:rPr>
    </w:lvl>
  </w:abstractNum>
  <w:abstractNum w:abstractNumId="20" w15:restartNumberingAfterBreak="0">
    <w:nsid w:val="37380C8F"/>
    <w:multiLevelType w:val="hybridMultilevel"/>
    <w:tmpl w:val="DE90C8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BD645C5"/>
    <w:multiLevelType w:val="multilevel"/>
    <w:tmpl w:val="57DAC7F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E91059"/>
    <w:multiLevelType w:val="hybridMultilevel"/>
    <w:tmpl w:val="3D38D9EC"/>
    <w:lvl w:ilvl="0" w:tplc="04090001">
      <w:start w:val="1"/>
      <w:numFmt w:val="bullet"/>
      <w:lvlText w:val=""/>
      <w:lvlJc w:val="left"/>
      <w:pPr>
        <w:ind w:left="501" w:hanging="360"/>
      </w:pPr>
      <w:rPr>
        <w:rFonts w:ascii="Symbol" w:hAnsi="Symbol" w:hint="default"/>
      </w:rPr>
    </w:lvl>
    <w:lvl w:ilvl="1" w:tplc="FFFFFFFF" w:tentative="1">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abstractNum w:abstractNumId="23" w15:restartNumberingAfterBreak="0">
    <w:nsid w:val="3EFB6CB9"/>
    <w:multiLevelType w:val="multilevel"/>
    <w:tmpl w:val="86C0095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F674A6"/>
    <w:multiLevelType w:val="multilevel"/>
    <w:tmpl w:val="00000001"/>
    <w:lvl w:ilvl="0">
      <w:start w:val="1"/>
      <w:numFmt w:val="bullet"/>
      <w:lvlText w:val="•"/>
      <w:lvlJc w:val="left"/>
      <w:pPr>
        <w:tabs>
          <w:tab w:val="num" w:pos="180"/>
        </w:tabs>
        <w:ind w:left="180" w:hanging="180"/>
      </w:pPr>
      <w:rPr>
        <w:rFonts w:ascii="Symbol" w:eastAsia="Symbol" w:hAnsi="Symbol" w:cs="Symbol"/>
      </w:rPr>
    </w:lvl>
    <w:lvl w:ilvl="1">
      <w:start w:val="1"/>
      <w:numFmt w:val="bullet"/>
      <w:lvlText w:val="•"/>
      <w:lvlJc w:val="left"/>
      <w:pPr>
        <w:tabs>
          <w:tab w:val="num" w:pos="540"/>
        </w:tabs>
        <w:ind w:left="540" w:hanging="180"/>
      </w:pPr>
      <w:rPr>
        <w:rFonts w:ascii="Symbol" w:eastAsia="Symbol" w:hAnsi="Symbol" w:cs="Symbol"/>
      </w:rPr>
    </w:lvl>
    <w:lvl w:ilvl="2">
      <w:start w:val="1"/>
      <w:numFmt w:val="bullet"/>
      <w:lvlText w:val="•"/>
      <w:lvlJc w:val="left"/>
      <w:pPr>
        <w:tabs>
          <w:tab w:val="num" w:pos="900"/>
        </w:tabs>
        <w:ind w:left="900" w:hanging="180"/>
      </w:pPr>
      <w:rPr>
        <w:rFonts w:ascii="Symbol" w:eastAsia="Symbol" w:hAnsi="Symbol" w:cs="Symbol"/>
      </w:rPr>
    </w:lvl>
    <w:lvl w:ilvl="3">
      <w:start w:val="1"/>
      <w:numFmt w:val="bullet"/>
      <w:lvlText w:val="•"/>
      <w:lvlJc w:val="left"/>
      <w:pPr>
        <w:tabs>
          <w:tab w:val="num" w:pos="1260"/>
        </w:tabs>
        <w:ind w:left="1260" w:hanging="180"/>
      </w:pPr>
      <w:rPr>
        <w:rFonts w:ascii="Symbol" w:eastAsia="Symbol" w:hAnsi="Symbol" w:cs="Symbol"/>
      </w:rPr>
    </w:lvl>
    <w:lvl w:ilvl="4">
      <w:start w:val="1"/>
      <w:numFmt w:val="bullet"/>
      <w:lvlText w:val="•"/>
      <w:lvlJc w:val="left"/>
      <w:pPr>
        <w:tabs>
          <w:tab w:val="num" w:pos="1620"/>
        </w:tabs>
        <w:ind w:left="1620" w:hanging="180"/>
      </w:pPr>
      <w:rPr>
        <w:rFonts w:ascii="Symbol" w:eastAsia="Symbol" w:hAnsi="Symbol" w:cs="Symbol"/>
      </w:rPr>
    </w:lvl>
    <w:lvl w:ilvl="5">
      <w:start w:val="1"/>
      <w:numFmt w:val="bullet"/>
      <w:lvlText w:val="•"/>
      <w:lvlJc w:val="left"/>
      <w:pPr>
        <w:tabs>
          <w:tab w:val="num" w:pos="1980"/>
        </w:tabs>
        <w:ind w:left="1980" w:hanging="180"/>
      </w:pPr>
      <w:rPr>
        <w:rFonts w:ascii="Symbol" w:eastAsia="Symbol" w:hAnsi="Symbol" w:cs="Symbol"/>
      </w:rPr>
    </w:lvl>
    <w:lvl w:ilvl="6">
      <w:start w:val="1"/>
      <w:numFmt w:val="bullet"/>
      <w:lvlText w:val="•"/>
      <w:lvlJc w:val="left"/>
      <w:pPr>
        <w:tabs>
          <w:tab w:val="num" w:pos="2340"/>
        </w:tabs>
        <w:ind w:left="2340" w:hanging="180"/>
      </w:pPr>
      <w:rPr>
        <w:rFonts w:ascii="Symbol" w:eastAsia="Symbol" w:hAnsi="Symbol" w:cs="Symbol"/>
      </w:rPr>
    </w:lvl>
    <w:lvl w:ilvl="7">
      <w:start w:val="1"/>
      <w:numFmt w:val="bullet"/>
      <w:lvlText w:val="•"/>
      <w:lvlJc w:val="left"/>
      <w:pPr>
        <w:tabs>
          <w:tab w:val="num" w:pos="2700"/>
        </w:tabs>
        <w:ind w:left="2700" w:hanging="180"/>
      </w:pPr>
      <w:rPr>
        <w:rFonts w:ascii="Symbol" w:eastAsia="Symbol" w:hAnsi="Symbol" w:cs="Symbol"/>
      </w:rPr>
    </w:lvl>
    <w:lvl w:ilvl="8">
      <w:start w:val="1"/>
      <w:numFmt w:val="bullet"/>
      <w:lvlText w:val="•"/>
      <w:lvlJc w:val="left"/>
      <w:pPr>
        <w:tabs>
          <w:tab w:val="num" w:pos="3060"/>
        </w:tabs>
        <w:ind w:left="3060" w:hanging="180"/>
      </w:pPr>
      <w:rPr>
        <w:rFonts w:ascii="Symbol" w:eastAsia="Symbol" w:hAnsi="Symbol" w:cs="Symbol"/>
      </w:rPr>
    </w:lvl>
  </w:abstractNum>
  <w:abstractNum w:abstractNumId="25" w15:restartNumberingAfterBreak="0">
    <w:nsid w:val="42C95AB4"/>
    <w:multiLevelType w:val="multilevel"/>
    <w:tmpl w:val="F724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4E3F57"/>
    <w:multiLevelType w:val="hybridMultilevel"/>
    <w:tmpl w:val="2E54ABDE"/>
    <w:lvl w:ilvl="0" w:tplc="FFFFFFFF">
      <w:start w:val="1"/>
      <w:numFmt w:val="lowerRoman"/>
      <w:lvlText w:val="%1."/>
      <w:lvlJc w:val="right"/>
      <w:pPr>
        <w:tabs>
          <w:tab w:val="num" w:pos="540"/>
        </w:tabs>
        <w:ind w:left="540" w:hanging="180"/>
      </w:pPr>
    </w:lvl>
    <w:lvl w:ilvl="1" w:tplc="FFFFFFFF">
      <w:start w:val="1"/>
      <w:numFmt w:val="bullet"/>
      <w:lvlText w:val="•"/>
      <w:lvlJc w:val="left"/>
      <w:pPr>
        <w:tabs>
          <w:tab w:val="num" w:pos="900"/>
        </w:tabs>
        <w:ind w:left="900" w:hanging="180"/>
      </w:pPr>
      <w:rPr>
        <w:rFonts w:ascii="Symbol" w:eastAsia="Symbol" w:hAnsi="Symbol" w:cs="Symbol"/>
      </w:rPr>
    </w:lvl>
    <w:lvl w:ilvl="2" w:tplc="FFFFFFFF">
      <w:start w:val="1"/>
      <w:numFmt w:val="bullet"/>
      <w:lvlText w:val="•"/>
      <w:lvlJc w:val="left"/>
      <w:pPr>
        <w:tabs>
          <w:tab w:val="num" w:pos="1260"/>
        </w:tabs>
        <w:ind w:left="1260" w:hanging="180"/>
      </w:pPr>
      <w:rPr>
        <w:rFonts w:ascii="Symbol" w:eastAsia="Symbol" w:hAnsi="Symbol" w:cs="Symbol"/>
      </w:rPr>
    </w:lvl>
    <w:lvl w:ilvl="3" w:tplc="FFFFFFFF">
      <w:start w:val="1"/>
      <w:numFmt w:val="bullet"/>
      <w:lvlText w:val="•"/>
      <w:lvlJc w:val="left"/>
      <w:pPr>
        <w:tabs>
          <w:tab w:val="num" w:pos="1620"/>
        </w:tabs>
        <w:ind w:left="1620" w:hanging="180"/>
      </w:pPr>
      <w:rPr>
        <w:rFonts w:ascii="Symbol" w:eastAsia="Symbol" w:hAnsi="Symbol" w:cs="Symbol"/>
      </w:rPr>
    </w:lvl>
    <w:lvl w:ilvl="4" w:tplc="FFFFFFFF">
      <w:start w:val="1"/>
      <w:numFmt w:val="bullet"/>
      <w:lvlText w:val="•"/>
      <w:lvlJc w:val="left"/>
      <w:pPr>
        <w:tabs>
          <w:tab w:val="num" w:pos="1980"/>
        </w:tabs>
        <w:ind w:left="1980" w:hanging="180"/>
      </w:pPr>
      <w:rPr>
        <w:rFonts w:ascii="Symbol" w:eastAsia="Symbol" w:hAnsi="Symbol" w:cs="Symbol"/>
      </w:rPr>
    </w:lvl>
    <w:lvl w:ilvl="5" w:tplc="FFFFFFFF">
      <w:start w:val="1"/>
      <w:numFmt w:val="bullet"/>
      <w:lvlText w:val="•"/>
      <w:lvlJc w:val="left"/>
      <w:pPr>
        <w:tabs>
          <w:tab w:val="num" w:pos="2340"/>
        </w:tabs>
        <w:ind w:left="2340" w:hanging="180"/>
      </w:pPr>
      <w:rPr>
        <w:rFonts w:ascii="Symbol" w:eastAsia="Symbol" w:hAnsi="Symbol" w:cs="Symbol"/>
      </w:rPr>
    </w:lvl>
    <w:lvl w:ilvl="6" w:tplc="FFFFFFFF">
      <w:start w:val="1"/>
      <w:numFmt w:val="bullet"/>
      <w:lvlText w:val="•"/>
      <w:lvlJc w:val="left"/>
      <w:pPr>
        <w:tabs>
          <w:tab w:val="num" w:pos="2700"/>
        </w:tabs>
        <w:ind w:left="2700" w:hanging="180"/>
      </w:pPr>
      <w:rPr>
        <w:rFonts w:ascii="Symbol" w:eastAsia="Symbol" w:hAnsi="Symbol" w:cs="Symbol"/>
      </w:rPr>
    </w:lvl>
    <w:lvl w:ilvl="7" w:tplc="FFFFFFFF">
      <w:start w:val="1"/>
      <w:numFmt w:val="bullet"/>
      <w:lvlText w:val="•"/>
      <w:lvlJc w:val="left"/>
      <w:pPr>
        <w:tabs>
          <w:tab w:val="num" w:pos="3060"/>
        </w:tabs>
        <w:ind w:left="3060" w:hanging="180"/>
      </w:pPr>
      <w:rPr>
        <w:rFonts w:ascii="Symbol" w:eastAsia="Symbol" w:hAnsi="Symbol" w:cs="Symbol"/>
      </w:rPr>
    </w:lvl>
    <w:lvl w:ilvl="8" w:tplc="FFFFFFFF">
      <w:start w:val="1"/>
      <w:numFmt w:val="bullet"/>
      <w:lvlText w:val="•"/>
      <w:lvlJc w:val="left"/>
      <w:pPr>
        <w:tabs>
          <w:tab w:val="num" w:pos="3420"/>
        </w:tabs>
        <w:ind w:left="3420" w:hanging="180"/>
      </w:pPr>
      <w:rPr>
        <w:rFonts w:ascii="Symbol" w:eastAsia="Symbol" w:hAnsi="Symbol" w:cs="Symbol"/>
      </w:rPr>
    </w:lvl>
  </w:abstractNum>
  <w:abstractNum w:abstractNumId="27" w15:restartNumberingAfterBreak="0">
    <w:nsid w:val="442D382A"/>
    <w:multiLevelType w:val="hybridMultilevel"/>
    <w:tmpl w:val="78CE0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685528"/>
    <w:multiLevelType w:val="hybridMultilevel"/>
    <w:tmpl w:val="929E535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6B9600A"/>
    <w:multiLevelType w:val="hybridMultilevel"/>
    <w:tmpl w:val="383A952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D34AD0"/>
    <w:multiLevelType w:val="multilevel"/>
    <w:tmpl w:val="7406A7D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3858F3"/>
    <w:multiLevelType w:val="multilevel"/>
    <w:tmpl w:val="7AC8ACD4"/>
    <w:lvl w:ilvl="0">
      <w:start w:val="1"/>
      <w:numFmt w:val="lowerRoman"/>
      <w:lvlText w:val="%1."/>
      <w:lvlJc w:val="righ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16138B"/>
    <w:multiLevelType w:val="hybridMultilevel"/>
    <w:tmpl w:val="D7FC9DA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24D20CC"/>
    <w:multiLevelType w:val="hybridMultilevel"/>
    <w:tmpl w:val="7562ADF8"/>
    <w:lvl w:ilvl="0" w:tplc="04090001">
      <w:start w:val="1"/>
      <w:numFmt w:val="bullet"/>
      <w:lvlText w:val=""/>
      <w:lvlJc w:val="left"/>
      <w:pPr>
        <w:ind w:left="1440" w:hanging="360"/>
      </w:pPr>
      <w:rPr>
        <w:rFonts w:ascii="Symbol" w:hAnsi="Symbol"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52722C8A"/>
    <w:multiLevelType w:val="hybridMultilevel"/>
    <w:tmpl w:val="CE16A6D8"/>
    <w:lvl w:ilvl="0" w:tplc="04090001">
      <w:start w:val="1"/>
      <w:numFmt w:val="bullet"/>
      <w:lvlText w:val=""/>
      <w:lvlJc w:val="left"/>
      <w:pPr>
        <w:ind w:left="501" w:hanging="360"/>
      </w:pPr>
      <w:rPr>
        <w:rFonts w:ascii="Symbol" w:hAnsi="Symbol" w:hint="default"/>
      </w:rPr>
    </w:lvl>
    <w:lvl w:ilvl="1" w:tplc="FFFFFFFF" w:tentative="1">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abstractNum w:abstractNumId="35" w15:restartNumberingAfterBreak="0">
    <w:nsid w:val="52F959FF"/>
    <w:multiLevelType w:val="multilevel"/>
    <w:tmpl w:val="8D64CA3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B368CB"/>
    <w:multiLevelType w:val="hybridMultilevel"/>
    <w:tmpl w:val="F66AC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F4359C3"/>
    <w:multiLevelType w:val="multilevel"/>
    <w:tmpl w:val="669035B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737FB8"/>
    <w:multiLevelType w:val="multilevel"/>
    <w:tmpl w:val="F36E4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483AE0"/>
    <w:multiLevelType w:val="multilevel"/>
    <w:tmpl w:val="A6106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556FAE"/>
    <w:multiLevelType w:val="multilevel"/>
    <w:tmpl w:val="917E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254899"/>
    <w:multiLevelType w:val="hybridMultilevel"/>
    <w:tmpl w:val="D27C9AA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num w:numId="1" w16cid:durableId="1362828693">
    <w:abstractNumId w:val="0"/>
  </w:num>
  <w:num w:numId="2" w16cid:durableId="1333724674">
    <w:abstractNumId w:val="1"/>
  </w:num>
  <w:num w:numId="3" w16cid:durableId="1006444558">
    <w:abstractNumId w:val="2"/>
  </w:num>
  <w:num w:numId="4" w16cid:durableId="1159151191">
    <w:abstractNumId w:val="3"/>
  </w:num>
  <w:num w:numId="5" w16cid:durableId="1101796959">
    <w:abstractNumId w:val="4"/>
  </w:num>
  <w:num w:numId="6" w16cid:durableId="182399540">
    <w:abstractNumId w:val="5"/>
  </w:num>
  <w:num w:numId="7" w16cid:durableId="648174523">
    <w:abstractNumId w:val="24"/>
  </w:num>
  <w:num w:numId="8" w16cid:durableId="1244726232">
    <w:abstractNumId w:val="19"/>
  </w:num>
  <w:num w:numId="9" w16cid:durableId="873541021">
    <w:abstractNumId w:val="13"/>
  </w:num>
  <w:num w:numId="10" w16cid:durableId="962807654">
    <w:abstractNumId w:val="28"/>
  </w:num>
  <w:num w:numId="11" w16cid:durableId="402989015">
    <w:abstractNumId w:val="31"/>
  </w:num>
  <w:num w:numId="12" w16cid:durableId="1605653594">
    <w:abstractNumId w:val="35"/>
  </w:num>
  <w:num w:numId="13" w16cid:durableId="894707532">
    <w:abstractNumId w:val="23"/>
  </w:num>
  <w:num w:numId="14" w16cid:durableId="1800881570">
    <w:abstractNumId w:val="21"/>
  </w:num>
  <w:num w:numId="15" w16cid:durableId="110974521">
    <w:abstractNumId w:val="7"/>
  </w:num>
  <w:num w:numId="16" w16cid:durableId="99491742">
    <w:abstractNumId w:val="20"/>
  </w:num>
  <w:num w:numId="17" w16cid:durableId="1268194996">
    <w:abstractNumId w:val="14"/>
  </w:num>
  <w:num w:numId="18" w16cid:durableId="108209784">
    <w:abstractNumId w:val="41"/>
  </w:num>
  <w:num w:numId="19" w16cid:durableId="1172841701">
    <w:abstractNumId w:val="15"/>
  </w:num>
  <w:num w:numId="20" w16cid:durableId="1932859174">
    <w:abstractNumId w:val="33"/>
  </w:num>
  <w:num w:numId="21" w16cid:durableId="1383405033">
    <w:abstractNumId w:val="32"/>
  </w:num>
  <w:num w:numId="22" w16cid:durableId="1294797532">
    <w:abstractNumId w:val="30"/>
  </w:num>
  <w:num w:numId="23" w16cid:durableId="759061817">
    <w:abstractNumId w:val="6"/>
  </w:num>
  <w:num w:numId="24" w16cid:durableId="1780954398">
    <w:abstractNumId w:val="9"/>
  </w:num>
  <w:num w:numId="25" w16cid:durableId="1806776166">
    <w:abstractNumId w:val="39"/>
  </w:num>
  <w:num w:numId="26" w16cid:durableId="230891809">
    <w:abstractNumId w:val="12"/>
  </w:num>
  <w:num w:numId="27" w16cid:durableId="1998998839">
    <w:abstractNumId w:val="17"/>
  </w:num>
  <w:num w:numId="28" w16cid:durableId="418674300">
    <w:abstractNumId w:val="36"/>
  </w:num>
  <w:num w:numId="29" w16cid:durableId="402335574">
    <w:abstractNumId w:val="27"/>
  </w:num>
  <w:num w:numId="30" w16cid:durableId="1678538043">
    <w:abstractNumId w:val="38"/>
  </w:num>
  <w:num w:numId="31" w16cid:durableId="1617983048">
    <w:abstractNumId w:val="8"/>
  </w:num>
  <w:num w:numId="32" w16cid:durableId="1762295187">
    <w:abstractNumId w:val="29"/>
  </w:num>
  <w:num w:numId="33" w16cid:durableId="1074352744">
    <w:abstractNumId w:val="11"/>
  </w:num>
  <w:num w:numId="34" w16cid:durableId="1599941530">
    <w:abstractNumId w:val="34"/>
  </w:num>
  <w:num w:numId="35" w16cid:durableId="1241139195">
    <w:abstractNumId w:val="22"/>
  </w:num>
  <w:num w:numId="36" w16cid:durableId="2042197513">
    <w:abstractNumId w:val="10"/>
  </w:num>
  <w:num w:numId="37" w16cid:durableId="1828931793">
    <w:abstractNumId w:val="18"/>
  </w:num>
  <w:num w:numId="38" w16cid:durableId="1133789565">
    <w:abstractNumId w:val="40"/>
  </w:num>
  <w:num w:numId="39" w16cid:durableId="19625410">
    <w:abstractNumId w:val="16"/>
  </w:num>
  <w:num w:numId="40" w16cid:durableId="61566891">
    <w:abstractNumId w:val="25"/>
  </w:num>
  <w:num w:numId="41" w16cid:durableId="1070081805">
    <w:abstractNumId w:val="26"/>
  </w:num>
  <w:num w:numId="42" w16cid:durableId="182747196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12DC"/>
    <w:rsid w:val="000014A2"/>
    <w:rsid w:val="000050D0"/>
    <w:rsid w:val="00006957"/>
    <w:rsid w:val="000102D0"/>
    <w:rsid w:val="0002311C"/>
    <w:rsid w:val="00024DB4"/>
    <w:rsid w:val="0003119E"/>
    <w:rsid w:val="00031FEF"/>
    <w:rsid w:val="000336E0"/>
    <w:rsid w:val="000401B9"/>
    <w:rsid w:val="00040B9D"/>
    <w:rsid w:val="00041ED9"/>
    <w:rsid w:val="000448A1"/>
    <w:rsid w:val="00066596"/>
    <w:rsid w:val="000675FA"/>
    <w:rsid w:val="0007131C"/>
    <w:rsid w:val="00072D5B"/>
    <w:rsid w:val="000732F0"/>
    <w:rsid w:val="00074276"/>
    <w:rsid w:val="00074E57"/>
    <w:rsid w:val="0008016B"/>
    <w:rsid w:val="00082B73"/>
    <w:rsid w:val="0008443E"/>
    <w:rsid w:val="00085D28"/>
    <w:rsid w:val="00090D34"/>
    <w:rsid w:val="000A07AC"/>
    <w:rsid w:val="000A73AD"/>
    <w:rsid w:val="000A75ED"/>
    <w:rsid w:val="000A7A64"/>
    <w:rsid w:val="000B0723"/>
    <w:rsid w:val="000B09E3"/>
    <w:rsid w:val="000B0FEA"/>
    <w:rsid w:val="000B37CA"/>
    <w:rsid w:val="000B3844"/>
    <w:rsid w:val="000B3B22"/>
    <w:rsid w:val="000C1689"/>
    <w:rsid w:val="000D2D2B"/>
    <w:rsid w:val="000D6D8B"/>
    <w:rsid w:val="000E0871"/>
    <w:rsid w:val="000E12B8"/>
    <w:rsid w:val="000E26CB"/>
    <w:rsid w:val="000E3789"/>
    <w:rsid w:val="000E5158"/>
    <w:rsid w:val="000E5B77"/>
    <w:rsid w:val="000E6537"/>
    <w:rsid w:val="000E678F"/>
    <w:rsid w:val="000E6B10"/>
    <w:rsid w:val="000E7932"/>
    <w:rsid w:val="000F05E4"/>
    <w:rsid w:val="000F2FCA"/>
    <w:rsid w:val="000F47C6"/>
    <w:rsid w:val="00100F15"/>
    <w:rsid w:val="00107F65"/>
    <w:rsid w:val="0011032A"/>
    <w:rsid w:val="00111477"/>
    <w:rsid w:val="00114939"/>
    <w:rsid w:val="0011497E"/>
    <w:rsid w:val="00116DBC"/>
    <w:rsid w:val="001216B4"/>
    <w:rsid w:val="00121EFC"/>
    <w:rsid w:val="001226DC"/>
    <w:rsid w:val="00123DCF"/>
    <w:rsid w:val="00125177"/>
    <w:rsid w:val="00126657"/>
    <w:rsid w:val="001266A9"/>
    <w:rsid w:val="001275BF"/>
    <w:rsid w:val="00127893"/>
    <w:rsid w:val="001303F5"/>
    <w:rsid w:val="00132025"/>
    <w:rsid w:val="001334E4"/>
    <w:rsid w:val="001401DB"/>
    <w:rsid w:val="001465FF"/>
    <w:rsid w:val="00147788"/>
    <w:rsid w:val="00151860"/>
    <w:rsid w:val="00156A47"/>
    <w:rsid w:val="00161A89"/>
    <w:rsid w:val="00165020"/>
    <w:rsid w:val="001736D4"/>
    <w:rsid w:val="00173F8A"/>
    <w:rsid w:val="00175B2A"/>
    <w:rsid w:val="00180C3C"/>
    <w:rsid w:val="001817F9"/>
    <w:rsid w:val="00182A6F"/>
    <w:rsid w:val="00187F52"/>
    <w:rsid w:val="00193CFC"/>
    <w:rsid w:val="00193E35"/>
    <w:rsid w:val="001949C5"/>
    <w:rsid w:val="00195B4F"/>
    <w:rsid w:val="001968B0"/>
    <w:rsid w:val="001A3B6C"/>
    <w:rsid w:val="001A6A27"/>
    <w:rsid w:val="001B0688"/>
    <w:rsid w:val="001C0F44"/>
    <w:rsid w:val="001C13EF"/>
    <w:rsid w:val="001C301A"/>
    <w:rsid w:val="001C71D6"/>
    <w:rsid w:val="001D1116"/>
    <w:rsid w:val="001D1813"/>
    <w:rsid w:val="001E004B"/>
    <w:rsid w:val="001E14A2"/>
    <w:rsid w:val="001F1241"/>
    <w:rsid w:val="002000B0"/>
    <w:rsid w:val="002025AA"/>
    <w:rsid w:val="002026C2"/>
    <w:rsid w:val="00204610"/>
    <w:rsid w:val="00206C23"/>
    <w:rsid w:val="00216818"/>
    <w:rsid w:val="00227740"/>
    <w:rsid w:val="00230AC9"/>
    <w:rsid w:val="0023309B"/>
    <w:rsid w:val="00236D70"/>
    <w:rsid w:val="00236E23"/>
    <w:rsid w:val="00237262"/>
    <w:rsid w:val="00243880"/>
    <w:rsid w:val="002478D3"/>
    <w:rsid w:val="002519AD"/>
    <w:rsid w:val="00256B9A"/>
    <w:rsid w:val="00257614"/>
    <w:rsid w:val="00260628"/>
    <w:rsid w:val="00260B32"/>
    <w:rsid w:val="002661CC"/>
    <w:rsid w:val="00267DAB"/>
    <w:rsid w:val="00272F35"/>
    <w:rsid w:val="00274D88"/>
    <w:rsid w:val="002771F4"/>
    <w:rsid w:val="00280E7B"/>
    <w:rsid w:val="00280F7A"/>
    <w:rsid w:val="00281930"/>
    <w:rsid w:val="00281E72"/>
    <w:rsid w:val="00285430"/>
    <w:rsid w:val="0029035D"/>
    <w:rsid w:val="0029108B"/>
    <w:rsid w:val="002A2810"/>
    <w:rsid w:val="002A437E"/>
    <w:rsid w:val="002A4C6F"/>
    <w:rsid w:val="002A655B"/>
    <w:rsid w:val="002A7630"/>
    <w:rsid w:val="002B127A"/>
    <w:rsid w:val="002B2402"/>
    <w:rsid w:val="002B2527"/>
    <w:rsid w:val="002B6B4D"/>
    <w:rsid w:val="002C0015"/>
    <w:rsid w:val="002C1F5F"/>
    <w:rsid w:val="002C338D"/>
    <w:rsid w:val="002C5109"/>
    <w:rsid w:val="002C55FA"/>
    <w:rsid w:val="002C5693"/>
    <w:rsid w:val="002C5DB2"/>
    <w:rsid w:val="002D1A79"/>
    <w:rsid w:val="002D3202"/>
    <w:rsid w:val="002D409A"/>
    <w:rsid w:val="002D43F5"/>
    <w:rsid w:val="002E1E76"/>
    <w:rsid w:val="002E2592"/>
    <w:rsid w:val="002E3D06"/>
    <w:rsid w:val="002E74A0"/>
    <w:rsid w:val="002F1D15"/>
    <w:rsid w:val="002F792A"/>
    <w:rsid w:val="00302636"/>
    <w:rsid w:val="00303322"/>
    <w:rsid w:val="00307E2D"/>
    <w:rsid w:val="00313BF3"/>
    <w:rsid w:val="00320879"/>
    <w:rsid w:val="0032355D"/>
    <w:rsid w:val="00324604"/>
    <w:rsid w:val="003252FE"/>
    <w:rsid w:val="00326E65"/>
    <w:rsid w:val="00332C1C"/>
    <w:rsid w:val="003338CA"/>
    <w:rsid w:val="00352322"/>
    <w:rsid w:val="00353074"/>
    <w:rsid w:val="00353866"/>
    <w:rsid w:val="00365DFF"/>
    <w:rsid w:val="0036747E"/>
    <w:rsid w:val="00371F0E"/>
    <w:rsid w:val="0037237A"/>
    <w:rsid w:val="00376642"/>
    <w:rsid w:val="00376BEF"/>
    <w:rsid w:val="00377F0D"/>
    <w:rsid w:val="00380E58"/>
    <w:rsid w:val="00381D3D"/>
    <w:rsid w:val="00382143"/>
    <w:rsid w:val="00382655"/>
    <w:rsid w:val="00383E31"/>
    <w:rsid w:val="00384DAF"/>
    <w:rsid w:val="003A514D"/>
    <w:rsid w:val="003A757B"/>
    <w:rsid w:val="003A7669"/>
    <w:rsid w:val="003B499E"/>
    <w:rsid w:val="003B71D5"/>
    <w:rsid w:val="003C10DA"/>
    <w:rsid w:val="003C165A"/>
    <w:rsid w:val="003C3BBB"/>
    <w:rsid w:val="003C3D9C"/>
    <w:rsid w:val="003D4D69"/>
    <w:rsid w:val="003E018F"/>
    <w:rsid w:val="003E1332"/>
    <w:rsid w:val="003E23CB"/>
    <w:rsid w:val="003E4C20"/>
    <w:rsid w:val="003E5815"/>
    <w:rsid w:val="003E65E5"/>
    <w:rsid w:val="003F1C9F"/>
    <w:rsid w:val="003F26FB"/>
    <w:rsid w:val="003F3135"/>
    <w:rsid w:val="003F3BE5"/>
    <w:rsid w:val="00403E91"/>
    <w:rsid w:val="00406156"/>
    <w:rsid w:val="004077F5"/>
    <w:rsid w:val="00407F6B"/>
    <w:rsid w:val="00411407"/>
    <w:rsid w:val="00412838"/>
    <w:rsid w:val="004133B7"/>
    <w:rsid w:val="00415EDF"/>
    <w:rsid w:val="004216D2"/>
    <w:rsid w:val="00422B97"/>
    <w:rsid w:val="004235CD"/>
    <w:rsid w:val="004261C9"/>
    <w:rsid w:val="004301D7"/>
    <w:rsid w:val="00430BE1"/>
    <w:rsid w:val="004341EB"/>
    <w:rsid w:val="00437369"/>
    <w:rsid w:val="00437870"/>
    <w:rsid w:val="00437D08"/>
    <w:rsid w:val="00441A43"/>
    <w:rsid w:val="00442970"/>
    <w:rsid w:val="00442D3C"/>
    <w:rsid w:val="0044514A"/>
    <w:rsid w:val="00446BAC"/>
    <w:rsid w:val="00447114"/>
    <w:rsid w:val="0045082B"/>
    <w:rsid w:val="00450EF3"/>
    <w:rsid w:val="00456A6C"/>
    <w:rsid w:val="00456DEC"/>
    <w:rsid w:val="004601A0"/>
    <w:rsid w:val="004603A6"/>
    <w:rsid w:val="004630B8"/>
    <w:rsid w:val="004635DA"/>
    <w:rsid w:val="00464DF6"/>
    <w:rsid w:val="00471E80"/>
    <w:rsid w:val="00472CF0"/>
    <w:rsid w:val="00473229"/>
    <w:rsid w:val="004739EB"/>
    <w:rsid w:val="00473CA0"/>
    <w:rsid w:val="00474049"/>
    <w:rsid w:val="00474B45"/>
    <w:rsid w:val="00475FB0"/>
    <w:rsid w:val="00477F1D"/>
    <w:rsid w:val="0048233B"/>
    <w:rsid w:val="00483805"/>
    <w:rsid w:val="00483E4B"/>
    <w:rsid w:val="00491F59"/>
    <w:rsid w:val="00492712"/>
    <w:rsid w:val="004947F9"/>
    <w:rsid w:val="00496303"/>
    <w:rsid w:val="004A37FC"/>
    <w:rsid w:val="004A55E1"/>
    <w:rsid w:val="004A7187"/>
    <w:rsid w:val="004A72F8"/>
    <w:rsid w:val="004B041E"/>
    <w:rsid w:val="004B42FF"/>
    <w:rsid w:val="004B4FB6"/>
    <w:rsid w:val="004C0816"/>
    <w:rsid w:val="004C0C95"/>
    <w:rsid w:val="004C7F2F"/>
    <w:rsid w:val="004C7F7C"/>
    <w:rsid w:val="004D5ADC"/>
    <w:rsid w:val="004D625C"/>
    <w:rsid w:val="004D665A"/>
    <w:rsid w:val="004E0226"/>
    <w:rsid w:val="004E068C"/>
    <w:rsid w:val="004E351D"/>
    <w:rsid w:val="004E43F1"/>
    <w:rsid w:val="004F0BDD"/>
    <w:rsid w:val="004F1799"/>
    <w:rsid w:val="004F79E6"/>
    <w:rsid w:val="00504C29"/>
    <w:rsid w:val="005059E6"/>
    <w:rsid w:val="00505C9C"/>
    <w:rsid w:val="005075B1"/>
    <w:rsid w:val="0051022D"/>
    <w:rsid w:val="005116D1"/>
    <w:rsid w:val="00513978"/>
    <w:rsid w:val="005145DB"/>
    <w:rsid w:val="00517537"/>
    <w:rsid w:val="00524BB0"/>
    <w:rsid w:val="005307BB"/>
    <w:rsid w:val="00546E79"/>
    <w:rsid w:val="00550A02"/>
    <w:rsid w:val="00555DA8"/>
    <w:rsid w:val="005569EC"/>
    <w:rsid w:val="00561437"/>
    <w:rsid w:val="00563792"/>
    <w:rsid w:val="00565AE1"/>
    <w:rsid w:val="00565E82"/>
    <w:rsid w:val="005676DB"/>
    <w:rsid w:val="0057545B"/>
    <w:rsid w:val="0057750C"/>
    <w:rsid w:val="005831DD"/>
    <w:rsid w:val="005833D7"/>
    <w:rsid w:val="00585D9B"/>
    <w:rsid w:val="0058754A"/>
    <w:rsid w:val="00590C1D"/>
    <w:rsid w:val="005915FE"/>
    <w:rsid w:val="00593661"/>
    <w:rsid w:val="00596A2C"/>
    <w:rsid w:val="005A12A3"/>
    <w:rsid w:val="005A1DA4"/>
    <w:rsid w:val="005A2430"/>
    <w:rsid w:val="005A28A3"/>
    <w:rsid w:val="005A3B8B"/>
    <w:rsid w:val="005A7482"/>
    <w:rsid w:val="005B031A"/>
    <w:rsid w:val="005B4A06"/>
    <w:rsid w:val="005C0F53"/>
    <w:rsid w:val="005C3D0E"/>
    <w:rsid w:val="005C424F"/>
    <w:rsid w:val="005C49C5"/>
    <w:rsid w:val="005C5E13"/>
    <w:rsid w:val="005C7C1A"/>
    <w:rsid w:val="005C7DCC"/>
    <w:rsid w:val="005D56BB"/>
    <w:rsid w:val="005E09E0"/>
    <w:rsid w:val="005E1B1D"/>
    <w:rsid w:val="005E1D94"/>
    <w:rsid w:val="005E5E0E"/>
    <w:rsid w:val="005F1049"/>
    <w:rsid w:val="005F4CDA"/>
    <w:rsid w:val="005F50CD"/>
    <w:rsid w:val="006026DB"/>
    <w:rsid w:val="0060294B"/>
    <w:rsid w:val="00605B4A"/>
    <w:rsid w:val="00610E51"/>
    <w:rsid w:val="006166C3"/>
    <w:rsid w:val="00616C92"/>
    <w:rsid w:val="0061710E"/>
    <w:rsid w:val="0061774D"/>
    <w:rsid w:val="00621F82"/>
    <w:rsid w:val="006241A5"/>
    <w:rsid w:val="00624394"/>
    <w:rsid w:val="006248E2"/>
    <w:rsid w:val="00624BC6"/>
    <w:rsid w:val="006304B3"/>
    <w:rsid w:val="00634C7C"/>
    <w:rsid w:val="006438B1"/>
    <w:rsid w:val="00645494"/>
    <w:rsid w:val="00646D31"/>
    <w:rsid w:val="0064762D"/>
    <w:rsid w:val="006525B5"/>
    <w:rsid w:val="00657CC9"/>
    <w:rsid w:val="0066048B"/>
    <w:rsid w:val="006629D3"/>
    <w:rsid w:val="0067008C"/>
    <w:rsid w:val="00671062"/>
    <w:rsid w:val="00672543"/>
    <w:rsid w:val="006729D4"/>
    <w:rsid w:val="00675860"/>
    <w:rsid w:val="006771E0"/>
    <w:rsid w:val="00682A69"/>
    <w:rsid w:val="006856AC"/>
    <w:rsid w:val="00695601"/>
    <w:rsid w:val="006A3C93"/>
    <w:rsid w:val="006A58A9"/>
    <w:rsid w:val="006A7CB1"/>
    <w:rsid w:val="006B1DDF"/>
    <w:rsid w:val="006B2B13"/>
    <w:rsid w:val="006B3FB1"/>
    <w:rsid w:val="006B4921"/>
    <w:rsid w:val="006B4D96"/>
    <w:rsid w:val="006B68C8"/>
    <w:rsid w:val="006C1535"/>
    <w:rsid w:val="006C160C"/>
    <w:rsid w:val="006C1FA7"/>
    <w:rsid w:val="006C2593"/>
    <w:rsid w:val="006C2D73"/>
    <w:rsid w:val="006C2D9C"/>
    <w:rsid w:val="006C4BE3"/>
    <w:rsid w:val="006D2D63"/>
    <w:rsid w:val="006D4B97"/>
    <w:rsid w:val="006D70D0"/>
    <w:rsid w:val="006D7B6A"/>
    <w:rsid w:val="006E00DF"/>
    <w:rsid w:val="006E158E"/>
    <w:rsid w:val="006E1772"/>
    <w:rsid w:val="006E48EC"/>
    <w:rsid w:val="006E5DF2"/>
    <w:rsid w:val="006E644F"/>
    <w:rsid w:val="006F1C94"/>
    <w:rsid w:val="006F76AA"/>
    <w:rsid w:val="006F7825"/>
    <w:rsid w:val="007015DB"/>
    <w:rsid w:val="00703390"/>
    <w:rsid w:val="00704A95"/>
    <w:rsid w:val="0070777B"/>
    <w:rsid w:val="00712624"/>
    <w:rsid w:val="00721E8A"/>
    <w:rsid w:val="007229ED"/>
    <w:rsid w:val="0073032C"/>
    <w:rsid w:val="00732E2D"/>
    <w:rsid w:val="00732F20"/>
    <w:rsid w:val="007352B9"/>
    <w:rsid w:val="0073666A"/>
    <w:rsid w:val="00737107"/>
    <w:rsid w:val="0074079D"/>
    <w:rsid w:val="00745BB6"/>
    <w:rsid w:val="00745CC3"/>
    <w:rsid w:val="00750798"/>
    <w:rsid w:val="00751BAD"/>
    <w:rsid w:val="00752F5F"/>
    <w:rsid w:val="00753C0A"/>
    <w:rsid w:val="00756063"/>
    <w:rsid w:val="007661B1"/>
    <w:rsid w:val="00770CFB"/>
    <w:rsid w:val="00770FC3"/>
    <w:rsid w:val="00771BD9"/>
    <w:rsid w:val="00773E22"/>
    <w:rsid w:val="00781B87"/>
    <w:rsid w:val="00782395"/>
    <w:rsid w:val="00785415"/>
    <w:rsid w:val="00785E32"/>
    <w:rsid w:val="00787553"/>
    <w:rsid w:val="00792B85"/>
    <w:rsid w:val="00794B2D"/>
    <w:rsid w:val="007979B2"/>
    <w:rsid w:val="007A46CE"/>
    <w:rsid w:val="007B07E8"/>
    <w:rsid w:val="007B2320"/>
    <w:rsid w:val="007B31FC"/>
    <w:rsid w:val="007B3C4E"/>
    <w:rsid w:val="007B3E0D"/>
    <w:rsid w:val="007B7B2C"/>
    <w:rsid w:val="007C067A"/>
    <w:rsid w:val="007C0FFA"/>
    <w:rsid w:val="007C34DE"/>
    <w:rsid w:val="007C42CD"/>
    <w:rsid w:val="007D2024"/>
    <w:rsid w:val="007D3C7B"/>
    <w:rsid w:val="007D70CB"/>
    <w:rsid w:val="007E081A"/>
    <w:rsid w:val="007E2785"/>
    <w:rsid w:val="007E6C78"/>
    <w:rsid w:val="007E7F19"/>
    <w:rsid w:val="007F0E69"/>
    <w:rsid w:val="007F5530"/>
    <w:rsid w:val="00800CF5"/>
    <w:rsid w:val="0080648A"/>
    <w:rsid w:val="00813A36"/>
    <w:rsid w:val="00813FFA"/>
    <w:rsid w:val="008271E3"/>
    <w:rsid w:val="008277D4"/>
    <w:rsid w:val="0083208B"/>
    <w:rsid w:val="00833285"/>
    <w:rsid w:val="00836547"/>
    <w:rsid w:val="00840457"/>
    <w:rsid w:val="00843BF8"/>
    <w:rsid w:val="0084516F"/>
    <w:rsid w:val="00847938"/>
    <w:rsid w:val="008500C6"/>
    <w:rsid w:val="008512B2"/>
    <w:rsid w:val="00856A93"/>
    <w:rsid w:val="00861B0C"/>
    <w:rsid w:val="00867A58"/>
    <w:rsid w:val="008720B2"/>
    <w:rsid w:val="008739C9"/>
    <w:rsid w:val="0087575F"/>
    <w:rsid w:val="00880953"/>
    <w:rsid w:val="00881ADE"/>
    <w:rsid w:val="00885D02"/>
    <w:rsid w:val="00887E61"/>
    <w:rsid w:val="00892C56"/>
    <w:rsid w:val="008B54CD"/>
    <w:rsid w:val="008B6A11"/>
    <w:rsid w:val="008B6ADB"/>
    <w:rsid w:val="008C193A"/>
    <w:rsid w:val="008C25E2"/>
    <w:rsid w:val="008C6679"/>
    <w:rsid w:val="008D1C2A"/>
    <w:rsid w:val="008E1BBA"/>
    <w:rsid w:val="008E6751"/>
    <w:rsid w:val="008F055D"/>
    <w:rsid w:val="008F2B9D"/>
    <w:rsid w:val="008F3003"/>
    <w:rsid w:val="008F3130"/>
    <w:rsid w:val="008F72C7"/>
    <w:rsid w:val="009034E4"/>
    <w:rsid w:val="00910BA3"/>
    <w:rsid w:val="00912CAE"/>
    <w:rsid w:val="0091398E"/>
    <w:rsid w:val="00914F0F"/>
    <w:rsid w:val="0091764C"/>
    <w:rsid w:val="0092124E"/>
    <w:rsid w:val="0092539F"/>
    <w:rsid w:val="00926112"/>
    <w:rsid w:val="00935618"/>
    <w:rsid w:val="009361C1"/>
    <w:rsid w:val="009371C3"/>
    <w:rsid w:val="00940621"/>
    <w:rsid w:val="009663B0"/>
    <w:rsid w:val="0097179C"/>
    <w:rsid w:val="0097573C"/>
    <w:rsid w:val="00980027"/>
    <w:rsid w:val="0098018B"/>
    <w:rsid w:val="009822A1"/>
    <w:rsid w:val="00985B76"/>
    <w:rsid w:val="00986D8B"/>
    <w:rsid w:val="00996074"/>
    <w:rsid w:val="00996099"/>
    <w:rsid w:val="009A0D0F"/>
    <w:rsid w:val="009A4D6D"/>
    <w:rsid w:val="009A606B"/>
    <w:rsid w:val="009A6D2E"/>
    <w:rsid w:val="009B58AF"/>
    <w:rsid w:val="009B5BEA"/>
    <w:rsid w:val="009B6D33"/>
    <w:rsid w:val="009B7F25"/>
    <w:rsid w:val="009C1760"/>
    <w:rsid w:val="009C318B"/>
    <w:rsid w:val="009C7D0D"/>
    <w:rsid w:val="009D6F99"/>
    <w:rsid w:val="009D7364"/>
    <w:rsid w:val="009E00F3"/>
    <w:rsid w:val="009E1B9C"/>
    <w:rsid w:val="009E3719"/>
    <w:rsid w:val="009E53B3"/>
    <w:rsid w:val="009F1164"/>
    <w:rsid w:val="009F14F4"/>
    <w:rsid w:val="009F3F8D"/>
    <w:rsid w:val="009F7B13"/>
    <w:rsid w:val="00A02865"/>
    <w:rsid w:val="00A04E5D"/>
    <w:rsid w:val="00A04EC6"/>
    <w:rsid w:val="00A07A6A"/>
    <w:rsid w:val="00A10E41"/>
    <w:rsid w:val="00A11312"/>
    <w:rsid w:val="00A118AB"/>
    <w:rsid w:val="00A162FD"/>
    <w:rsid w:val="00A17AB5"/>
    <w:rsid w:val="00A17E30"/>
    <w:rsid w:val="00A20299"/>
    <w:rsid w:val="00A230D7"/>
    <w:rsid w:val="00A24C3A"/>
    <w:rsid w:val="00A40072"/>
    <w:rsid w:val="00A43FDA"/>
    <w:rsid w:val="00A45F3F"/>
    <w:rsid w:val="00A47AC0"/>
    <w:rsid w:val="00A531E4"/>
    <w:rsid w:val="00A54F9A"/>
    <w:rsid w:val="00A5579E"/>
    <w:rsid w:val="00A6510A"/>
    <w:rsid w:val="00A65F59"/>
    <w:rsid w:val="00A71D9B"/>
    <w:rsid w:val="00A73177"/>
    <w:rsid w:val="00A73DB2"/>
    <w:rsid w:val="00A753A1"/>
    <w:rsid w:val="00A77B3E"/>
    <w:rsid w:val="00A84A24"/>
    <w:rsid w:val="00A85250"/>
    <w:rsid w:val="00A86D94"/>
    <w:rsid w:val="00A87E6E"/>
    <w:rsid w:val="00A9090B"/>
    <w:rsid w:val="00A915BE"/>
    <w:rsid w:val="00A9249C"/>
    <w:rsid w:val="00A959C6"/>
    <w:rsid w:val="00AA2D52"/>
    <w:rsid w:val="00AA357E"/>
    <w:rsid w:val="00AA5981"/>
    <w:rsid w:val="00AB0997"/>
    <w:rsid w:val="00AB2A63"/>
    <w:rsid w:val="00AB3BB1"/>
    <w:rsid w:val="00AB5566"/>
    <w:rsid w:val="00AB7DD3"/>
    <w:rsid w:val="00AC1600"/>
    <w:rsid w:val="00AC4906"/>
    <w:rsid w:val="00AD0E4E"/>
    <w:rsid w:val="00AD5F6A"/>
    <w:rsid w:val="00AD7461"/>
    <w:rsid w:val="00AD7D10"/>
    <w:rsid w:val="00AE1A17"/>
    <w:rsid w:val="00AE3374"/>
    <w:rsid w:val="00AE4960"/>
    <w:rsid w:val="00AF1AE8"/>
    <w:rsid w:val="00AF3514"/>
    <w:rsid w:val="00AF4DE0"/>
    <w:rsid w:val="00AF62E8"/>
    <w:rsid w:val="00AF6A35"/>
    <w:rsid w:val="00AF7005"/>
    <w:rsid w:val="00B00AB7"/>
    <w:rsid w:val="00B00C94"/>
    <w:rsid w:val="00B059A4"/>
    <w:rsid w:val="00B05C93"/>
    <w:rsid w:val="00B06C1A"/>
    <w:rsid w:val="00B1077A"/>
    <w:rsid w:val="00B21B0F"/>
    <w:rsid w:val="00B22CC1"/>
    <w:rsid w:val="00B23AFB"/>
    <w:rsid w:val="00B23F5E"/>
    <w:rsid w:val="00B260D9"/>
    <w:rsid w:val="00B40E2F"/>
    <w:rsid w:val="00B41516"/>
    <w:rsid w:val="00B47CE2"/>
    <w:rsid w:val="00B51C93"/>
    <w:rsid w:val="00B53EE7"/>
    <w:rsid w:val="00B56C71"/>
    <w:rsid w:val="00B751E9"/>
    <w:rsid w:val="00B773C4"/>
    <w:rsid w:val="00B77B4A"/>
    <w:rsid w:val="00B86EEE"/>
    <w:rsid w:val="00BA18CB"/>
    <w:rsid w:val="00BA4EC9"/>
    <w:rsid w:val="00BA73EE"/>
    <w:rsid w:val="00BB66C8"/>
    <w:rsid w:val="00BC264A"/>
    <w:rsid w:val="00BC31DF"/>
    <w:rsid w:val="00BD3FCA"/>
    <w:rsid w:val="00BD48BB"/>
    <w:rsid w:val="00BE0F51"/>
    <w:rsid w:val="00BF157A"/>
    <w:rsid w:val="00BF3923"/>
    <w:rsid w:val="00BF5A14"/>
    <w:rsid w:val="00BF5CA5"/>
    <w:rsid w:val="00BF662D"/>
    <w:rsid w:val="00BF684C"/>
    <w:rsid w:val="00BF6DB0"/>
    <w:rsid w:val="00C00CBD"/>
    <w:rsid w:val="00C012F4"/>
    <w:rsid w:val="00C054B7"/>
    <w:rsid w:val="00C06AF6"/>
    <w:rsid w:val="00C10A84"/>
    <w:rsid w:val="00C124C0"/>
    <w:rsid w:val="00C139FB"/>
    <w:rsid w:val="00C13DA5"/>
    <w:rsid w:val="00C14203"/>
    <w:rsid w:val="00C15253"/>
    <w:rsid w:val="00C15FB5"/>
    <w:rsid w:val="00C20340"/>
    <w:rsid w:val="00C216BF"/>
    <w:rsid w:val="00C24DD7"/>
    <w:rsid w:val="00C3122E"/>
    <w:rsid w:val="00C3330D"/>
    <w:rsid w:val="00C373AF"/>
    <w:rsid w:val="00C4060C"/>
    <w:rsid w:val="00C46523"/>
    <w:rsid w:val="00C6030C"/>
    <w:rsid w:val="00C633DD"/>
    <w:rsid w:val="00C63E5A"/>
    <w:rsid w:val="00C75EED"/>
    <w:rsid w:val="00C76B67"/>
    <w:rsid w:val="00C80D4E"/>
    <w:rsid w:val="00C92187"/>
    <w:rsid w:val="00C923E4"/>
    <w:rsid w:val="00C97AC9"/>
    <w:rsid w:val="00CA1028"/>
    <w:rsid w:val="00CA2A55"/>
    <w:rsid w:val="00CA7193"/>
    <w:rsid w:val="00CB4963"/>
    <w:rsid w:val="00CB6077"/>
    <w:rsid w:val="00CB7E27"/>
    <w:rsid w:val="00CC1F80"/>
    <w:rsid w:val="00CC45A4"/>
    <w:rsid w:val="00CC5D96"/>
    <w:rsid w:val="00CD1C60"/>
    <w:rsid w:val="00CD2497"/>
    <w:rsid w:val="00CD358F"/>
    <w:rsid w:val="00CE012F"/>
    <w:rsid w:val="00CE2474"/>
    <w:rsid w:val="00CF45F2"/>
    <w:rsid w:val="00CF4CE6"/>
    <w:rsid w:val="00CF702C"/>
    <w:rsid w:val="00CF7B36"/>
    <w:rsid w:val="00D0196F"/>
    <w:rsid w:val="00D04348"/>
    <w:rsid w:val="00D04949"/>
    <w:rsid w:val="00D04E4E"/>
    <w:rsid w:val="00D155D1"/>
    <w:rsid w:val="00D158FE"/>
    <w:rsid w:val="00D20D77"/>
    <w:rsid w:val="00D21F20"/>
    <w:rsid w:val="00D23171"/>
    <w:rsid w:val="00D271FB"/>
    <w:rsid w:val="00D276E8"/>
    <w:rsid w:val="00D3001A"/>
    <w:rsid w:val="00D34577"/>
    <w:rsid w:val="00D35BF9"/>
    <w:rsid w:val="00D37DF1"/>
    <w:rsid w:val="00D444D1"/>
    <w:rsid w:val="00D5372F"/>
    <w:rsid w:val="00D53F7B"/>
    <w:rsid w:val="00D5607D"/>
    <w:rsid w:val="00D5620F"/>
    <w:rsid w:val="00D5742E"/>
    <w:rsid w:val="00D6219E"/>
    <w:rsid w:val="00D62DE2"/>
    <w:rsid w:val="00D63598"/>
    <w:rsid w:val="00D64063"/>
    <w:rsid w:val="00D714F2"/>
    <w:rsid w:val="00D72FE3"/>
    <w:rsid w:val="00D73CA6"/>
    <w:rsid w:val="00D73E68"/>
    <w:rsid w:val="00D80182"/>
    <w:rsid w:val="00D85E35"/>
    <w:rsid w:val="00D86C79"/>
    <w:rsid w:val="00D92133"/>
    <w:rsid w:val="00D9213F"/>
    <w:rsid w:val="00D94938"/>
    <w:rsid w:val="00DA510C"/>
    <w:rsid w:val="00DB0236"/>
    <w:rsid w:val="00DB1A0F"/>
    <w:rsid w:val="00DB2A66"/>
    <w:rsid w:val="00DB2AD5"/>
    <w:rsid w:val="00DB3019"/>
    <w:rsid w:val="00DB34BB"/>
    <w:rsid w:val="00DB5B5A"/>
    <w:rsid w:val="00DB6BBE"/>
    <w:rsid w:val="00DC08A6"/>
    <w:rsid w:val="00DC1DF7"/>
    <w:rsid w:val="00DC2252"/>
    <w:rsid w:val="00DC4E11"/>
    <w:rsid w:val="00DC5D19"/>
    <w:rsid w:val="00DC682B"/>
    <w:rsid w:val="00DC7789"/>
    <w:rsid w:val="00DD02A4"/>
    <w:rsid w:val="00DD10E6"/>
    <w:rsid w:val="00DD5E59"/>
    <w:rsid w:val="00DE0250"/>
    <w:rsid w:val="00DE324E"/>
    <w:rsid w:val="00DF065F"/>
    <w:rsid w:val="00DF0F39"/>
    <w:rsid w:val="00DF2A2D"/>
    <w:rsid w:val="00DF552F"/>
    <w:rsid w:val="00DF5755"/>
    <w:rsid w:val="00E04083"/>
    <w:rsid w:val="00E100D5"/>
    <w:rsid w:val="00E11BF4"/>
    <w:rsid w:val="00E178AC"/>
    <w:rsid w:val="00E201FC"/>
    <w:rsid w:val="00E20B85"/>
    <w:rsid w:val="00E24839"/>
    <w:rsid w:val="00E2534E"/>
    <w:rsid w:val="00E25F1B"/>
    <w:rsid w:val="00E27863"/>
    <w:rsid w:val="00E3298F"/>
    <w:rsid w:val="00E3761A"/>
    <w:rsid w:val="00E433BC"/>
    <w:rsid w:val="00E44514"/>
    <w:rsid w:val="00E50165"/>
    <w:rsid w:val="00E505EE"/>
    <w:rsid w:val="00E537FE"/>
    <w:rsid w:val="00E5593E"/>
    <w:rsid w:val="00E60F7E"/>
    <w:rsid w:val="00E628C1"/>
    <w:rsid w:val="00E62B71"/>
    <w:rsid w:val="00E637D7"/>
    <w:rsid w:val="00E75325"/>
    <w:rsid w:val="00E814B4"/>
    <w:rsid w:val="00E8227A"/>
    <w:rsid w:val="00E84C67"/>
    <w:rsid w:val="00E86199"/>
    <w:rsid w:val="00E87A93"/>
    <w:rsid w:val="00E9205C"/>
    <w:rsid w:val="00E924D2"/>
    <w:rsid w:val="00E929CF"/>
    <w:rsid w:val="00E945DA"/>
    <w:rsid w:val="00EA5584"/>
    <w:rsid w:val="00EA5EFD"/>
    <w:rsid w:val="00EB7204"/>
    <w:rsid w:val="00EC01BE"/>
    <w:rsid w:val="00EC0A7A"/>
    <w:rsid w:val="00ED216C"/>
    <w:rsid w:val="00ED7E27"/>
    <w:rsid w:val="00EE2736"/>
    <w:rsid w:val="00EE7C29"/>
    <w:rsid w:val="00EF54FC"/>
    <w:rsid w:val="00EF649B"/>
    <w:rsid w:val="00EF750D"/>
    <w:rsid w:val="00F00962"/>
    <w:rsid w:val="00F00E69"/>
    <w:rsid w:val="00F02B71"/>
    <w:rsid w:val="00F0388E"/>
    <w:rsid w:val="00F05033"/>
    <w:rsid w:val="00F24159"/>
    <w:rsid w:val="00F258F0"/>
    <w:rsid w:val="00F276DF"/>
    <w:rsid w:val="00F3540E"/>
    <w:rsid w:val="00F35703"/>
    <w:rsid w:val="00F36D5E"/>
    <w:rsid w:val="00F37DBA"/>
    <w:rsid w:val="00F40410"/>
    <w:rsid w:val="00F411EB"/>
    <w:rsid w:val="00F430BE"/>
    <w:rsid w:val="00F474BE"/>
    <w:rsid w:val="00F51037"/>
    <w:rsid w:val="00F518B9"/>
    <w:rsid w:val="00F51EEC"/>
    <w:rsid w:val="00F545A8"/>
    <w:rsid w:val="00F61A32"/>
    <w:rsid w:val="00F63CB9"/>
    <w:rsid w:val="00F6600E"/>
    <w:rsid w:val="00F67AEC"/>
    <w:rsid w:val="00F716F8"/>
    <w:rsid w:val="00F800DD"/>
    <w:rsid w:val="00F808BE"/>
    <w:rsid w:val="00F86777"/>
    <w:rsid w:val="00F87EAF"/>
    <w:rsid w:val="00F87F65"/>
    <w:rsid w:val="00FA005F"/>
    <w:rsid w:val="00FA0E08"/>
    <w:rsid w:val="00FA3218"/>
    <w:rsid w:val="00FA5816"/>
    <w:rsid w:val="00FB046A"/>
    <w:rsid w:val="00FB6240"/>
    <w:rsid w:val="00FB6413"/>
    <w:rsid w:val="00FC03DB"/>
    <w:rsid w:val="00FC21AB"/>
    <w:rsid w:val="00FC68ED"/>
    <w:rsid w:val="00FD0A8D"/>
    <w:rsid w:val="00FD0D3C"/>
    <w:rsid w:val="00FD5C7C"/>
    <w:rsid w:val="00FE7BC0"/>
    <w:rsid w:val="00FF2322"/>
    <w:rsid w:val="00FF3FE5"/>
    <w:rsid w:val="00FF7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92845"/>
  <w15:docId w15:val="{C8E32E91-3A1B-44FA-A49D-0FCA97850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uiPriority="99"/>
    <w:lsdException w:name="footer" w:uiPriority="99"/>
    <w:lsdException w:name="caption" w:semiHidden="1" w:unhideWhenUsed="1" w:qFormat="1"/>
    <w:lsdException w:name="Title" w:uiPriority="10" w:qFormat="1"/>
    <w:lsdException w:name="Subtitle" w:uiPriority="11"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480" w:lineRule="auto"/>
    </w:pPr>
    <w:rPr>
      <w:sz w:val="24"/>
      <w:szCs w:val="24"/>
      <w:lang w:val="en-GB"/>
    </w:rPr>
  </w:style>
  <w:style w:type="paragraph" w:styleId="Heading1">
    <w:name w:val="heading 1"/>
    <w:basedOn w:val="Normal"/>
    <w:next w:val="Normal"/>
    <w:link w:val="Heading1Char"/>
    <w:uiPriority w:val="9"/>
    <w:qFormat/>
    <w:rsid w:val="004133B7"/>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rPr>
  </w:style>
  <w:style w:type="paragraph" w:styleId="Heading2">
    <w:name w:val="heading 2"/>
    <w:basedOn w:val="Normal"/>
    <w:next w:val="Normal"/>
    <w:link w:val="Heading2Char"/>
    <w:uiPriority w:val="9"/>
    <w:semiHidden/>
    <w:unhideWhenUsed/>
    <w:qFormat/>
    <w:rsid w:val="004133B7"/>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rPr>
  </w:style>
  <w:style w:type="paragraph" w:styleId="Heading3">
    <w:name w:val="heading 3"/>
    <w:basedOn w:val="Normal"/>
    <w:next w:val="Normal"/>
    <w:link w:val="Heading3Char"/>
    <w:uiPriority w:val="9"/>
    <w:semiHidden/>
    <w:unhideWhenUsed/>
    <w:qFormat/>
    <w:rsid w:val="004133B7"/>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rPr>
  </w:style>
  <w:style w:type="paragraph" w:styleId="Heading4">
    <w:name w:val="heading 4"/>
    <w:basedOn w:val="Normal"/>
    <w:next w:val="Normal"/>
    <w:link w:val="Heading4Char"/>
    <w:uiPriority w:val="9"/>
    <w:semiHidden/>
    <w:unhideWhenUsed/>
    <w:qFormat/>
    <w:rsid w:val="004133B7"/>
    <w:pPr>
      <w:keepNext/>
      <w:keepLines/>
      <w:spacing w:before="80" w:after="40" w:line="278" w:lineRule="auto"/>
      <w:outlineLvl w:val="3"/>
    </w:pPr>
    <w:rPr>
      <w:rFonts w:asciiTheme="minorHAnsi" w:eastAsiaTheme="majorEastAsia" w:hAnsiTheme="minorHAnsi" w:cstheme="majorBidi"/>
      <w:i/>
      <w:iCs/>
      <w:color w:val="2F5496" w:themeColor="accent1" w:themeShade="BF"/>
      <w:kern w:val="2"/>
    </w:rPr>
  </w:style>
  <w:style w:type="paragraph" w:styleId="Heading5">
    <w:name w:val="heading 5"/>
    <w:basedOn w:val="Normal"/>
    <w:next w:val="Normal"/>
    <w:link w:val="Heading5Char"/>
    <w:uiPriority w:val="9"/>
    <w:semiHidden/>
    <w:unhideWhenUsed/>
    <w:qFormat/>
    <w:rsid w:val="004133B7"/>
    <w:pPr>
      <w:keepNext/>
      <w:keepLines/>
      <w:spacing w:before="80" w:after="40" w:line="278" w:lineRule="auto"/>
      <w:outlineLvl w:val="4"/>
    </w:pPr>
    <w:rPr>
      <w:rFonts w:asciiTheme="minorHAnsi" w:eastAsiaTheme="majorEastAsia" w:hAnsiTheme="minorHAnsi" w:cstheme="majorBidi"/>
      <w:color w:val="2F5496" w:themeColor="accent1" w:themeShade="BF"/>
      <w:kern w:val="2"/>
    </w:rPr>
  </w:style>
  <w:style w:type="paragraph" w:styleId="Heading6">
    <w:name w:val="heading 6"/>
    <w:basedOn w:val="Normal"/>
    <w:next w:val="Normal"/>
    <w:link w:val="Heading6Char"/>
    <w:uiPriority w:val="9"/>
    <w:semiHidden/>
    <w:unhideWhenUsed/>
    <w:qFormat/>
    <w:rsid w:val="004133B7"/>
    <w:pPr>
      <w:keepNext/>
      <w:keepLines/>
      <w:spacing w:before="40" w:line="278" w:lineRule="auto"/>
      <w:outlineLvl w:val="5"/>
    </w:pPr>
    <w:rPr>
      <w:rFonts w:asciiTheme="minorHAnsi" w:eastAsiaTheme="majorEastAsia" w:hAnsiTheme="minorHAnsi" w:cstheme="majorBidi"/>
      <w:i/>
      <w:iCs/>
      <w:color w:val="595959" w:themeColor="text1" w:themeTint="A6"/>
      <w:kern w:val="2"/>
    </w:rPr>
  </w:style>
  <w:style w:type="paragraph" w:styleId="Heading7">
    <w:name w:val="heading 7"/>
    <w:basedOn w:val="Normal"/>
    <w:next w:val="Normal"/>
    <w:link w:val="Heading7Char"/>
    <w:uiPriority w:val="9"/>
    <w:semiHidden/>
    <w:unhideWhenUsed/>
    <w:qFormat/>
    <w:rsid w:val="004133B7"/>
    <w:pPr>
      <w:keepNext/>
      <w:keepLines/>
      <w:spacing w:before="40" w:line="278" w:lineRule="auto"/>
      <w:outlineLvl w:val="6"/>
    </w:pPr>
    <w:rPr>
      <w:rFonts w:asciiTheme="minorHAnsi" w:eastAsiaTheme="majorEastAsia" w:hAnsiTheme="minorHAnsi" w:cstheme="majorBidi"/>
      <w:color w:val="595959" w:themeColor="text1" w:themeTint="A6"/>
      <w:kern w:val="2"/>
    </w:rPr>
  </w:style>
  <w:style w:type="paragraph" w:styleId="Heading8">
    <w:name w:val="heading 8"/>
    <w:basedOn w:val="Normal"/>
    <w:next w:val="Normal"/>
    <w:link w:val="Heading8Char"/>
    <w:uiPriority w:val="9"/>
    <w:semiHidden/>
    <w:unhideWhenUsed/>
    <w:qFormat/>
    <w:rsid w:val="004133B7"/>
    <w:pPr>
      <w:keepNext/>
      <w:keepLines/>
      <w:spacing w:line="278" w:lineRule="auto"/>
      <w:outlineLvl w:val="7"/>
    </w:pPr>
    <w:rPr>
      <w:rFonts w:asciiTheme="minorHAnsi" w:eastAsiaTheme="majorEastAsia" w:hAnsiTheme="minorHAnsi" w:cstheme="majorBidi"/>
      <w:i/>
      <w:iCs/>
      <w:color w:val="272727" w:themeColor="text1" w:themeTint="D8"/>
      <w:kern w:val="2"/>
    </w:rPr>
  </w:style>
  <w:style w:type="paragraph" w:styleId="Heading9">
    <w:name w:val="heading 9"/>
    <w:basedOn w:val="Normal"/>
    <w:next w:val="Normal"/>
    <w:link w:val="Heading9Char"/>
    <w:uiPriority w:val="9"/>
    <w:semiHidden/>
    <w:unhideWhenUsed/>
    <w:qFormat/>
    <w:rsid w:val="004133B7"/>
    <w:pPr>
      <w:keepNext/>
      <w:keepLines/>
      <w:spacing w:line="278" w:lineRule="auto"/>
      <w:outlineLvl w:val="8"/>
    </w:pPr>
    <w:rPr>
      <w:rFonts w:asciiTheme="minorHAnsi" w:eastAsiaTheme="majorEastAsia" w:hAnsiTheme="minorHAnsi" w:cstheme="majorBidi"/>
      <w:color w:val="272727" w:themeColor="text1" w:themeTint="D8"/>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23AFB"/>
    <w:pPr>
      <w:tabs>
        <w:tab w:val="center" w:pos="4680"/>
        <w:tab w:val="right" w:pos="9360"/>
      </w:tabs>
    </w:pPr>
  </w:style>
  <w:style w:type="character" w:customStyle="1" w:styleId="HeaderChar">
    <w:name w:val="Header Char"/>
    <w:basedOn w:val="DefaultParagraphFont"/>
    <w:link w:val="Header"/>
    <w:uiPriority w:val="99"/>
    <w:rsid w:val="00B23AFB"/>
    <w:rPr>
      <w:sz w:val="24"/>
      <w:szCs w:val="24"/>
    </w:rPr>
  </w:style>
  <w:style w:type="paragraph" w:styleId="Footer">
    <w:name w:val="footer"/>
    <w:basedOn w:val="Normal"/>
    <w:link w:val="FooterChar"/>
    <w:uiPriority w:val="99"/>
    <w:rsid w:val="00B23AFB"/>
    <w:pPr>
      <w:tabs>
        <w:tab w:val="center" w:pos="4680"/>
        <w:tab w:val="right" w:pos="9360"/>
      </w:tabs>
    </w:pPr>
  </w:style>
  <w:style w:type="character" w:customStyle="1" w:styleId="FooterChar">
    <w:name w:val="Footer Char"/>
    <w:basedOn w:val="DefaultParagraphFont"/>
    <w:link w:val="Footer"/>
    <w:uiPriority w:val="99"/>
    <w:rsid w:val="00B23AFB"/>
    <w:rPr>
      <w:sz w:val="24"/>
      <w:szCs w:val="24"/>
    </w:rPr>
  </w:style>
  <w:style w:type="paragraph" w:styleId="ListParagraph">
    <w:name w:val="List Paragraph"/>
    <w:basedOn w:val="Normal"/>
    <w:uiPriority w:val="34"/>
    <w:qFormat/>
    <w:rsid w:val="00151860"/>
    <w:pPr>
      <w:spacing w:after="160" w:line="278" w:lineRule="auto"/>
      <w:ind w:left="720"/>
      <w:contextualSpacing/>
    </w:pPr>
    <w:rPr>
      <w:rFonts w:asciiTheme="minorHAnsi" w:eastAsiaTheme="minorHAnsi" w:hAnsiTheme="minorHAnsi" w:cstheme="minorBidi"/>
      <w:kern w:val="2"/>
    </w:rPr>
  </w:style>
  <w:style w:type="character" w:customStyle="1" w:styleId="Heading1Char">
    <w:name w:val="Heading 1 Char"/>
    <w:basedOn w:val="DefaultParagraphFont"/>
    <w:link w:val="Heading1"/>
    <w:uiPriority w:val="9"/>
    <w:rsid w:val="004133B7"/>
    <w:rPr>
      <w:rFonts w:asciiTheme="majorHAnsi" w:eastAsiaTheme="majorEastAsia" w:hAnsiTheme="majorHAnsi" w:cstheme="majorBidi"/>
      <w:color w:val="2F5496" w:themeColor="accent1" w:themeShade="BF"/>
      <w:kern w:val="2"/>
      <w:sz w:val="40"/>
      <w:szCs w:val="40"/>
    </w:rPr>
  </w:style>
  <w:style w:type="character" w:customStyle="1" w:styleId="Heading2Char">
    <w:name w:val="Heading 2 Char"/>
    <w:basedOn w:val="DefaultParagraphFont"/>
    <w:link w:val="Heading2"/>
    <w:uiPriority w:val="9"/>
    <w:semiHidden/>
    <w:rsid w:val="004133B7"/>
    <w:rPr>
      <w:rFonts w:asciiTheme="majorHAnsi" w:eastAsiaTheme="majorEastAsia" w:hAnsiTheme="majorHAnsi" w:cstheme="majorBidi"/>
      <w:color w:val="2F5496" w:themeColor="accent1" w:themeShade="BF"/>
      <w:kern w:val="2"/>
      <w:sz w:val="32"/>
      <w:szCs w:val="32"/>
    </w:rPr>
  </w:style>
  <w:style w:type="character" w:customStyle="1" w:styleId="Heading3Char">
    <w:name w:val="Heading 3 Char"/>
    <w:basedOn w:val="DefaultParagraphFont"/>
    <w:link w:val="Heading3"/>
    <w:uiPriority w:val="9"/>
    <w:semiHidden/>
    <w:rsid w:val="004133B7"/>
    <w:rPr>
      <w:rFonts w:asciiTheme="minorHAnsi" w:eastAsiaTheme="majorEastAsia" w:hAnsiTheme="minorHAnsi" w:cstheme="majorBidi"/>
      <w:color w:val="2F5496" w:themeColor="accent1" w:themeShade="BF"/>
      <w:kern w:val="2"/>
      <w:sz w:val="28"/>
      <w:szCs w:val="28"/>
    </w:rPr>
  </w:style>
  <w:style w:type="character" w:customStyle="1" w:styleId="Heading4Char">
    <w:name w:val="Heading 4 Char"/>
    <w:basedOn w:val="DefaultParagraphFont"/>
    <w:link w:val="Heading4"/>
    <w:uiPriority w:val="9"/>
    <w:semiHidden/>
    <w:rsid w:val="004133B7"/>
    <w:rPr>
      <w:rFonts w:asciiTheme="minorHAnsi" w:eastAsiaTheme="majorEastAsia" w:hAnsiTheme="minorHAnsi" w:cstheme="majorBidi"/>
      <w:i/>
      <w:iCs/>
      <w:color w:val="2F5496" w:themeColor="accent1" w:themeShade="BF"/>
      <w:kern w:val="2"/>
      <w:sz w:val="24"/>
      <w:szCs w:val="24"/>
    </w:rPr>
  </w:style>
  <w:style w:type="character" w:customStyle="1" w:styleId="Heading5Char">
    <w:name w:val="Heading 5 Char"/>
    <w:basedOn w:val="DefaultParagraphFont"/>
    <w:link w:val="Heading5"/>
    <w:uiPriority w:val="9"/>
    <w:semiHidden/>
    <w:rsid w:val="004133B7"/>
    <w:rPr>
      <w:rFonts w:asciiTheme="minorHAnsi" w:eastAsiaTheme="majorEastAsia" w:hAnsiTheme="minorHAnsi" w:cstheme="majorBidi"/>
      <w:color w:val="2F5496" w:themeColor="accent1" w:themeShade="BF"/>
      <w:kern w:val="2"/>
      <w:sz w:val="24"/>
      <w:szCs w:val="24"/>
    </w:rPr>
  </w:style>
  <w:style w:type="character" w:customStyle="1" w:styleId="Heading6Char">
    <w:name w:val="Heading 6 Char"/>
    <w:basedOn w:val="DefaultParagraphFont"/>
    <w:link w:val="Heading6"/>
    <w:uiPriority w:val="9"/>
    <w:semiHidden/>
    <w:rsid w:val="004133B7"/>
    <w:rPr>
      <w:rFonts w:asciiTheme="minorHAnsi" w:eastAsiaTheme="majorEastAsia" w:hAnsiTheme="minorHAnsi" w:cstheme="majorBidi"/>
      <w:i/>
      <w:iCs/>
      <w:color w:val="595959" w:themeColor="text1" w:themeTint="A6"/>
      <w:kern w:val="2"/>
      <w:sz w:val="24"/>
      <w:szCs w:val="24"/>
    </w:rPr>
  </w:style>
  <w:style w:type="character" w:customStyle="1" w:styleId="Heading7Char">
    <w:name w:val="Heading 7 Char"/>
    <w:basedOn w:val="DefaultParagraphFont"/>
    <w:link w:val="Heading7"/>
    <w:uiPriority w:val="9"/>
    <w:semiHidden/>
    <w:rsid w:val="004133B7"/>
    <w:rPr>
      <w:rFonts w:asciiTheme="minorHAnsi" w:eastAsiaTheme="majorEastAsia" w:hAnsiTheme="minorHAnsi" w:cstheme="majorBidi"/>
      <w:color w:val="595959" w:themeColor="text1" w:themeTint="A6"/>
      <w:kern w:val="2"/>
      <w:sz w:val="24"/>
      <w:szCs w:val="24"/>
    </w:rPr>
  </w:style>
  <w:style w:type="character" w:customStyle="1" w:styleId="Heading8Char">
    <w:name w:val="Heading 8 Char"/>
    <w:basedOn w:val="DefaultParagraphFont"/>
    <w:link w:val="Heading8"/>
    <w:uiPriority w:val="9"/>
    <w:semiHidden/>
    <w:rsid w:val="004133B7"/>
    <w:rPr>
      <w:rFonts w:asciiTheme="minorHAnsi" w:eastAsiaTheme="majorEastAsia" w:hAnsiTheme="minorHAnsi" w:cstheme="majorBidi"/>
      <w:i/>
      <w:iCs/>
      <w:color w:val="272727" w:themeColor="text1" w:themeTint="D8"/>
      <w:kern w:val="2"/>
      <w:sz w:val="24"/>
      <w:szCs w:val="24"/>
    </w:rPr>
  </w:style>
  <w:style w:type="character" w:customStyle="1" w:styleId="Heading9Char">
    <w:name w:val="Heading 9 Char"/>
    <w:basedOn w:val="DefaultParagraphFont"/>
    <w:link w:val="Heading9"/>
    <w:uiPriority w:val="9"/>
    <w:semiHidden/>
    <w:rsid w:val="004133B7"/>
    <w:rPr>
      <w:rFonts w:asciiTheme="minorHAnsi" w:eastAsiaTheme="majorEastAsia" w:hAnsiTheme="minorHAnsi" w:cstheme="majorBidi"/>
      <w:color w:val="272727" w:themeColor="text1" w:themeTint="D8"/>
      <w:kern w:val="2"/>
      <w:sz w:val="24"/>
      <w:szCs w:val="24"/>
    </w:rPr>
  </w:style>
  <w:style w:type="paragraph" w:styleId="Title">
    <w:name w:val="Title"/>
    <w:basedOn w:val="Normal"/>
    <w:next w:val="Normal"/>
    <w:link w:val="TitleChar"/>
    <w:uiPriority w:val="10"/>
    <w:qFormat/>
    <w:rsid w:val="004133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3B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rPr>
  </w:style>
  <w:style w:type="character" w:customStyle="1" w:styleId="SubtitleChar">
    <w:name w:val="Subtitle Char"/>
    <w:basedOn w:val="DefaultParagraphFont"/>
    <w:link w:val="Subtitle"/>
    <w:uiPriority w:val="11"/>
    <w:rsid w:val="004133B7"/>
    <w:rPr>
      <w:rFonts w:asciiTheme="minorHAnsi" w:eastAsiaTheme="majorEastAsia" w:hAnsiTheme="minorHAnsi" w:cstheme="majorBidi"/>
      <w:color w:val="595959" w:themeColor="text1" w:themeTint="A6"/>
      <w:spacing w:val="15"/>
      <w:kern w:val="2"/>
      <w:sz w:val="28"/>
      <w:szCs w:val="28"/>
    </w:rPr>
  </w:style>
  <w:style w:type="paragraph" w:styleId="Quote">
    <w:name w:val="Quote"/>
    <w:basedOn w:val="Normal"/>
    <w:next w:val="Normal"/>
    <w:link w:val="QuoteChar"/>
    <w:uiPriority w:val="29"/>
    <w:qFormat/>
    <w:rsid w:val="004133B7"/>
    <w:pPr>
      <w:spacing w:before="160" w:after="160" w:line="278" w:lineRule="auto"/>
      <w:jc w:val="center"/>
    </w:pPr>
    <w:rPr>
      <w:rFonts w:asciiTheme="minorHAnsi" w:eastAsiaTheme="minorHAnsi" w:hAnsiTheme="minorHAnsi" w:cstheme="minorBidi"/>
      <w:i/>
      <w:iCs/>
      <w:color w:val="404040" w:themeColor="text1" w:themeTint="BF"/>
      <w:kern w:val="2"/>
    </w:rPr>
  </w:style>
  <w:style w:type="character" w:customStyle="1" w:styleId="QuoteChar">
    <w:name w:val="Quote Char"/>
    <w:basedOn w:val="DefaultParagraphFont"/>
    <w:link w:val="Quote"/>
    <w:uiPriority w:val="29"/>
    <w:rsid w:val="004133B7"/>
    <w:rPr>
      <w:rFonts w:asciiTheme="minorHAnsi" w:eastAsiaTheme="minorHAnsi" w:hAnsiTheme="minorHAnsi" w:cstheme="minorBidi"/>
      <w:i/>
      <w:iCs/>
      <w:color w:val="404040" w:themeColor="text1" w:themeTint="BF"/>
      <w:kern w:val="2"/>
      <w:sz w:val="24"/>
      <w:szCs w:val="24"/>
    </w:rPr>
  </w:style>
  <w:style w:type="character" w:styleId="IntenseEmphasis">
    <w:name w:val="Intense Emphasis"/>
    <w:basedOn w:val="DefaultParagraphFont"/>
    <w:uiPriority w:val="21"/>
    <w:qFormat/>
    <w:rsid w:val="004133B7"/>
    <w:rPr>
      <w:i/>
      <w:iCs/>
      <w:color w:val="2F5496" w:themeColor="accent1" w:themeShade="BF"/>
    </w:rPr>
  </w:style>
  <w:style w:type="paragraph" w:styleId="IntenseQuote">
    <w:name w:val="Intense Quote"/>
    <w:basedOn w:val="Normal"/>
    <w:next w:val="Normal"/>
    <w:link w:val="IntenseQuoteChar"/>
    <w:uiPriority w:val="30"/>
    <w:qFormat/>
    <w:rsid w:val="004133B7"/>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rPr>
  </w:style>
  <w:style w:type="character" w:customStyle="1" w:styleId="IntenseQuoteChar">
    <w:name w:val="Intense Quote Char"/>
    <w:basedOn w:val="DefaultParagraphFont"/>
    <w:link w:val="IntenseQuote"/>
    <w:uiPriority w:val="30"/>
    <w:rsid w:val="004133B7"/>
    <w:rPr>
      <w:rFonts w:asciiTheme="minorHAnsi" w:eastAsiaTheme="minorHAnsi" w:hAnsiTheme="minorHAnsi" w:cstheme="minorBidi"/>
      <w:i/>
      <w:iCs/>
      <w:color w:val="2F5496" w:themeColor="accent1" w:themeShade="BF"/>
      <w:kern w:val="2"/>
      <w:sz w:val="24"/>
      <w:szCs w:val="24"/>
    </w:rPr>
  </w:style>
  <w:style w:type="character" w:styleId="IntenseReference">
    <w:name w:val="Intense Reference"/>
    <w:basedOn w:val="DefaultParagraphFont"/>
    <w:uiPriority w:val="32"/>
    <w:qFormat/>
    <w:rsid w:val="004133B7"/>
    <w:rPr>
      <w:b/>
      <w:bCs/>
      <w:smallCaps/>
      <w:color w:val="2F5496" w:themeColor="accent1" w:themeShade="BF"/>
      <w:spacing w:val="5"/>
    </w:rPr>
  </w:style>
  <w:style w:type="character" w:styleId="Hyperlink">
    <w:name w:val="Hyperlink"/>
    <w:basedOn w:val="DefaultParagraphFont"/>
    <w:uiPriority w:val="99"/>
    <w:unhideWhenUsed/>
    <w:rsid w:val="004133B7"/>
    <w:rPr>
      <w:color w:val="0563C1" w:themeColor="hyperlink"/>
      <w:u w:val="single"/>
    </w:rPr>
  </w:style>
  <w:style w:type="character" w:styleId="UnresolvedMention">
    <w:name w:val="Unresolved Mention"/>
    <w:basedOn w:val="DefaultParagraphFont"/>
    <w:uiPriority w:val="99"/>
    <w:semiHidden/>
    <w:unhideWhenUsed/>
    <w:rsid w:val="004133B7"/>
    <w:rPr>
      <w:color w:val="605E5C"/>
      <w:shd w:val="clear" w:color="auto" w:fill="E1DFDD"/>
    </w:rPr>
  </w:style>
  <w:style w:type="table" w:styleId="TableGrid">
    <w:name w:val="Table Grid"/>
    <w:basedOn w:val="TableNormal"/>
    <w:uiPriority w:val="39"/>
    <w:rsid w:val="004133B7"/>
    <w:rPr>
      <w:rFonts w:asciiTheme="minorHAnsi" w:eastAsiaTheme="minorHAnsi" w:hAnsiTheme="minorHAnsi" w:cstheme="minorBid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133B7"/>
    <w:rPr>
      <w:rFonts w:asciiTheme="minorHAnsi" w:eastAsiaTheme="minorEastAsia" w:hAnsiTheme="minorHAnsi" w:cstheme="minorBidi"/>
      <w:sz w:val="22"/>
      <w:szCs w:val="22"/>
    </w:rPr>
  </w:style>
  <w:style w:type="paragraph" w:styleId="NormalWeb">
    <w:name w:val="Normal (Web)"/>
    <w:basedOn w:val="Normal"/>
    <w:uiPriority w:val="99"/>
    <w:unhideWhenUsed/>
    <w:rsid w:val="004133B7"/>
    <w:pPr>
      <w:spacing w:after="160" w:line="278" w:lineRule="auto"/>
    </w:pPr>
    <w:rPr>
      <w:rFonts w:eastAsiaTheme="minorHAnsi"/>
      <w:kern w:val="2"/>
    </w:rPr>
  </w:style>
  <w:style w:type="character" w:styleId="Strong">
    <w:name w:val="Strong"/>
    <w:basedOn w:val="DefaultParagraphFont"/>
    <w:uiPriority w:val="22"/>
    <w:qFormat/>
    <w:rsid w:val="004133B7"/>
    <w:rPr>
      <w:b/>
      <w:bCs/>
    </w:rPr>
  </w:style>
  <w:style w:type="table" w:styleId="PlainTable5">
    <w:name w:val="Plain Table 5"/>
    <w:basedOn w:val="TableNormal"/>
    <w:uiPriority w:val="45"/>
    <w:rsid w:val="004133B7"/>
    <w:rPr>
      <w:rFonts w:asciiTheme="minorHAnsi" w:eastAsiaTheme="minorHAnsi" w:hAnsiTheme="minorHAnsi" w:cstheme="minorBidi"/>
      <w:kern w:val="2"/>
      <w:sz w:val="24"/>
      <w:szCs w:val="24"/>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4133B7"/>
    <w:rPr>
      <w:rFonts w:asciiTheme="minorHAnsi" w:eastAsiaTheme="minorHAnsi" w:hAnsiTheme="minorHAnsi" w:cstheme="minorBidi"/>
      <w:kern w:val="2"/>
      <w:sz w:val="24"/>
      <w:szCs w:val="24"/>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6Colorful">
    <w:name w:val="List Table 6 Colorful"/>
    <w:basedOn w:val="TableNormal"/>
    <w:uiPriority w:val="51"/>
    <w:rsid w:val="004133B7"/>
    <w:rPr>
      <w:rFonts w:asciiTheme="minorHAnsi" w:eastAsiaTheme="minorHAnsi" w:hAnsiTheme="minorHAnsi" w:cstheme="minorBidi"/>
      <w:color w:val="000000" w:themeColor="text1"/>
      <w:kern w:val="2"/>
      <w:sz w:val="24"/>
      <w:szCs w:val="24"/>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473CA0"/>
    <w:rPr>
      <w:sz w:val="24"/>
      <w:szCs w:val="24"/>
      <w:lang w:val="en-GB"/>
    </w:rPr>
  </w:style>
  <w:style w:type="character" w:styleId="CommentReference">
    <w:name w:val="annotation reference"/>
    <w:basedOn w:val="DefaultParagraphFont"/>
    <w:rsid w:val="00422B97"/>
    <w:rPr>
      <w:sz w:val="16"/>
      <w:szCs w:val="16"/>
    </w:rPr>
  </w:style>
  <w:style w:type="paragraph" w:styleId="CommentText">
    <w:name w:val="annotation text"/>
    <w:basedOn w:val="Normal"/>
    <w:link w:val="CommentTextChar"/>
    <w:rsid w:val="00422B97"/>
    <w:rPr>
      <w:sz w:val="20"/>
      <w:szCs w:val="20"/>
    </w:rPr>
  </w:style>
  <w:style w:type="character" w:customStyle="1" w:styleId="CommentTextChar">
    <w:name w:val="Comment Text Char"/>
    <w:basedOn w:val="DefaultParagraphFont"/>
    <w:link w:val="CommentText"/>
    <w:rsid w:val="00422B97"/>
    <w:rPr>
      <w:lang w:val="en-GB"/>
    </w:rPr>
  </w:style>
  <w:style w:type="paragraph" w:styleId="CommentSubject">
    <w:name w:val="annotation subject"/>
    <w:basedOn w:val="CommentText"/>
    <w:next w:val="CommentText"/>
    <w:link w:val="CommentSubjectChar"/>
    <w:rsid w:val="00422B97"/>
    <w:rPr>
      <w:b/>
      <w:bCs/>
    </w:rPr>
  </w:style>
  <w:style w:type="character" w:customStyle="1" w:styleId="CommentSubjectChar">
    <w:name w:val="Comment Subject Char"/>
    <w:basedOn w:val="CommentTextChar"/>
    <w:link w:val="CommentSubject"/>
    <w:rsid w:val="00422B97"/>
    <w:rPr>
      <w:b/>
      <w:bCs/>
      <w:lang w:val="en-GB"/>
    </w:rPr>
  </w:style>
  <w:style w:type="character" w:styleId="FollowedHyperlink">
    <w:name w:val="FollowedHyperlink"/>
    <w:basedOn w:val="DefaultParagraphFont"/>
    <w:rsid w:val="00F800D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6121">
      <w:bodyDiv w:val="1"/>
      <w:marLeft w:val="0"/>
      <w:marRight w:val="0"/>
      <w:marTop w:val="0"/>
      <w:marBottom w:val="0"/>
      <w:divBdr>
        <w:top w:val="none" w:sz="0" w:space="0" w:color="auto"/>
        <w:left w:val="none" w:sz="0" w:space="0" w:color="auto"/>
        <w:bottom w:val="none" w:sz="0" w:space="0" w:color="auto"/>
        <w:right w:val="none" w:sz="0" w:space="0" w:color="auto"/>
      </w:divBdr>
    </w:div>
    <w:div w:id="4871866">
      <w:bodyDiv w:val="1"/>
      <w:marLeft w:val="0"/>
      <w:marRight w:val="0"/>
      <w:marTop w:val="0"/>
      <w:marBottom w:val="0"/>
      <w:divBdr>
        <w:top w:val="none" w:sz="0" w:space="0" w:color="auto"/>
        <w:left w:val="none" w:sz="0" w:space="0" w:color="auto"/>
        <w:bottom w:val="none" w:sz="0" w:space="0" w:color="auto"/>
        <w:right w:val="none" w:sz="0" w:space="0" w:color="auto"/>
      </w:divBdr>
    </w:div>
    <w:div w:id="94063451">
      <w:bodyDiv w:val="1"/>
      <w:marLeft w:val="0"/>
      <w:marRight w:val="0"/>
      <w:marTop w:val="0"/>
      <w:marBottom w:val="0"/>
      <w:divBdr>
        <w:top w:val="none" w:sz="0" w:space="0" w:color="auto"/>
        <w:left w:val="none" w:sz="0" w:space="0" w:color="auto"/>
        <w:bottom w:val="none" w:sz="0" w:space="0" w:color="auto"/>
        <w:right w:val="none" w:sz="0" w:space="0" w:color="auto"/>
      </w:divBdr>
    </w:div>
    <w:div w:id="136846048">
      <w:bodyDiv w:val="1"/>
      <w:marLeft w:val="0"/>
      <w:marRight w:val="0"/>
      <w:marTop w:val="0"/>
      <w:marBottom w:val="0"/>
      <w:divBdr>
        <w:top w:val="none" w:sz="0" w:space="0" w:color="auto"/>
        <w:left w:val="none" w:sz="0" w:space="0" w:color="auto"/>
        <w:bottom w:val="none" w:sz="0" w:space="0" w:color="auto"/>
        <w:right w:val="none" w:sz="0" w:space="0" w:color="auto"/>
      </w:divBdr>
    </w:div>
    <w:div w:id="191500774">
      <w:bodyDiv w:val="1"/>
      <w:marLeft w:val="0"/>
      <w:marRight w:val="0"/>
      <w:marTop w:val="0"/>
      <w:marBottom w:val="0"/>
      <w:divBdr>
        <w:top w:val="none" w:sz="0" w:space="0" w:color="auto"/>
        <w:left w:val="none" w:sz="0" w:space="0" w:color="auto"/>
        <w:bottom w:val="none" w:sz="0" w:space="0" w:color="auto"/>
        <w:right w:val="none" w:sz="0" w:space="0" w:color="auto"/>
      </w:divBdr>
    </w:div>
    <w:div w:id="247662789">
      <w:bodyDiv w:val="1"/>
      <w:marLeft w:val="0"/>
      <w:marRight w:val="0"/>
      <w:marTop w:val="0"/>
      <w:marBottom w:val="0"/>
      <w:divBdr>
        <w:top w:val="none" w:sz="0" w:space="0" w:color="auto"/>
        <w:left w:val="none" w:sz="0" w:space="0" w:color="auto"/>
        <w:bottom w:val="none" w:sz="0" w:space="0" w:color="auto"/>
        <w:right w:val="none" w:sz="0" w:space="0" w:color="auto"/>
      </w:divBdr>
    </w:div>
    <w:div w:id="705520835">
      <w:bodyDiv w:val="1"/>
      <w:marLeft w:val="0"/>
      <w:marRight w:val="0"/>
      <w:marTop w:val="0"/>
      <w:marBottom w:val="0"/>
      <w:divBdr>
        <w:top w:val="none" w:sz="0" w:space="0" w:color="auto"/>
        <w:left w:val="none" w:sz="0" w:space="0" w:color="auto"/>
        <w:bottom w:val="none" w:sz="0" w:space="0" w:color="auto"/>
        <w:right w:val="none" w:sz="0" w:space="0" w:color="auto"/>
      </w:divBdr>
    </w:div>
    <w:div w:id="741685517">
      <w:bodyDiv w:val="1"/>
      <w:marLeft w:val="0"/>
      <w:marRight w:val="0"/>
      <w:marTop w:val="0"/>
      <w:marBottom w:val="0"/>
      <w:divBdr>
        <w:top w:val="none" w:sz="0" w:space="0" w:color="auto"/>
        <w:left w:val="none" w:sz="0" w:space="0" w:color="auto"/>
        <w:bottom w:val="none" w:sz="0" w:space="0" w:color="auto"/>
        <w:right w:val="none" w:sz="0" w:space="0" w:color="auto"/>
      </w:divBdr>
      <w:divsChild>
        <w:div w:id="1857037609">
          <w:marLeft w:val="0"/>
          <w:marRight w:val="0"/>
          <w:marTop w:val="0"/>
          <w:marBottom w:val="0"/>
          <w:divBdr>
            <w:top w:val="single" w:sz="2" w:space="0" w:color="auto"/>
            <w:left w:val="single" w:sz="2" w:space="0" w:color="auto"/>
            <w:bottom w:val="single" w:sz="2" w:space="0" w:color="auto"/>
            <w:right w:val="single" w:sz="2" w:space="0" w:color="auto"/>
          </w:divBdr>
          <w:divsChild>
            <w:div w:id="1959218491">
              <w:marLeft w:val="0"/>
              <w:marRight w:val="0"/>
              <w:marTop w:val="0"/>
              <w:marBottom w:val="0"/>
              <w:divBdr>
                <w:top w:val="single" w:sz="2" w:space="0" w:color="auto"/>
                <w:left w:val="single" w:sz="2" w:space="0" w:color="auto"/>
                <w:bottom w:val="single" w:sz="2" w:space="0" w:color="auto"/>
                <w:right w:val="single" w:sz="2" w:space="0" w:color="auto"/>
              </w:divBdr>
              <w:divsChild>
                <w:div w:id="2074158753">
                  <w:marLeft w:val="0"/>
                  <w:marRight w:val="0"/>
                  <w:marTop w:val="0"/>
                  <w:marBottom w:val="0"/>
                  <w:divBdr>
                    <w:top w:val="single" w:sz="2" w:space="0" w:color="auto"/>
                    <w:left w:val="single" w:sz="2" w:space="0" w:color="auto"/>
                    <w:bottom w:val="single" w:sz="2" w:space="0" w:color="auto"/>
                    <w:right w:val="single" w:sz="2" w:space="0" w:color="auto"/>
                  </w:divBdr>
                  <w:divsChild>
                    <w:div w:id="1326667682">
                      <w:marLeft w:val="0"/>
                      <w:marRight w:val="0"/>
                      <w:marTop w:val="0"/>
                      <w:marBottom w:val="0"/>
                      <w:divBdr>
                        <w:top w:val="single" w:sz="2" w:space="0" w:color="auto"/>
                        <w:left w:val="single" w:sz="2" w:space="0" w:color="auto"/>
                        <w:bottom w:val="single" w:sz="2" w:space="0" w:color="auto"/>
                        <w:right w:val="single" w:sz="2" w:space="0" w:color="auto"/>
                      </w:divBdr>
                      <w:divsChild>
                        <w:div w:id="310453449">
                          <w:marLeft w:val="0"/>
                          <w:marRight w:val="0"/>
                          <w:marTop w:val="0"/>
                          <w:marBottom w:val="0"/>
                          <w:divBdr>
                            <w:top w:val="single" w:sz="2" w:space="0" w:color="auto"/>
                            <w:left w:val="single" w:sz="2" w:space="0" w:color="auto"/>
                            <w:bottom w:val="single" w:sz="2" w:space="0" w:color="auto"/>
                            <w:right w:val="single" w:sz="2" w:space="0" w:color="auto"/>
                          </w:divBdr>
                          <w:divsChild>
                            <w:div w:id="2007660049">
                              <w:marLeft w:val="0"/>
                              <w:marRight w:val="0"/>
                              <w:marTop w:val="0"/>
                              <w:marBottom w:val="0"/>
                              <w:divBdr>
                                <w:top w:val="single" w:sz="2" w:space="0" w:color="auto"/>
                                <w:left w:val="single" w:sz="2" w:space="0" w:color="auto"/>
                                <w:bottom w:val="single" w:sz="2" w:space="0" w:color="auto"/>
                                <w:right w:val="single" w:sz="2" w:space="0" w:color="auto"/>
                              </w:divBdr>
                              <w:divsChild>
                                <w:div w:id="1200217">
                                  <w:marLeft w:val="0"/>
                                  <w:marRight w:val="0"/>
                                  <w:marTop w:val="0"/>
                                  <w:marBottom w:val="0"/>
                                  <w:divBdr>
                                    <w:top w:val="single" w:sz="2" w:space="0" w:color="auto"/>
                                    <w:left w:val="single" w:sz="2" w:space="0" w:color="auto"/>
                                    <w:bottom w:val="single" w:sz="2" w:space="0" w:color="auto"/>
                                    <w:right w:val="single" w:sz="2" w:space="0" w:color="auto"/>
                                  </w:divBdr>
                                  <w:divsChild>
                                    <w:div w:id="975796482">
                                      <w:marLeft w:val="0"/>
                                      <w:marRight w:val="0"/>
                                      <w:marTop w:val="0"/>
                                      <w:marBottom w:val="0"/>
                                      <w:divBdr>
                                        <w:top w:val="single" w:sz="2" w:space="0" w:color="auto"/>
                                        <w:left w:val="single" w:sz="2" w:space="0" w:color="auto"/>
                                        <w:bottom w:val="single" w:sz="2" w:space="0" w:color="auto"/>
                                        <w:right w:val="single" w:sz="2" w:space="0" w:color="auto"/>
                                      </w:divBdr>
                                      <w:divsChild>
                                        <w:div w:id="1454252156">
                                          <w:marLeft w:val="0"/>
                                          <w:marRight w:val="0"/>
                                          <w:marTop w:val="0"/>
                                          <w:marBottom w:val="0"/>
                                          <w:divBdr>
                                            <w:top w:val="single" w:sz="2" w:space="0" w:color="auto"/>
                                            <w:left w:val="single" w:sz="2" w:space="0" w:color="auto"/>
                                            <w:bottom w:val="single" w:sz="2" w:space="0" w:color="auto"/>
                                            <w:right w:val="single" w:sz="2" w:space="0" w:color="auto"/>
                                          </w:divBdr>
                                          <w:divsChild>
                                            <w:div w:id="1441948498">
                                              <w:marLeft w:val="0"/>
                                              <w:marRight w:val="0"/>
                                              <w:marTop w:val="0"/>
                                              <w:marBottom w:val="0"/>
                                              <w:divBdr>
                                                <w:top w:val="single" w:sz="2" w:space="0" w:color="auto"/>
                                                <w:left w:val="single" w:sz="2" w:space="0" w:color="auto"/>
                                                <w:bottom w:val="single" w:sz="2" w:space="0" w:color="auto"/>
                                                <w:right w:val="single" w:sz="2" w:space="0" w:color="auto"/>
                                              </w:divBdr>
                                              <w:divsChild>
                                                <w:div w:id="5054380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752049840">
      <w:bodyDiv w:val="1"/>
      <w:marLeft w:val="0"/>
      <w:marRight w:val="0"/>
      <w:marTop w:val="0"/>
      <w:marBottom w:val="0"/>
      <w:divBdr>
        <w:top w:val="none" w:sz="0" w:space="0" w:color="auto"/>
        <w:left w:val="none" w:sz="0" w:space="0" w:color="auto"/>
        <w:bottom w:val="none" w:sz="0" w:space="0" w:color="auto"/>
        <w:right w:val="none" w:sz="0" w:space="0" w:color="auto"/>
      </w:divBdr>
    </w:div>
    <w:div w:id="754981925">
      <w:bodyDiv w:val="1"/>
      <w:marLeft w:val="0"/>
      <w:marRight w:val="0"/>
      <w:marTop w:val="0"/>
      <w:marBottom w:val="0"/>
      <w:divBdr>
        <w:top w:val="none" w:sz="0" w:space="0" w:color="auto"/>
        <w:left w:val="none" w:sz="0" w:space="0" w:color="auto"/>
        <w:bottom w:val="none" w:sz="0" w:space="0" w:color="auto"/>
        <w:right w:val="none" w:sz="0" w:space="0" w:color="auto"/>
      </w:divBdr>
    </w:div>
    <w:div w:id="756753092">
      <w:bodyDiv w:val="1"/>
      <w:marLeft w:val="0"/>
      <w:marRight w:val="0"/>
      <w:marTop w:val="0"/>
      <w:marBottom w:val="0"/>
      <w:divBdr>
        <w:top w:val="none" w:sz="0" w:space="0" w:color="auto"/>
        <w:left w:val="none" w:sz="0" w:space="0" w:color="auto"/>
        <w:bottom w:val="none" w:sz="0" w:space="0" w:color="auto"/>
        <w:right w:val="none" w:sz="0" w:space="0" w:color="auto"/>
      </w:divBdr>
    </w:div>
    <w:div w:id="771973113">
      <w:bodyDiv w:val="1"/>
      <w:marLeft w:val="0"/>
      <w:marRight w:val="0"/>
      <w:marTop w:val="0"/>
      <w:marBottom w:val="0"/>
      <w:divBdr>
        <w:top w:val="none" w:sz="0" w:space="0" w:color="auto"/>
        <w:left w:val="none" w:sz="0" w:space="0" w:color="auto"/>
        <w:bottom w:val="none" w:sz="0" w:space="0" w:color="auto"/>
        <w:right w:val="none" w:sz="0" w:space="0" w:color="auto"/>
      </w:divBdr>
    </w:div>
    <w:div w:id="786701582">
      <w:bodyDiv w:val="1"/>
      <w:marLeft w:val="0"/>
      <w:marRight w:val="0"/>
      <w:marTop w:val="0"/>
      <w:marBottom w:val="0"/>
      <w:divBdr>
        <w:top w:val="none" w:sz="0" w:space="0" w:color="auto"/>
        <w:left w:val="none" w:sz="0" w:space="0" w:color="auto"/>
        <w:bottom w:val="none" w:sz="0" w:space="0" w:color="auto"/>
        <w:right w:val="none" w:sz="0" w:space="0" w:color="auto"/>
      </w:divBdr>
    </w:div>
    <w:div w:id="918028753">
      <w:bodyDiv w:val="1"/>
      <w:marLeft w:val="0"/>
      <w:marRight w:val="0"/>
      <w:marTop w:val="0"/>
      <w:marBottom w:val="0"/>
      <w:divBdr>
        <w:top w:val="none" w:sz="0" w:space="0" w:color="auto"/>
        <w:left w:val="none" w:sz="0" w:space="0" w:color="auto"/>
        <w:bottom w:val="none" w:sz="0" w:space="0" w:color="auto"/>
        <w:right w:val="none" w:sz="0" w:space="0" w:color="auto"/>
      </w:divBdr>
      <w:divsChild>
        <w:div w:id="1422874825">
          <w:marLeft w:val="0"/>
          <w:marRight w:val="0"/>
          <w:marTop w:val="0"/>
          <w:marBottom w:val="0"/>
          <w:divBdr>
            <w:top w:val="single" w:sz="2" w:space="0" w:color="auto"/>
            <w:left w:val="single" w:sz="2" w:space="0" w:color="auto"/>
            <w:bottom w:val="single" w:sz="2" w:space="0" w:color="auto"/>
            <w:right w:val="single" w:sz="2" w:space="0" w:color="auto"/>
          </w:divBdr>
          <w:divsChild>
            <w:div w:id="1210189496">
              <w:marLeft w:val="0"/>
              <w:marRight w:val="0"/>
              <w:marTop w:val="0"/>
              <w:marBottom w:val="0"/>
              <w:divBdr>
                <w:top w:val="single" w:sz="2" w:space="0" w:color="auto"/>
                <w:left w:val="single" w:sz="2" w:space="0" w:color="auto"/>
                <w:bottom w:val="single" w:sz="2" w:space="0" w:color="auto"/>
                <w:right w:val="single" w:sz="2" w:space="0" w:color="auto"/>
              </w:divBdr>
              <w:divsChild>
                <w:div w:id="1351057325">
                  <w:marLeft w:val="0"/>
                  <w:marRight w:val="0"/>
                  <w:marTop w:val="0"/>
                  <w:marBottom w:val="0"/>
                  <w:divBdr>
                    <w:top w:val="single" w:sz="2" w:space="0" w:color="auto"/>
                    <w:left w:val="single" w:sz="2" w:space="0" w:color="auto"/>
                    <w:bottom w:val="single" w:sz="2" w:space="0" w:color="auto"/>
                    <w:right w:val="single" w:sz="2" w:space="0" w:color="auto"/>
                  </w:divBdr>
                  <w:divsChild>
                    <w:div w:id="213930502">
                      <w:marLeft w:val="0"/>
                      <w:marRight w:val="0"/>
                      <w:marTop w:val="0"/>
                      <w:marBottom w:val="0"/>
                      <w:divBdr>
                        <w:top w:val="single" w:sz="2" w:space="0" w:color="auto"/>
                        <w:left w:val="single" w:sz="2" w:space="0" w:color="auto"/>
                        <w:bottom w:val="single" w:sz="2" w:space="0" w:color="auto"/>
                        <w:right w:val="single" w:sz="2" w:space="0" w:color="auto"/>
                      </w:divBdr>
                      <w:divsChild>
                        <w:div w:id="441068721">
                          <w:marLeft w:val="0"/>
                          <w:marRight w:val="0"/>
                          <w:marTop w:val="0"/>
                          <w:marBottom w:val="0"/>
                          <w:divBdr>
                            <w:top w:val="single" w:sz="2" w:space="0" w:color="auto"/>
                            <w:left w:val="single" w:sz="2" w:space="0" w:color="auto"/>
                            <w:bottom w:val="single" w:sz="2" w:space="0" w:color="auto"/>
                            <w:right w:val="single" w:sz="2" w:space="0" w:color="auto"/>
                          </w:divBdr>
                          <w:divsChild>
                            <w:div w:id="1297877580">
                              <w:marLeft w:val="0"/>
                              <w:marRight w:val="0"/>
                              <w:marTop w:val="0"/>
                              <w:marBottom w:val="0"/>
                              <w:divBdr>
                                <w:top w:val="single" w:sz="2" w:space="0" w:color="auto"/>
                                <w:left w:val="single" w:sz="2" w:space="0" w:color="auto"/>
                                <w:bottom w:val="single" w:sz="2" w:space="0" w:color="auto"/>
                                <w:right w:val="single" w:sz="2" w:space="0" w:color="auto"/>
                              </w:divBdr>
                              <w:divsChild>
                                <w:div w:id="662971500">
                                  <w:marLeft w:val="0"/>
                                  <w:marRight w:val="0"/>
                                  <w:marTop w:val="0"/>
                                  <w:marBottom w:val="0"/>
                                  <w:divBdr>
                                    <w:top w:val="single" w:sz="2" w:space="0" w:color="auto"/>
                                    <w:left w:val="single" w:sz="2" w:space="0" w:color="auto"/>
                                    <w:bottom w:val="single" w:sz="2" w:space="0" w:color="auto"/>
                                    <w:right w:val="single" w:sz="2" w:space="0" w:color="auto"/>
                                  </w:divBdr>
                                  <w:divsChild>
                                    <w:div w:id="1709389">
                                      <w:marLeft w:val="0"/>
                                      <w:marRight w:val="0"/>
                                      <w:marTop w:val="0"/>
                                      <w:marBottom w:val="0"/>
                                      <w:divBdr>
                                        <w:top w:val="single" w:sz="2" w:space="0" w:color="auto"/>
                                        <w:left w:val="single" w:sz="2" w:space="0" w:color="auto"/>
                                        <w:bottom w:val="single" w:sz="2" w:space="0" w:color="auto"/>
                                        <w:right w:val="single" w:sz="2" w:space="0" w:color="auto"/>
                                      </w:divBdr>
                                      <w:divsChild>
                                        <w:div w:id="863907096">
                                          <w:marLeft w:val="0"/>
                                          <w:marRight w:val="0"/>
                                          <w:marTop w:val="0"/>
                                          <w:marBottom w:val="0"/>
                                          <w:divBdr>
                                            <w:top w:val="single" w:sz="2" w:space="0" w:color="auto"/>
                                            <w:left w:val="single" w:sz="2" w:space="0" w:color="auto"/>
                                            <w:bottom w:val="single" w:sz="2" w:space="0" w:color="auto"/>
                                            <w:right w:val="single" w:sz="2" w:space="0" w:color="auto"/>
                                          </w:divBdr>
                                          <w:divsChild>
                                            <w:div w:id="126049054">
                                              <w:marLeft w:val="0"/>
                                              <w:marRight w:val="0"/>
                                              <w:marTop w:val="0"/>
                                              <w:marBottom w:val="0"/>
                                              <w:divBdr>
                                                <w:top w:val="single" w:sz="2" w:space="0" w:color="auto"/>
                                                <w:left w:val="single" w:sz="2" w:space="0" w:color="auto"/>
                                                <w:bottom w:val="single" w:sz="2" w:space="0" w:color="auto"/>
                                                <w:right w:val="single" w:sz="2" w:space="0" w:color="auto"/>
                                              </w:divBdr>
                                              <w:divsChild>
                                                <w:div w:id="3504971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924802297">
      <w:bodyDiv w:val="1"/>
      <w:marLeft w:val="0"/>
      <w:marRight w:val="0"/>
      <w:marTop w:val="0"/>
      <w:marBottom w:val="0"/>
      <w:divBdr>
        <w:top w:val="none" w:sz="0" w:space="0" w:color="auto"/>
        <w:left w:val="none" w:sz="0" w:space="0" w:color="auto"/>
        <w:bottom w:val="none" w:sz="0" w:space="0" w:color="auto"/>
        <w:right w:val="none" w:sz="0" w:space="0" w:color="auto"/>
      </w:divBdr>
    </w:div>
    <w:div w:id="988483298">
      <w:bodyDiv w:val="1"/>
      <w:marLeft w:val="0"/>
      <w:marRight w:val="0"/>
      <w:marTop w:val="0"/>
      <w:marBottom w:val="0"/>
      <w:divBdr>
        <w:top w:val="none" w:sz="0" w:space="0" w:color="auto"/>
        <w:left w:val="none" w:sz="0" w:space="0" w:color="auto"/>
        <w:bottom w:val="none" w:sz="0" w:space="0" w:color="auto"/>
        <w:right w:val="none" w:sz="0" w:space="0" w:color="auto"/>
      </w:divBdr>
    </w:div>
    <w:div w:id="997002310">
      <w:bodyDiv w:val="1"/>
      <w:marLeft w:val="0"/>
      <w:marRight w:val="0"/>
      <w:marTop w:val="0"/>
      <w:marBottom w:val="0"/>
      <w:divBdr>
        <w:top w:val="none" w:sz="0" w:space="0" w:color="auto"/>
        <w:left w:val="none" w:sz="0" w:space="0" w:color="auto"/>
        <w:bottom w:val="none" w:sz="0" w:space="0" w:color="auto"/>
        <w:right w:val="none" w:sz="0" w:space="0" w:color="auto"/>
      </w:divBdr>
    </w:div>
    <w:div w:id="1080830675">
      <w:bodyDiv w:val="1"/>
      <w:marLeft w:val="0"/>
      <w:marRight w:val="0"/>
      <w:marTop w:val="0"/>
      <w:marBottom w:val="0"/>
      <w:divBdr>
        <w:top w:val="none" w:sz="0" w:space="0" w:color="auto"/>
        <w:left w:val="none" w:sz="0" w:space="0" w:color="auto"/>
        <w:bottom w:val="none" w:sz="0" w:space="0" w:color="auto"/>
        <w:right w:val="none" w:sz="0" w:space="0" w:color="auto"/>
      </w:divBdr>
    </w:div>
    <w:div w:id="1103188983">
      <w:bodyDiv w:val="1"/>
      <w:marLeft w:val="0"/>
      <w:marRight w:val="0"/>
      <w:marTop w:val="0"/>
      <w:marBottom w:val="0"/>
      <w:divBdr>
        <w:top w:val="none" w:sz="0" w:space="0" w:color="auto"/>
        <w:left w:val="none" w:sz="0" w:space="0" w:color="auto"/>
        <w:bottom w:val="none" w:sz="0" w:space="0" w:color="auto"/>
        <w:right w:val="none" w:sz="0" w:space="0" w:color="auto"/>
      </w:divBdr>
    </w:div>
    <w:div w:id="1111120779">
      <w:bodyDiv w:val="1"/>
      <w:marLeft w:val="0"/>
      <w:marRight w:val="0"/>
      <w:marTop w:val="0"/>
      <w:marBottom w:val="0"/>
      <w:divBdr>
        <w:top w:val="none" w:sz="0" w:space="0" w:color="auto"/>
        <w:left w:val="none" w:sz="0" w:space="0" w:color="auto"/>
        <w:bottom w:val="none" w:sz="0" w:space="0" w:color="auto"/>
        <w:right w:val="none" w:sz="0" w:space="0" w:color="auto"/>
      </w:divBdr>
    </w:div>
    <w:div w:id="1127775672">
      <w:bodyDiv w:val="1"/>
      <w:marLeft w:val="0"/>
      <w:marRight w:val="0"/>
      <w:marTop w:val="0"/>
      <w:marBottom w:val="0"/>
      <w:divBdr>
        <w:top w:val="none" w:sz="0" w:space="0" w:color="auto"/>
        <w:left w:val="none" w:sz="0" w:space="0" w:color="auto"/>
        <w:bottom w:val="none" w:sz="0" w:space="0" w:color="auto"/>
        <w:right w:val="none" w:sz="0" w:space="0" w:color="auto"/>
      </w:divBdr>
    </w:div>
    <w:div w:id="1163472185">
      <w:bodyDiv w:val="1"/>
      <w:marLeft w:val="0"/>
      <w:marRight w:val="0"/>
      <w:marTop w:val="0"/>
      <w:marBottom w:val="0"/>
      <w:divBdr>
        <w:top w:val="none" w:sz="0" w:space="0" w:color="auto"/>
        <w:left w:val="none" w:sz="0" w:space="0" w:color="auto"/>
        <w:bottom w:val="none" w:sz="0" w:space="0" w:color="auto"/>
        <w:right w:val="none" w:sz="0" w:space="0" w:color="auto"/>
      </w:divBdr>
    </w:div>
    <w:div w:id="1164052304">
      <w:bodyDiv w:val="1"/>
      <w:marLeft w:val="0"/>
      <w:marRight w:val="0"/>
      <w:marTop w:val="0"/>
      <w:marBottom w:val="0"/>
      <w:divBdr>
        <w:top w:val="none" w:sz="0" w:space="0" w:color="auto"/>
        <w:left w:val="none" w:sz="0" w:space="0" w:color="auto"/>
        <w:bottom w:val="none" w:sz="0" w:space="0" w:color="auto"/>
        <w:right w:val="none" w:sz="0" w:space="0" w:color="auto"/>
      </w:divBdr>
    </w:div>
    <w:div w:id="1268195714">
      <w:bodyDiv w:val="1"/>
      <w:marLeft w:val="0"/>
      <w:marRight w:val="0"/>
      <w:marTop w:val="0"/>
      <w:marBottom w:val="0"/>
      <w:divBdr>
        <w:top w:val="none" w:sz="0" w:space="0" w:color="auto"/>
        <w:left w:val="none" w:sz="0" w:space="0" w:color="auto"/>
        <w:bottom w:val="none" w:sz="0" w:space="0" w:color="auto"/>
        <w:right w:val="none" w:sz="0" w:space="0" w:color="auto"/>
      </w:divBdr>
    </w:div>
    <w:div w:id="1313481591">
      <w:bodyDiv w:val="1"/>
      <w:marLeft w:val="0"/>
      <w:marRight w:val="0"/>
      <w:marTop w:val="0"/>
      <w:marBottom w:val="0"/>
      <w:divBdr>
        <w:top w:val="none" w:sz="0" w:space="0" w:color="auto"/>
        <w:left w:val="none" w:sz="0" w:space="0" w:color="auto"/>
        <w:bottom w:val="none" w:sz="0" w:space="0" w:color="auto"/>
        <w:right w:val="none" w:sz="0" w:space="0" w:color="auto"/>
      </w:divBdr>
    </w:div>
    <w:div w:id="1317296401">
      <w:bodyDiv w:val="1"/>
      <w:marLeft w:val="0"/>
      <w:marRight w:val="0"/>
      <w:marTop w:val="0"/>
      <w:marBottom w:val="0"/>
      <w:divBdr>
        <w:top w:val="none" w:sz="0" w:space="0" w:color="auto"/>
        <w:left w:val="none" w:sz="0" w:space="0" w:color="auto"/>
        <w:bottom w:val="none" w:sz="0" w:space="0" w:color="auto"/>
        <w:right w:val="none" w:sz="0" w:space="0" w:color="auto"/>
      </w:divBdr>
    </w:div>
    <w:div w:id="1343821548">
      <w:bodyDiv w:val="1"/>
      <w:marLeft w:val="0"/>
      <w:marRight w:val="0"/>
      <w:marTop w:val="0"/>
      <w:marBottom w:val="0"/>
      <w:divBdr>
        <w:top w:val="none" w:sz="0" w:space="0" w:color="auto"/>
        <w:left w:val="none" w:sz="0" w:space="0" w:color="auto"/>
        <w:bottom w:val="none" w:sz="0" w:space="0" w:color="auto"/>
        <w:right w:val="none" w:sz="0" w:space="0" w:color="auto"/>
      </w:divBdr>
    </w:div>
    <w:div w:id="1459185170">
      <w:bodyDiv w:val="1"/>
      <w:marLeft w:val="0"/>
      <w:marRight w:val="0"/>
      <w:marTop w:val="0"/>
      <w:marBottom w:val="0"/>
      <w:divBdr>
        <w:top w:val="none" w:sz="0" w:space="0" w:color="auto"/>
        <w:left w:val="none" w:sz="0" w:space="0" w:color="auto"/>
        <w:bottom w:val="none" w:sz="0" w:space="0" w:color="auto"/>
        <w:right w:val="none" w:sz="0" w:space="0" w:color="auto"/>
      </w:divBdr>
    </w:div>
    <w:div w:id="1476994679">
      <w:bodyDiv w:val="1"/>
      <w:marLeft w:val="0"/>
      <w:marRight w:val="0"/>
      <w:marTop w:val="0"/>
      <w:marBottom w:val="0"/>
      <w:divBdr>
        <w:top w:val="none" w:sz="0" w:space="0" w:color="auto"/>
        <w:left w:val="none" w:sz="0" w:space="0" w:color="auto"/>
        <w:bottom w:val="none" w:sz="0" w:space="0" w:color="auto"/>
        <w:right w:val="none" w:sz="0" w:space="0" w:color="auto"/>
      </w:divBdr>
    </w:div>
    <w:div w:id="1478105539">
      <w:bodyDiv w:val="1"/>
      <w:marLeft w:val="0"/>
      <w:marRight w:val="0"/>
      <w:marTop w:val="0"/>
      <w:marBottom w:val="0"/>
      <w:divBdr>
        <w:top w:val="none" w:sz="0" w:space="0" w:color="auto"/>
        <w:left w:val="none" w:sz="0" w:space="0" w:color="auto"/>
        <w:bottom w:val="none" w:sz="0" w:space="0" w:color="auto"/>
        <w:right w:val="none" w:sz="0" w:space="0" w:color="auto"/>
      </w:divBdr>
    </w:div>
    <w:div w:id="1479616979">
      <w:bodyDiv w:val="1"/>
      <w:marLeft w:val="0"/>
      <w:marRight w:val="0"/>
      <w:marTop w:val="0"/>
      <w:marBottom w:val="0"/>
      <w:divBdr>
        <w:top w:val="none" w:sz="0" w:space="0" w:color="auto"/>
        <w:left w:val="none" w:sz="0" w:space="0" w:color="auto"/>
        <w:bottom w:val="none" w:sz="0" w:space="0" w:color="auto"/>
        <w:right w:val="none" w:sz="0" w:space="0" w:color="auto"/>
      </w:divBdr>
    </w:div>
    <w:div w:id="1526822172">
      <w:bodyDiv w:val="1"/>
      <w:marLeft w:val="0"/>
      <w:marRight w:val="0"/>
      <w:marTop w:val="0"/>
      <w:marBottom w:val="0"/>
      <w:divBdr>
        <w:top w:val="none" w:sz="0" w:space="0" w:color="auto"/>
        <w:left w:val="none" w:sz="0" w:space="0" w:color="auto"/>
        <w:bottom w:val="none" w:sz="0" w:space="0" w:color="auto"/>
        <w:right w:val="none" w:sz="0" w:space="0" w:color="auto"/>
      </w:divBdr>
    </w:div>
    <w:div w:id="1541211858">
      <w:bodyDiv w:val="1"/>
      <w:marLeft w:val="0"/>
      <w:marRight w:val="0"/>
      <w:marTop w:val="0"/>
      <w:marBottom w:val="0"/>
      <w:divBdr>
        <w:top w:val="none" w:sz="0" w:space="0" w:color="auto"/>
        <w:left w:val="none" w:sz="0" w:space="0" w:color="auto"/>
        <w:bottom w:val="none" w:sz="0" w:space="0" w:color="auto"/>
        <w:right w:val="none" w:sz="0" w:space="0" w:color="auto"/>
      </w:divBdr>
    </w:div>
    <w:div w:id="1556238424">
      <w:bodyDiv w:val="1"/>
      <w:marLeft w:val="0"/>
      <w:marRight w:val="0"/>
      <w:marTop w:val="0"/>
      <w:marBottom w:val="0"/>
      <w:divBdr>
        <w:top w:val="none" w:sz="0" w:space="0" w:color="auto"/>
        <w:left w:val="none" w:sz="0" w:space="0" w:color="auto"/>
        <w:bottom w:val="none" w:sz="0" w:space="0" w:color="auto"/>
        <w:right w:val="none" w:sz="0" w:space="0" w:color="auto"/>
      </w:divBdr>
    </w:div>
    <w:div w:id="1576813912">
      <w:bodyDiv w:val="1"/>
      <w:marLeft w:val="0"/>
      <w:marRight w:val="0"/>
      <w:marTop w:val="0"/>
      <w:marBottom w:val="0"/>
      <w:divBdr>
        <w:top w:val="none" w:sz="0" w:space="0" w:color="auto"/>
        <w:left w:val="none" w:sz="0" w:space="0" w:color="auto"/>
        <w:bottom w:val="none" w:sz="0" w:space="0" w:color="auto"/>
        <w:right w:val="none" w:sz="0" w:space="0" w:color="auto"/>
      </w:divBdr>
    </w:div>
    <w:div w:id="1592860905">
      <w:bodyDiv w:val="1"/>
      <w:marLeft w:val="0"/>
      <w:marRight w:val="0"/>
      <w:marTop w:val="0"/>
      <w:marBottom w:val="0"/>
      <w:divBdr>
        <w:top w:val="none" w:sz="0" w:space="0" w:color="auto"/>
        <w:left w:val="none" w:sz="0" w:space="0" w:color="auto"/>
        <w:bottom w:val="none" w:sz="0" w:space="0" w:color="auto"/>
        <w:right w:val="none" w:sz="0" w:space="0" w:color="auto"/>
      </w:divBdr>
    </w:div>
    <w:div w:id="1594361926">
      <w:bodyDiv w:val="1"/>
      <w:marLeft w:val="0"/>
      <w:marRight w:val="0"/>
      <w:marTop w:val="0"/>
      <w:marBottom w:val="0"/>
      <w:divBdr>
        <w:top w:val="none" w:sz="0" w:space="0" w:color="auto"/>
        <w:left w:val="none" w:sz="0" w:space="0" w:color="auto"/>
        <w:bottom w:val="none" w:sz="0" w:space="0" w:color="auto"/>
        <w:right w:val="none" w:sz="0" w:space="0" w:color="auto"/>
      </w:divBdr>
    </w:div>
    <w:div w:id="1603608453">
      <w:bodyDiv w:val="1"/>
      <w:marLeft w:val="0"/>
      <w:marRight w:val="0"/>
      <w:marTop w:val="0"/>
      <w:marBottom w:val="0"/>
      <w:divBdr>
        <w:top w:val="none" w:sz="0" w:space="0" w:color="auto"/>
        <w:left w:val="none" w:sz="0" w:space="0" w:color="auto"/>
        <w:bottom w:val="none" w:sz="0" w:space="0" w:color="auto"/>
        <w:right w:val="none" w:sz="0" w:space="0" w:color="auto"/>
      </w:divBdr>
    </w:div>
    <w:div w:id="1654404655">
      <w:bodyDiv w:val="1"/>
      <w:marLeft w:val="0"/>
      <w:marRight w:val="0"/>
      <w:marTop w:val="0"/>
      <w:marBottom w:val="0"/>
      <w:divBdr>
        <w:top w:val="none" w:sz="0" w:space="0" w:color="auto"/>
        <w:left w:val="none" w:sz="0" w:space="0" w:color="auto"/>
        <w:bottom w:val="none" w:sz="0" w:space="0" w:color="auto"/>
        <w:right w:val="none" w:sz="0" w:space="0" w:color="auto"/>
      </w:divBdr>
    </w:div>
    <w:div w:id="1718890183">
      <w:bodyDiv w:val="1"/>
      <w:marLeft w:val="0"/>
      <w:marRight w:val="0"/>
      <w:marTop w:val="0"/>
      <w:marBottom w:val="0"/>
      <w:divBdr>
        <w:top w:val="none" w:sz="0" w:space="0" w:color="auto"/>
        <w:left w:val="none" w:sz="0" w:space="0" w:color="auto"/>
        <w:bottom w:val="none" w:sz="0" w:space="0" w:color="auto"/>
        <w:right w:val="none" w:sz="0" w:space="0" w:color="auto"/>
      </w:divBdr>
    </w:div>
    <w:div w:id="1731343004">
      <w:bodyDiv w:val="1"/>
      <w:marLeft w:val="0"/>
      <w:marRight w:val="0"/>
      <w:marTop w:val="0"/>
      <w:marBottom w:val="0"/>
      <w:divBdr>
        <w:top w:val="none" w:sz="0" w:space="0" w:color="auto"/>
        <w:left w:val="none" w:sz="0" w:space="0" w:color="auto"/>
        <w:bottom w:val="none" w:sz="0" w:space="0" w:color="auto"/>
        <w:right w:val="none" w:sz="0" w:space="0" w:color="auto"/>
      </w:divBdr>
    </w:div>
    <w:div w:id="1737508281">
      <w:bodyDiv w:val="1"/>
      <w:marLeft w:val="0"/>
      <w:marRight w:val="0"/>
      <w:marTop w:val="0"/>
      <w:marBottom w:val="0"/>
      <w:divBdr>
        <w:top w:val="none" w:sz="0" w:space="0" w:color="auto"/>
        <w:left w:val="none" w:sz="0" w:space="0" w:color="auto"/>
        <w:bottom w:val="none" w:sz="0" w:space="0" w:color="auto"/>
        <w:right w:val="none" w:sz="0" w:space="0" w:color="auto"/>
      </w:divBdr>
    </w:div>
    <w:div w:id="1761877483">
      <w:bodyDiv w:val="1"/>
      <w:marLeft w:val="0"/>
      <w:marRight w:val="0"/>
      <w:marTop w:val="0"/>
      <w:marBottom w:val="0"/>
      <w:divBdr>
        <w:top w:val="none" w:sz="0" w:space="0" w:color="auto"/>
        <w:left w:val="none" w:sz="0" w:space="0" w:color="auto"/>
        <w:bottom w:val="none" w:sz="0" w:space="0" w:color="auto"/>
        <w:right w:val="none" w:sz="0" w:space="0" w:color="auto"/>
      </w:divBdr>
    </w:div>
    <w:div w:id="1846702510">
      <w:bodyDiv w:val="1"/>
      <w:marLeft w:val="0"/>
      <w:marRight w:val="0"/>
      <w:marTop w:val="0"/>
      <w:marBottom w:val="0"/>
      <w:divBdr>
        <w:top w:val="none" w:sz="0" w:space="0" w:color="auto"/>
        <w:left w:val="none" w:sz="0" w:space="0" w:color="auto"/>
        <w:bottom w:val="none" w:sz="0" w:space="0" w:color="auto"/>
        <w:right w:val="none" w:sz="0" w:space="0" w:color="auto"/>
      </w:divBdr>
    </w:div>
    <w:div w:id="1865557587">
      <w:bodyDiv w:val="1"/>
      <w:marLeft w:val="0"/>
      <w:marRight w:val="0"/>
      <w:marTop w:val="0"/>
      <w:marBottom w:val="0"/>
      <w:divBdr>
        <w:top w:val="none" w:sz="0" w:space="0" w:color="auto"/>
        <w:left w:val="none" w:sz="0" w:space="0" w:color="auto"/>
        <w:bottom w:val="none" w:sz="0" w:space="0" w:color="auto"/>
        <w:right w:val="none" w:sz="0" w:space="0" w:color="auto"/>
      </w:divBdr>
    </w:div>
    <w:div w:id="21006412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ibguides.umgc.edu/c.php?g=1003870&amp;p=7270672" TargetMode="External"/><Relationship Id="rId117" Type="http://schemas.openxmlformats.org/officeDocument/2006/relationships/hyperlink" Target="https://pmc.ncbi.nlm.nih.gov/articles/PMC9207921/" TargetMode="External"/><Relationship Id="rId21" Type="http://schemas.openxmlformats.org/officeDocument/2006/relationships/hyperlink" Target="https://doi.org/10.1007/s10639-021-10806-7" TargetMode="External"/><Relationship Id="rId42" Type="http://schemas.openxmlformats.org/officeDocument/2006/relationships/hyperlink" Target="https://www.edutopia.org/article/7-ai-tools-that-help-teachers-work-more-efficiently/?utm_source=chatgpt.com" TargetMode="External"/><Relationship Id="rId47" Type="http://schemas.openxmlformats.org/officeDocument/2006/relationships/hyperlink" Target="https://education.gov.ng/wp-content/uploads/2019/08/NATIONAL-POLICY-ON-ICT-IN-EDUCATION-2019.pdf" TargetMode="External"/><Relationship Id="rId63" Type="http://schemas.openxmlformats.org/officeDocument/2006/relationships/hyperlink" Target="https://www.jobsandskills.gov.au/data/occupation-and-industry-profiles/occupations/2414-secondary-school-teachers" TargetMode="External"/><Relationship Id="rId68" Type="http://schemas.openxmlformats.org/officeDocument/2006/relationships/hyperlink" Target="https://irp-cdn.multiscreensite.com/bc8c7eb6/files/uploaded/kuribirapowamu.pdf" TargetMode="External"/><Relationship Id="rId84" Type="http://schemas.openxmlformats.org/officeDocument/2006/relationships/hyperlink" Target="https://doi.org/10.3389/feduc.2025.1568306" TargetMode="External"/><Relationship Id="rId89" Type="http://schemas.openxmlformats.org/officeDocument/2006/relationships/hyperlink" Target="https://doi.org/10.1109/educon.2019.8725160" TargetMode="External"/><Relationship Id="rId112" Type="http://schemas.openxmlformats.org/officeDocument/2006/relationships/hyperlink" Target="http://www.research-advisors.com/tools/SampleSize.htm" TargetMode="External"/><Relationship Id="rId133" Type="http://schemas.openxmlformats.org/officeDocument/2006/relationships/hyperlink" Target="https://scholarworks.waldenu.edu/dissertations/10195" TargetMode="External"/><Relationship Id="rId138" Type="http://schemas.openxmlformats.org/officeDocument/2006/relationships/hyperlink" Target="https://www.scribd.com/document/815306942/Zawacki-Richter-AIED" TargetMode="External"/><Relationship Id="rId16" Type="http://schemas.openxmlformats.org/officeDocument/2006/relationships/hyperlink" Target="https://doi.org/10.1016/j.techsoc.2020.101451" TargetMode="External"/><Relationship Id="rId107" Type="http://schemas.openxmlformats.org/officeDocument/2006/relationships/hyperlink" Target="https://targetjobs.co.uk/careers-advice/job-descriptions/teacher-secondary-job-description" TargetMode="External"/><Relationship Id="rId11" Type="http://schemas.openxmlformats.org/officeDocument/2006/relationships/hyperlink" Target="https://doi.org/10.3389/feduc.2025.1519472" TargetMode="External"/><Relationship Id="rId32" Type="http://schemas.openxmlformats.org/officeDocument/2006/relationships/hyperlink" Target="https://doi.org/10.3389/fpsyg.2019.01652" TargetMode="External"/><Relationship Id="rId37" Type="http://schemas.openxmlformats.org/officeDocument/2006/relationships/hyperlink" Target="https://cudoo.com/blog/14-roles-and-responsibilities-of-a-teacher/" TargetMode="External"/><Relationship Id="rId53" Type="http://schemas.openxmlformats.org/officeDocument/2006/relationships/hyperlink" Target="https://drphilippahardman.substack.com/p/the-ai-education-divide" TargetMode="External"/><Relationship Id="rId58" Type="http://schemas.openxmlformats.org/officeDocument/2006/relationships/hyperlink" Target="https://doi.org/10.47772/IJRISS.2025.90300224" TargetMode="External"/><Relationship Id="rId74" Type="http://schemas.openxmlformats.org/officeDocument/2006/relationships/hyperlink" Target="http://repository.kln.ac.lk/items/7164cb8e-b4d8-4d93-bddd-2dfe284dfe18" TargetMode="External"/><Relationship Id="rId79" Type="http://schemas.openxmlformats.org/officeDocument/2006/relationships/hyperlink" Target="http://nou.edu.ng/coursewarecontent/EDU%20732%20_Introduction%20to%20Educational%20Technology_%20Final.pdf" TargetMode="External"/><Relationship Id="rId102" Type="http://schemas.openxmlformats.org/officeDocument/2006/relationships/hyperlink" Target="https://onlinedegrees.sandiego.edu/artificial-intelligence-education/" TargetMode="External"/><Relationship Id="rId123" Type="http://schemas.openxmlformats.org/officeDocument/2006/relationships/hyperlink" Target="https://dc.etsu.edu/etd/1109/" TargetMode="External"/><Relationship Id="rId128" Type="http://schemas.openxmlformats.org/officeDocument/2006/relationships/hyperlink" Target="https://www.unesco.org/en/digital-education/artificial-intelligence" TargetMode="External"/><Relationship Id="rId5" Type="http://schemas.openxmlformats.org/officeDocument/2006/relationships/webSettings" Target="webSettings.xml"/><Relationship Id="rId90" Type="http://schemas.openxmlformats.org/officeDocument/2006/relationships/hyperlink" Target="https://doi.org/10.1109/educon.2019.8725160" TargetMode="External"/><Relationship Id="rId95" Type="http://schemas.openxmlformats.org/officeDocument/2006/relationships/hyperlink" Target="https://www.prospects.ac.uk/job-profiles/secondary-school-teacher" TargetMode="External"/><Relationship Id="rId22" Type="http://schemas.openxmlformats.org/officeDocument/2006/relationships/hyperlink" Target="https://doi.org/10.21831/jpms.v12i2.77349" TargetMode="External"/><Relationship Id="rId27" Type="http://schemas.openxmlformats.org/officeDocument/2006/relationships/hyperlink" Target="https://doi.org/10.1111/1464-0597.00092" TargetMode="External"/><Relationship Id="rId43" Type="http://schemas.openxmlformats.org/officeDocument/2006/relationships/hyperlink" Target="https://rsisinternational.org/journals/ijriss/Digital-Library/volume-8-issue-3/2456-6250.pdf" TargetMode="External"/><Relationship Id="rId48" Type="http://schemas.openxmlformats.org/officeDocument/2006/relationships/hyperlink" Target="https://guardian.ng/news/767-lgas-without-active-websites-amid-autonomy-n3tr-yearly-windfall/" TargetMode="External"/><Relationship Id="rId64" Type="http://schemas.openxmlformats.org/officeDocument/2006/relationships/hyperlink" Target="https://doi.org/10.1016/j.lindif.2023.102274" TargetMode="External"/><Relationship Id="rId69" Type="http://schemas.openxmlformats.org/officeDocument/2006/relationships/hyperlink" Target="https://kwarastate.gov.ng/press_releases/kwara-govt-flags-off-digital-coding-course-for-pupils-across-50-public-schools/" TargetMode="External"/><Relationship Id="rId113" Type="http://schemas.openxmlformats.org/officeDocument/2006/relationships/hyperlink" Target="https://www.research-advisors.com/tools/SampleSize.htm" TargetMode="External"/><Relationship Id="rId118" Type="http://schemas.openxmlformats.org/officeDocument/2006/relationships/hyperlink" Target="https://doi.org/10.1108/JRIT-09-2023-0137" TargetMode="External"/><Relationship Id="rId134" Type="http://schemas.openxmlformats.org/officeDocument/2006/relationships/hyperlink" Target="https://www.worldbank.org/en/topic/education/overview" TargetMode="External"/><Relationship Id="rId139" Type="http://schemas.openxmlformats.org/officeDocument/2006/relationships/hyperlink" Target="https://doi.org/10.1155/2021/8812542" TargetMode="External"/><Relationship Id="rId8" Type="http://schemas.openxmlformats.org/officeDocument/2006/relationships/footer" Target="footer1.xml"/><Relationship Id="rId51" Type="http://schemas.openxmlformats.org/officeDocument/2006/relationships/hyperlink" Target="https://pmc.ncbi.nlm.nih.gov/articles/PMC12003552/" TargetMode="External"/><Relationship Id="rId72" Type="http://schemas.openxmlformats.org/officeDocument/2006/relationships/hyperlink" Target="https://doi.org/10.1016/j.compedu.2013.10.007" TargetMode="External"/><Relationship Id="rId80" Type="http://schemas.openxmlformats.org/officeDocument/2006/relationships/hyperlink" Target="https://www.itedgenews.africa/nigerias-rural-internet-access-stalls-at-23-alarming-regulators/" TargetMode="External"/><Relationship Id="rId85" Type="http://schemas.openxmlformats.org/officeDocument/2006/relationships/hyperlink" Target="https://doi.org/10.17509/jsl.v8i1.71715" TargetMode="External"/><Relationship Id="rId93" Type="http://schemas.openxmlformats.org/officeDocument/2006/relationships/hyperlink" Target="https://www.edutopia.org/technology-integration-research-learning-outcomes" TargetMode="External"/><Relationship Id="rId98" Type="http://schemas.openxmlformats.org/officeDocument/2006/relationships/hyperlink" Target="https://doi.org/10.3390/educsci12080569" TargetMode="External"/><Relationship Id="rId121" Type="http://schemas.openxmlformats.org/officeDocument/2006/relationships/hyperlink" Target="https://tribuneonlineng.com/digital-literacy-kwara-targets-7500-students-for-coding-programme/" TargetMode="External"/><Relationship Id="rId14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doi.org/10.3389/feduc.2026.1701597" TargetMode="External"/><Relationship Id="rId17" Type="http://schemas.openxmlformats.org/officeDocument/2006/relationships/hyperlink" Target="https://www.vanguardngr.com/2025/05/kwaras-digital-leap-over-5500-students-trained-as-state-expands-nigerias-largest-school-coding-programme/" TargetMode="External"/><Relationship Id="rId25" Type="http://schemas.openxmlformats.org/officeDocument/2006/relationships/hyperlink" Target="https://doi.org/10.22492/ije.12.2.01" TargetMode="External"/><Relationship Id="rId33" Type="http://schemas.openxmlformats.org/officeDocument/2006/relationships/hyperlink" Target="https://cheshireacademy.org/how-to-use-ai-in-the-classroom-a-guide/" TargetMode="External"/><Relationship Id="rId38" Type="http://schemas.openxmlformats.org/officeDocument/2006/relationships/hyperlink" Target="https://africarxiv.pubpub.org/pub/xq51jiav" TargetMode="External"/><Relationship Id="rId46" Type="http://schemas.openxmlformats.org/officeDocument/2006/relationships/hyperlink" Target="https://education.gov.ng/wp-content/uploads/2023/02/INCLUSIVE-EDUCATION-POLICY.pdf?utm_source=chatgpt.com" TargetMode="External"/><Relationship Id="rId59" Type="http://schemas.openxmlformats.org/officeDocument/2006/relationships/hyperlink" Target="https://patsjournal.org/evaluation-of-the-awareness-and-experiences-of-the-primary-and-secondary-school-teachers-on-asthma-a-cross-sectional-study-in-ilorin-nigeria/" TargetMode="External"/><Relationship Id="rId67" Type="http://schemas.openxmlformats.org/officeDocument/2006/relationships/hyperlink" Target="https://doi.org/10.1017/s0958344022000179" TargetMode="External"/><Relationship Id="rId103" Type="http://schemas.openxmlformats.org/officeDocument/2006/relationships/hyperlink" Target="https://senseselec.com/blogs/roles-and-responsibilities-of-teacher/" TargetMode="External"/><Relationship Id="rId108" Type="http://schemas.openxmlformats.org/officeDocument/2006/relationships/hyperlink" Target="https://doi.org/10.1080/10494820.2015.1122635" TargetMode="External"/><Relationship Id="rId116" Type="http://schemas.openxmlformats.org/officeDocument/2006/relationships/hyperlink" Target="https://pmc.ncbi.nlm.nih.gov/articles/PMC9207921/" TargetMode="External"/><Relationship Id="rId124" Type="http://schemas.openxmlformats.org/officeDocument/2006/relationships/hyperlink" Target="https://dc.etsu.edu/etd/1109/" TargetMode="External"/><Relationship Id="rId129" Type="http://schemas.openxmlformats.org/officeDocument/2006/relationships/hyperlink" Target="https://nairametrics.com/2025/01/24/fg-integrates-ai-driven-platforms-to-transform-teaching-and-learning-in-schools/" TargetMode="External"/><Relationship Id="rId137" Type="http://schemas.openxmlformats.org/officeDocument/2006/relationships/hyperlink" Target="https://doi.org/10.1186/s41239-019-0171-0" TargetMode="External"/><Relationship Id="rId20" Type="http://schemas.openxmlformats.org/officeDocument/2006/relationships/hyperlink" Target="https://rsisinternational.org/journals/ijriss/articles/education-for-a-productive-society-in-the-21st-century-nigeria-the-relevance-of-social-justice/" TargetMode="External"/><Relationship Id="rId41" Type="http://schemas.openxmlformats.org/officeDocument/2006/relationships/hyperlink" Target="https://education-profiles.org/sub-saharan-africa/nigeria/~technology" TargetMode="External"/><Relationship Id="rId54" Type="http://schemas.openxmlformats.org/officeDocument/2006/relationships/hyperlink" Target="https://www.emerald.com/insight/content/doi/10.1108/k-07-2022-1049/full/pdf" TargetMode="External"/><Relationship Id="rId62" Type="http://schemas.openxmlformats.org/officeDocument/2006/relationships/hyperlink" Target="https://doi.org/10.2190/EC.51.2.b" TargetMode="External"/><Relationship Id="rId70" Type="http://schemas.openxmlformats.org/officeDocument/2006/relationships/hyperlink" Target="https://kwaralearn.ng/kwaralearn-a-classroom-revolution/" TargetMode="External"/><Relationship Id="rId75" Type="http://schemas.openxmlformats.org/officeDocument/2006/relationships/hyperlink" Target="http://repository.kln.ac.lk/items/7164cb8e-b4d8-4d93-bddd-2dfe284dfe18" TargetMode="External"/><Relationship Id="rId83" Type="http://schemas.openxmlformats.org/officeDocument/2006/relationships/hyperlink" Target="https://doi.org/10.1016/j.sciaf.2023.e01658" TargetMode="External"/><Relationship Id="rId88" Type="http://schemas.openxmlformats.org/officeDocument/2006/relationships/hyperlink" Target="https://www.sfjesgs.com/index.php/SFJESGS/article/view/579?utm_source=chatgpt.com" TargetMode="External"/><Relationship Id="rId91" Type="http://schemas.openxmlformats.org/officeDocument/2006/relationships/hyperlink" Target="https://doi.org/10.3389/fpsyg.2020.564294" TargetMode="External"/><Relationship Id="rId96" Type="http://schemas.openxmlformats.org/officeDocument/2006/relationships/hyperlink" Target="https://doi.org/10.1007/s10639-021-10842-3" TargetMode="External"/><Relationship Id="rId111" Type="http://schemas.openxmlformats.org/officeDocument/2006/relationships/hyperlink" Target="https://www.telefonica.com/en/communication-room/blog/advantages-disadvantages-icts-education/" TargetMode="External"/><Relationship Id="rId132" Type="http://schemas.openxmlformats.org/officeDocument/2006/relationships/hyperlink" Target="https://doi.org/10.1016/j.eswa.2024.123394" TargetMode="External"/><Relationship Id="rId140" Type="http://schemas.openxmlformats.org/officeDocument/2006/relationships/hyperlink" Target="https://onlinelibrary.wiley.com/doi/10.1155/2021/881254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scjournals.org/library/manuscriptinfo.php?mc=IJCL-107" TargetMode="External"/><Relationship Id="rId23" Type="http://schemas.openxmlformats.org/officeDocument/2006/relationships/hyperlink" Target="https://doi.org/10.1016/j.caeo.2024.100179" TargetMode="External"/><Relationship Id="rId28" Type="http://schemas.openxmlformats.org/officeDocument/2006/relationships/hyperlink" Target="https://doi.org/10.1016/j.cexr.2024.100136" TargetMode="External"/><Relationship Id="rId36" Type="http://schemas.openxmlformats.org/officeDocument/2006/relationships/hyperlink" Target="https://www.sciencedirect.com/journal/computers-and-education-artificial-intelligence" TargetMode="External"/><Relationship Id="rId49" Type="http://schemas.openxmlformats.org/officeDocument/2006/relationships/hyperlink" Target="https://guardian.ng/news/767-lgas-without-active-websites-amid-autonomy-n3tr-yearly-windfall/" TargetMode="External"/><Relationship Id="rId57" Type="http://schemas.openxmlformats.org/officeDocument/2006/relationships/hyperlink" Target="https://doi.org/10.1080/13603116.2021.1907549" TargetMode="External"/><Relationship Id="rId106" Type="http://schemas.openxmlformats.org/officeDocument/2006/relationships/hyperlink" Target="https://www.structural-learning.com/post/teaching-and-learning-strategies-a-classroom-guide" TargetMode="External"/><Relationship Id="rId114" Type="http://schemas.openxmlformats.org/officeDocument/2006/relationships/hyperlink" Target="https://open.ncl.ac.uk/theories/1/technology-acceptance-model/" TargetMode="External"/><Relationship Id="rId119" Type="http://schemas.openxmlformats.org/officeDocument/2006/relationships/hyperlink" Target="https://doi.org/10.26634/jet.16.3.16450" TargetMode="External"/><Relationship Id="rId127" Type="http://schemas.openxmlformats.org/officeDocument/2006/relationships/hyperlink" Target="https://iite.unesco.org/publications/ai-in-education-change-at-the-speed-of-learning/?utm_source=chatgpt.com" TargetMode="External"/><Relationship Id="rId10" Type="http://schemas.openxmlformats.org/officeDocument/2006/relationships/hyperlink" Target="http://dx.doi.org/10.6007/IJARBSS/v8-i8/4611" TargetMode="External"/><Relationship Id="rId31" Type="http://schemas.openxmlformats.org/officeDocument/2006/relationships/hyperlink" Target="https://www.scribd.com/document/870442061/The-Role-of-Artificial-Intelligence-in-Enhancing-Personalized-Learning-in-Secondary-Education" TargetMode="External"/><Relationship Id="rId44" Type="http://schemas.openxmlformats.org/officeDocument/2006/relationships/hyperlink" Target="https://doi.org/10.1007/s10639-021-10490-7" TargetMode="External"/><Relationship Id="rId52" Type="http://schemas.openxmlformats.org/officeDocument/2006/relationships/hyperlink" Target="https://pmc.ncbi.nlm.nih.gov/articles/PMC12003552/" TargetMode="External"/><Relationship Id="rId60" Type="http://schemas.openxmlformats.org/officeDocument/2006/relationships/hyperlink" Target="https://www.academia.edu/49919909/" TargetMode="External"/><Relationship Id="rId65" Type="http://schemas.openxmlformats.org/officeDocument/2006/relationships/hyperlink" Target="https://doi.org/10.1016/j.chb.2017.01.001" TargetMode="External"/><Relationship Id="rId73" Type="http://schemas.openxmlformats.org/officeDocument/2006/relationships/hyperlink" Target="https://doi.org/10.3390/bs15101364" TargetMode="External"/><Relationship Id="rId78" Type="http://schemas.openxmlformats.org/officeDocument/2006/relationships/hyperlink" Target="https://doi.org/10.1016/j.ijer.2024.102380" TargetMode="External"/><Relationship Id="rId81" Type="http://schemas.openxmlformats.org/officeDocument/2006/relationships/hyperlink" Target="https://joredea.fontisaidfoundation.com/wp-content/uploads/2025/03/cor-Dr-Nwankwo-P.pdf" TargetMode="External"/><Relationship Id="rId86" Type="http://schemas.openxmlformats.org/officeDocument/2006/relationships/hyperlink" Target="https://journals.ezenwaohaetorc.org/index.php/NJCS/article/view/3382" TargetMode="External"/><Relationship Id="rId94" Type="http://schemas.openxmlformats.org/officeDocument/2006/relationships/hyperlink" Target="https://doi.org/10.1371/journal.pone.0285432" TargetMode="External"/><Relationship Id="rId99" Type="http://schemas.openxmlformats.org/officeDocument/2006/relationships/hyperlink" Target="https://ijitie.aitie.org.ng/index.php/ijitie/article/view/318" TargetMode="External"/><Relationship Id="rId101" Type="http://schemas.openxmlformats.org/officeDocument/2006/relationships/hyperlink" Target="https://samphina.com.ng/factors-impacting-ict-integration-nigerian-public-schools/" TargetMode="External"/><Relationship Id="rId122" Type="http://schemas.openxmlformats.org/officeDocument/2006/relationships/hyperlink" Target="https://doi.org/10.3102/00346543068002202" TargetMode="External"/><Relationship Id="rId130" Type="http://schemas.openxmlformats.org/officeDocument/2006/relationships/hyperlink" Target="https://doi.org/10.2307/30036540" TargetMode="External"/><Relationship Id="rId135" Type="http://schemas.openxmlformats.org/officeDocument/2006/relationships/hyperlink" Target="https://doi.org/10.1016/j.chb.2017.02.005" TargetMode="External"/><Relationship Id="rId14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007/s40692-023-00296-6" TargetMode="External"/><Relationship Id="rId13" Type="http://schemas.openxmlformats.org/officeDocument/2006/relationships/hyperlink" Target="https://educationhub.blog.gov.uk/2025/06/artificial-intelligence-in-schools-everything-you-need-to-know/" TargetMode="External"/><Relationship Id="rId18" Type="http://schemas.openxmlformats.org/officeDocument/2006/relationships/hyperlink" Target="https://www.scribd.com/document/918911936/Al-Bashiru-Project" TargetMode="External"/><Relationship Id="rId39" Type="http://schemas.openxmlformats.org/officeDocument/2006/relationships/hyperlink" Target="https://doi.org/10.1287/mnsc.35.8.982" TargetMode="External"/><Relationship Id="rId109" Type="http://schemas.openxmlformats.org/officeDocument/2006/relationships/hyperlink" Target="https://journals.unizik.edu.ng/jgcs/article/view/5551" TargetMode="External"/><Relationship Id="rId34" Type="http://schemas.openxmlformats.org/officeDocument/2006/relationships/hyperlink" Target="https://doi.org/10.5281/zenodo.10998409" TargetMode="External"/><Relationship Id="rId50" Type="http://schemas.openxmlformats.org/officeDocument/2006/relationships/hyperlink" Target="https://guardian.ng/technology/kwara-govt-launches-coding-digital-literacy-programme/?utm_source=chatgpt.com" TargetMode="External"/><Relationship Id="rId55" Type="http://schemas.openxmlformats.org/officeDocument/2006/relationships/hyperlink" Target="https://curriculumredesign.org/wp-content/uploads/AIED-HOLMES-BIALIK-FADEL.pdf" TargetMode="External"/><Relationship Id="rId76" Type="http://schemas.openxmlformats.org/officeDocument/2006/relationships/hyperlink" Target="https://doi.org/10.3389/fpsyg.2025.1562354" TargetMode="External"/><Relationship Id="rId97" Type="http://schemas.openxmlformats.org/officeDocument/2006/relationships/hyperlink" Target="https://aucpp.ro/wp-content/uploads/2024/12/21.-SAHLI_N_BOUGHENA_K_ABDELHADI_A_AUC_PP_2024_no_46_issue_2_pp_285-297.pdf" TargetMode="External"/><Relationship Id="rId104" Type="http://schemas.openxmlformats.org/officeDocument/2006/relationships/hyperlink" Target="https://doi.org/10.1007/s10639-025-13684-5" TargetMode="External"/><Relationship Id="rId120" Type="http://schemas.openxmlformats.org/officeDocument/2006/relationships/hyperlink" Target="https://tribuneonlineng.com/digital-literacy-kwara-targets-7500-students-for-coding-programmeme/" TargetMode="External"/><Relationship Id="rId125" Type="http://schemas.openxmlformats.org/officeDocument/2006/relationships/hyperlink" Target="https://www.ed.gov/sites/ed/files/documents/ai-report/ai-report.pdf" TargetMode="External"/><Relationship Id="rId141" Type="http://schemas.openxmlformats.org/officeDocument/2006/relationships/hyperlink" Target="https://doi.org/10.5539/hes.v15n2p189" TargetMode="External"/><Relationship Id="rId7" Type="http://schemas.openxmlformats.org/officeDocument/2006/relationships/endnotes" Target="endnotes.xml"/><Relationship Id="rId71" Type="http://schemas.openxmlformats.org/officeDocument/2006/relationships/hyperlink" Target="https://kwaralearn.ng/kwaralearn-a-classroom-revolution/" TargetMode="External"/><Relationship Id="rId92" Type="http://schemas.openxmlformats.org/officeDocument/2006/relationships/hyperlink" Target="https://www.edutopia.org/technology-integration-research-learning-outcomes" TargetMode="External"/><Relationship Id="rId2" Type="http://schemas.openxmlformats.org/officeDocument/2006/relationships/numbering" Target="numbering.xml"/><Relationship Id="rId29" Type="http://schemas.openxmlformats.org/officeDocument/2006/relationships/hyperlink" Target="https://doi.org/10.1016/j.caeai.2024.100358" TargetMode="External"/><Relationship Id="rId24" Type="http://schemas.openxmlformats.org/officeDocument/2006/relationships/hyperlink" Target="https://doi.org/10.1016/j.caeai.2022.100099" TargetMode="External"/><Relationship Id="rId40" Type="http://schemas.openxmlformats.org/officeDocument/2006/relationships/hyperlink" Target="https://www.edcafe.ai/blog/best-ai-teaching-tools?utm_source=chatgpt.com" TargetMode="External"/><Relationship Id="rId45" Type="http://schemas.openxmlformats.org/officeDocument/2006/relationships/hyperlink" Target="https://nitda.gov.ng/wp-content/uploads/2020/06/National-Digital-Economy-Policy-and-Strategy.pdf?utm_source=chatgpt.com" TargetMode="External"/><Relationship Id="rId66" Type="http://schemas.openxmlformats.org/officeDocument/2006/relationships/hyperlink" Target="https://doi.org/10.3389/fpsyg.2025.1498132" TargetMode="External"/><Relationship Id="rId87" Type="http://schemas.openxmlformats.org/officeDocument/2006/relationships/hyperlink" Target="https://journals.ezenwaohaetorc.org/index.php/NJCS/article/view/3382" TargetMode="External"/><Relationship Id="rId110" Type="http://schemas.openxmlformats.org/officeDocument/2006/relationships/hyperlink" Target="https://www.techtarget.com/searchcio/definition/ICT-information-and-communications-technology-or-technologies?utm_source=chatgpt.com" TargetMode="External"/><Relationship Id="rId115" Type="http://schemas.openxmlformats.org/officeDocument/2006/relationships/hyperlink" Target="https://open.ncl.ac.uk/theories/1/technology-acceptance-model/" TargetMode="External"/><Relationship Id="rId131" Type="http://schemas.openxmlformats.org/officeDocument/2006/relationships/hyperlink" Target="https://doi.org/10.3389/fpsyg.2025.1699174" TargetMode="External"/><Relationship Id="rId136" Type="http://schemas.openxmlformats.org/officeDocument/2006/relationships/hyperlink" Target="https://www.scribd.com/document/783799455/Zainab?utm_source=chatgpt.com" TargetMode="External"/><Relationship Id="rId61" Type="http://schemas.openxmlformats.org/officeDocument/2006/relationships/hyperlink" Target="https://ijhumas.com/ojs/index.php/niuhums/article/download/311/292/" TargetMode="External"/><Relationship Id="rId82" Type="http://schemas.openxmlformats.org/officeDocument/2006/relationships/hyperlink" Target="https://doi.org/10.62154/ajhcer.2025.020.01012" TargetMode="External"/><Relationship Id="rId19" Type="http://schemas.openxmlformats.org/officeDocument/2006/relationships/hyperlink" Target="https://www.scribd.com/document/918911936/Al-Bashiru-Project" TargetMode="External"/><Relationship Id="rId14" Type="http://schemas.openxmlformats.org/officeDocument/2006/relationships/hyperlink" Target="https://www.cscjournals.org/library/manuscriptinfo.php?mc=IJCL-107" TargetMode="External"/><Relationship Id="rId30" Type="http://schemas.openxmlformats.org/officeDocument/2006/relationships/hyperlink" Target="https://blackgeeks.com.ng/history-of-educational-technology-in-nigeria/" TargetMode="External"/><Relationship Id="rId35" Type="http://schemas.openxmlformats.org/officeDocument/2006/relationships/hyperlink" Target="https://www.sciencedirect.com/journal/computers-and-education-artificial-intelligence" TargetMode="External"/><Relationship Id="rId56" Type="http://schemas.openxmlformats.org/officeDocument/2006/relationships/hyperlink" Target="https://www.studocu.vn/vn/document/truong-dai-hoc-cong-nghiep-ha-noi/robot-va-tri-tue-nhan-tao/holmes-et-al-2023-artificial-intelligence-in-education/75466922" TargetMode="External"/><Relationship Id="rId77" Type="http://schemas.openxmlformats.org/officeDocument/2006/relationships/hyperlink" Target="https://doi.org/10.1111/jcal.12761" TargetMode="External"/><Relationship Id="rId100" Type="http://schemas.openxmlformats.org/officeDocument/2006/relationships/hyperlink" Target="https://ijitie.aitie.org.ng/index.php/ijitie/article/view/318" TargetMode="External"/><Relationship Id="rId105" Type="http://schemas.openxmlformats.org/officeDocument/2006/relationships/hyperlink" Target="https://socialvoices.org/teachers-face-strain-students-thrive-under-kwaralearns-structured-digital-learning/" TargetMode="External"/><Relationship Id="rId126" Type="http://schemas.openxmlformats.org/officeDocument/2006/relationships/hyperlink" Target="https://www.frontiersin.org/journals/education/articles/10.3389/feduc.2025.1519472/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8" Type="http://schemas.microsoft.com/office/2011/relationships/webextension" Target="webextension8.xml"/><Relationship Id="rId3" Type="http://schemas.microsoft.com/office/2011/relationships/webextension" Target="webextension3.xml"/><Relationship Id="rId7" Type="http://schemas.microsoft.com/office/2011/relationships/webextension" Target="webextension7.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8">
    <wetp:webextensionref xmlns:r="http://schemas.openxmlformats.org/officeDocument/2006/relationships" r:id="rId1"/>
  </wetp:taskpane>
  <wetp:taskpane dockstate="right" visibility="0" width="350" row="7">
    <wetp:webextensionref xmlns:r="http://schemas.openxmlformats.org/officeDocument/2006/relationships" r:id="rId2"/>
  </wetp:taskpane>
  <wetp:taskpane dockstate="right" visibility="0" width="350" row="1">
    <wetp:webextensionref xmlns:r="http://schemas.openxmlformats.org/officeDocument/2006/relationships" r:id="rId3"/>
  </wetp:taskpane>
  <wetp:taskpane dockstate="right" visibility="0" width="1" row="2">
    <wetp:webextensionref xmlns:r="http://schemas.openxmlformats.org/officeDocument/2006/relationships" r:id="rId4"/>
  </wetp:taskpane>
  <wetp:taskpane dockstate="right" visibility="0" width="350" row="5">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 dockstate="right" visibility="0" width="350" row="6">
    <wetp:webextensionref xmlns:r="http://schemas.openxmlformats.org/officeDocument/2006/relationships" r:id="rId7"/>
  </wetp:taskpane>
  <wetp:taskpane dockstate="right" visibility="0" width="350" row="3">
    <wetp:webextensionref xmlns:r="http://schemas.openxmlformats.org/officeDocument/2006/relationships" r:id="rId8"/>
  </wetp:taskpane>
</wetp:taskpanes>
</file>

<file path=word/webextensions/webextension1.xml><?xml version="1.0" encoding="utf-8"?>
<we:webextension xmlns:we="http://schemas.microsoft.com/office/webextensions/webextension/2010/11" id="{BE9BF9EB-4E49-4A84-8917-0C8E438BD21E}">
  <we:reference id="wa104381714" version="4.2.0.0" store="en-US" storeType="OMEX"/>
  <we:alternateReferences>
    <we:reference id="wa104381714" version="4.2.0.0" store="wa104381714" storeType="OMEX"/>
  </we:alternateReferences>
  <we:properties>
    <we:property name="production_outwrite_document" value="&quot;{\&quot;documentId\&quot;:\&quot;c2b3e7d5b43092b8\&quot;,\&quot;documentAccessToken\&quot;:\&quot;3b59e9c8afae32e416c6c18bf87eeba5\&quot;}&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CF3AA969-7CF7-4564-A8B0-B60794AE243F}">
  <we:reference id="wa104381727" version="1.0.1.0" store="en-US" storeType="OMEX"/>
  <we:alternateReferences>
    <we:reference id="wa104381727" version="1.0.1.0" store="wa104381727" storeType="OMEX"/>
  </we:alternateReferences>
  <we:properties>
    <we:property name="documentId" value="&quot;f3dd5b21b9013f21&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83389CE8-D174-472C-9F84-E76FB8E4D576}">
  <we:reference id="wa200000368" version="1.0.0.0" store="en-US" storeType="OMEX"/>
  <we:alternateReferences>
    <we:reference id="wa200000368" version="1.0.0.0" store="wa200000368" storeType="OMEX"/>
  </we:alternateReferences>
  <we:properties>
    <we:property name="documentId" value="&quot;fe409cba2ea6b495&quot;"/>
  </we:properties>
  <we:bindings/>
  <we:snapshot xmlns:r="http://schemas.openxmlformats.org/officeDocument/2006/relationships"/>
</we:webextension>
</file>

<file path=word/webextensions/webextension4.xml><?xml version="1.0" encoding="utf-8"?>
<we:webextension xmlns:we="http://schemas.microsoft.com/office/webextensions/webextension/2010/11" id="{1E0BA424-937D-4720-9777-1C22FD051428}">
  <we:reference id="wa200001841" version="1.0.0.0" store="en-US" storeType="OMEX"/>
  <we:alternateReferences>
    <we:reference id="wa200001841" version="1.0.0.0" store="wa200001841" storeType="OMEX"/>
  </we:alternateReferences>
  <we:properties/>
  <we:bindings/>
  <we:snapshot xmlns:r="http://schemas.openxmlformats.org/officeDocument/2006/relationships"/>
</we:webextension>
</file>

<file path=word/webextensions/webextension5.xml><?xml version="1.0" encoding="utf-8"?>
<we:webextension xmlns:we="http://schemas.microsoft.com/office/webextensions/webextension/2010/11" id="{EAACBC56-63C0-4397-A5AC-2A455D50D02A}">
  <we:reference id="wa200005377" version="1.0.0.0" store="en-US" storeType="OMEX"/>
  <we:alternateReferences>
    <we:reference id="wa200005377" version="1.0.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52B9DD09-7CCA-4F11-866C-0912F2428407}">
  <we:reference id="wa200005740" version="1.0.0.0" store="en-US" storeType="OMEX"/>
  <we:alternateReferences>
    <we:reference id="wa200005740" version="1.0.0.0" store="wa200005740" storeType="OMEX"/>
  </we:alternateReferences>
  <we:properties/>
  <we:bindings/>
  <we:snapshot xmlns:r="http://schemas.openxmlformats.org/officeDocument/2006/relationships"/>
</we:webextension>
</file>

<file path=word/webextensions/webextension7.xml><?xml version="1.0" encoding="utf-8"?>
<we:webextension xmlns:we="http://schemas.microsoft.com/office/webextensions/webextension/2010/11" id="{30F48662-CE4F-47DB-B7E9-5E2B49D90D87}">
  <we:reference id="wa200005339" version="1.0.0.4" store="en-US" storeType="OMEX"/>
  <we:alternateReferences>
    <we:reference id="wa200005339" version="1.0.0.4" store="wa200005339" storeType="OMEX"/>
  </we:alternateReferences>
  <we:properties/>
  <we:bindings/>
  <we:snapshot xmlns:r="http://schemas.openxmlformats.org/officeDocument/2006/relationships"/>
</we:webextension>
</file>

<file path=word/webextensions/webextension8.xml><?xml version="1.0" encoding="utf-8"?>
<we:webextension xmlns:we="http://schemas.microsoft.com/office/webextensions/webextension/2010/11" id="{44C0B63D-125C-49B0-85A6-9F5CDDB72507}">
  <we:reference id="wa200001011" version="1.4.0.0" store="en-US" storeType="OMEX"/>
  <we:alternateReferences>
    <we:reference id="wa200001011" version="1.4.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FE8EC6-CB8F-47D3-A298-44C768462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123</Pages>
  <Words>38072</Words>
  <Characters>217012</Characters>
  <Application>Microsoft Office Word</Application>
  <DocSecurity>0</DocSecurity>
  <Lines>1808</Lines>
  <Paragraphs>509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Samuel Adesayo</cp:lastModifiedBy>
  <cp:revision>59</cp:revision>
  <dcterms:created xsi:type="dcterms:W3CDTF">2026-02-19T11:37:00Z</dcterms:created>
  <dcterms:modified xsi:type="dcterms:W3CDTF">2026-02-26T06:58:00Z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2a551480-2ee9-4bf4-b395-42c5169db79b</vt:lpwstr>
  </property>
</Properties>
</file>