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left"/>
      </w:pPr>
      <w:r>
        <w:rPr>
          <w:rFonts w:ascii="Georgia" w:cs="Georgia" w:eastAsia="Georgia" w:hAnsi="Georgia"/>
          <w:b/>
          <w:bCs/>
          <w:color w:val="1B5E44"/>
          <w:sz w:val="60"/>
          <w:szCs w:val="60"/>
        </w:rPr>
        <w:t xml:space="preserve">ClimaHealth Predict</w:t>
      </w:r>
    </w:p>
    <w:p>
      <w:pPr>
        <w:spacing w:after="0" w:before="80"/>
        <w:jc w:val="left"/>
      </w:pPr>
      <w:r>
        <w:rPr>
          <w:rFonts w:ascii="Georgia" w:cs="Georgia" w:eastAsia="Georgia" w:hAnsi="Georgia"/>
          <w:color w:val="1A1A1A"/>
          <w:sz w:val="30"/>
          <w:szCs w:val="30"/>
        </w:rPr>
        <w:t xml:space="preserve">From Climate Signals to Life-Saving Health Action</w:t>
      </w:r>
    </w:p>
    <w:p>
      <w:pPr>
        <w:pBdr>
          <w:bottom w:val="single" w:color="1B5E44" w:sz="14" w:space="10"/>
        </w:pBdr>
        <w:spacing w:after="0" w:before="300"/>
        <w:jc w:val="left"/>
      </w:pPr>
      <w:r>
        <w:rPr>
          <w:rFonts w:ascii="Calibri" w:cs="Calibri" w:eastAsia="Calibri" w:hAnsi="Calibri"/>
          <w:color w:val="5A5A5A"/>
          <w:sz w:val="24"/>
          <w:szCs w:val="24"/>
        </w:rPr>
        <w:t xml:space="preserve">A climate-health early-warning, response and public-engagement platform for Ghana</w:t>
      </w:r>
    </w:p>
    <w:p>
      <w:pPr>
        <w:spacing w:after="0" w:before="260"/>
      </w:pPr>
      <w:r>
        <w:rPr>
          <w:rFonts w:ascii="Calibri" w:cs="Calibri" w:eastAsia="Calibri" w:hAnsi="Calibri"/>
          <w:color w:val="1A1A1A"/>
          <w:sz w:val="22"/>
          <w:szCs w:val="22"/>
        </w:rPr>
        <w:t xml:space="preserve">Featuring Dawuro, the public mobile application, and the Agency Command Platform</w:t>
      </w:r>
    </w:p>
    <w:p>
      <w:pPr>
        <w:spacing w:after="0" w:before="900"/>
      </w:pPr>
      <w:r>
        <w:rPr>
          <w:rFonts w:ascii="Calibri" w:cs="Calibri" w:eastAsia="Calibri" w:hAnsi="Calibri"/>
          <w:b/>
          <w:bCs/>
          <w:color w:val="1A1A1A"/>
          <w:sz w:val="24"/>
          <w:szCs w:val="24"/>
        </w:rPr>
        <w:t xml:space="preserve">Project Proposal</w:t>
      </w:r>
    </w:p>
    <w:p>
      <w:pPr>
        <w:spacing w:after="0" w:before="40"/>
      </w:pPr>
      <w:r>
        <w:rPr>
          <w:rFonts w:ascii="Calibri" w:cs="Calibri" w:eastAsia="Calibri" w:hAnsi="Calibri"/>
          <w:color w:val="5A5A5A"/>
          <w:sz w:val="22"/>
          <w:szCs w:val="22"/>
        </w:rPr>
        <w:t xml:space="preserve">Submitted to the GreenRes Hackathon 2026</w:t>
      </w:r>
    </w:p>
    <w:p>
      <w:pPr>
        <w:spacing w:after="0" w:before="20"/>
      </w:pPr>
      <w:r>
        <w:rPr>
          <w:rFonts w:ascii="Calibri" w:cs="Calibri" w:eastAsia="Calibri" w:hAnsi="Calibri"/>
          <w:color w:val="5A5A5A"/>
          <w:sz w:val="22"/>
          <w:szCs w:val="22"/>
        </w:rPr>
        <w:t xml:space="preserve">Africa Climate Collaborative and the University of Ghana</w:t>
      </w:r>
    </w:p>
    <w:p>
      <w:r>
        <w:br w:type="page"/>
      </w:r>
    </w:p>
    <w:p>
      <w:pPr>
        <w:pStyle w:val="Heading1"/>
        <w:keepNext/>
        <w:spacing w:after="140" w:before="360"/>
      </w:pPr>
      <w:r>
        <w:rPr>
          <w:rFonts w:ascii="Georgia" w:cs="Georgia" w:eastAsia="Georgia" w:hAnsi="Georgia"/>
          <w:b/>
          <w:bCs/>
          <w:color w:val="1B5E44"/>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40"/>
      </w:pPr>
      <w:r>
        <w:rPr>
          <w:rFonts w:ascii="Calibri" w:cs="Calibri" w:eastAsia="Calibri" w:hAnsi="Calibri"/>
          <w:i/>
          <w:iCs/>
          <w:color w:val="5A5A5A"/>
          <w:sz w:val="18"/>
          <w:szCs w:val="18"/>
        </w:rPr>
        <w:t xml:space="preserve">To update this table in Word, right-click it and choose Update Field.</w:t>
      </w:r>
    </w:p>
    <w:p>
      <w:r>
        <w:br w:type="page"/>
      </w:r>
    </w:p>
    <w:p>
      <w:pPr>
        <w:pStyle w:val="Heading1"/>
        <w:keepNext/>
        <w:spacing w:after="140" w:before="360"/>
      </w:pPr>
      <w:r>
        <w:rPr>
          <w:rFonts w:ascii="Georgia" w:cs="Georgia" w:eastAsia="Georgia" w:hAnsi="Georgia"/>
          <w:b/>
          <w:bCs/>
          <w:color w:val="1B5E44"/>
          <w:sz w:val="30"/>
          <w:szCs w:val="30"/>
        </w:rPr>
        <w:t xml:space="preserve">Executive Summary</w:t>
      </w:r>
    </w:p>
    <w:p>
      <w:pPr>
        <w:spacing w:after="130" w:line="276"/>
        <w:jc w:val="both"/>
      </w:pPr>
      <w:r>
        <w:rPr>
          <w:rFonts w:ascii="Calibri" w:cs="Calibri" w:eastAsia="Calibri" w:hAnsi="Calibri"/>
          <w:b w:val="false"/>
          <w:bCs w:val="false"/>
          <w:i w:val="false"/>
          <w:iCs w:val="false"/>
          <w:color w:val="1A1A1A"/>
          <w:sz w:val="22"/>
          <w:szCs w:val="22"/>
        </w:rPr>
        <w:t xml:space="preserve">Climate change has become one of the most serious threats to public health in Ghana. Shifting rainfall, flooding, extreme heat, rising humidity, Harmattan dust and worsening air pollution are driving climate-sensitive diseases across every region of the country, and the health system too often responds only after cases have begun to rise. ClimaHealth Predict is a climate-health early-warning, response and public-engagement platform designed to help Ghana anticipate and prevent climate-driven health crises before hospitals are overwhelmed, and to make every citizen an active participant in protecting their own community.</w:t>
      </w:r>
    </w:p>
    <w:p>
      <w:pPr>
        <w:spacing w:after="130" w:line="276"/>
        <w:jc w:val="both"/>
      </w:pPr>
      <w:r>
        <w:rPr>
          <w:rFonts w:ascii="Calibri" w:cs="Calibri" w:eastAsia="Calibri" w:hAnsi="Calibri"/>
          <w:b w:val="false"/>
          <w:bCs w:val="false"/>
          <w:i w:val="false"/>
          <w:iCs w:val="false"/>
          <w:color w:val="1A1A1A"/>
          <w:sz w:val="22"/>
          <w:szCs w:val="22"/>
        </w:rPr>
        <w:t xml:space="preserve">The platform is built on a single, deliberate principle. It does not begin with a disease and search for its causes. It begins with the climate signal in a district and determines every health consequence that signal implies, ranked by likelihood and timing. This inversion allows one system to address the full range of climate-sensitive illnesses, from malaria and cholera to meningitis, respiratory disease, heat illness and child undernutrition, rather than a single disease at a time.</w:t>
      </w:r>
    </w:p>
    <w:p>
      <w:pPr>
        <w:spacing w:after="130" w:line="276"/>
        <w:jc w:val="both"/>
      </w:pPr>
      <w:r>
        <w:rPr>
          <w:rFonts w:ascii="Calibri" w:cs="Calibri" w:eastAsia="Calibri" w:hAnsi="Calibri"/>
          <w:b w:val="false"/>
          <w:bCs w:val="false"/>
          <w:i w:val="false"/>
          <w:iCs w:val="false"/>
          <w:color w:val="1A1A1A"/>
          <w:sz w:val="22"/>
          <w:szCs w:val="22"/>
        </w:rPr>
        <w:t xml:space="preserve">ClimaHealth Predict is delivered through two connected products: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Dawuro, the public mobile application. </w:t>
      </w:r>
      <w:r>
        <w:rPr>
          <w:rFonts w:ascii="Calibri" w:cs="Calibri" w:eastAsia="Calibri" w:hAnsi="Calibri"/>
          <w:b w:val="false"/>
          <w:bCs w:val="false"/>
          <w:i w:val="false"/>
          <w:iCs w:val="false"/>
          <w:color w:val="1A1A1A"/>
          <w:sz w:val="22"/>
          <w:szCs w:val="22"/>
        </w:rPr>
        <w:t xml:space="preserve">Dawuro is the gong-gong, the traditional Ghanaian town-crier’s bell that warned and gathered communities for generations. This is its digital descendant: an application that delivers a daily district-level health forecast to every citizen in their own language, turns residents into reporters of environmental risk, educates them at the moment lessons become relevant, and rewards their participation with genuine healthcare.</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The Agency Command Platform. </w:t>
      </w:r>
      <w:r>
        <w:rPr>
          <w:rFonts w:ascii="Calibri" w:cs="Calibri" w:eastAsia="Calibri" w:hAnsi="Calibri"/>
          <w:b w:val="false"/>
          <w:bCs w:val="false"/>
          <w:i w:val="false"/>
          <w:iCs w:val="false"/>
          <w:color w:val="1A1A1A"/>
          <w:sz w:val="22"/>
          <w:szCs w:val="22"/>
        </w:rPr>
        <w:t xml:space="preserve">The institutional platform used by the Ghana Health Service and every other agency involved in the response, giving each a shared view of risk, a coordinated action queue, and a common record of accountability.</w:t>
      </w:r>
    </w:p>
    <w:p>
      <w:pPr>
        <w:spacing w:after="130" w:line="276"/>
        <w:jc w:val="both"/>
      </w:pPr>
      <w:r>
        <w:rPr>
          <w:rFonts w:ascii="Calibri" w:cs="Calibri" w:eastAsia="Calibri" w:hAnsi="Calibri"/>
          <w:b w:val="false"/>
          <w:bCs w:val="false"/>
          <w:i w:val="false"/>
          <w:iCs w:val="false"/>
          <w:color w:val="1A1A1A"/>
          <w:sz w:val="22"/>
          <w:szCs w:val="22"/>
        </w:rPr>
        <w:t xml:space="preserve">For the public, participation is organised as a national movement called Climate Guardians, in which learning and community action earn what the proposal describes as the </w:t>
      </w:r>
      <w:r>
        <w:rPr>
          <w:rFonts w:ascii="Calibri" w:cs="Calibri" w:eastAsia="Calibri" w:hAnsi="Calibri"/>
          <w:b/>
          <w:bCs/>
          <w:i w:val="false"/>
          <w:iCs w:val="false"/>
          <w:color w:val="1A1A1A"/>
          <w:sz w:val="22"/>
          <w:szCs w:val="22"/>
        </w:rPr>
        <w:t xml:space="preserve">Health Dividend</w:t>
      </w:r>
      <w:r>
        <w:rPr>
          <w:rFonts w:ascii="Calibri" w:cs="Calibri" w:eastAsia="Calibri" w:hAnsi="Calibri"/>
          <w:b w:val="false"/>
          <w:bCs w:val="false"/>
          <w:i w:val="false"/>
          <w:iCs w:val="false"/>
          <w:color w:val="1A1A1A"/>
          <w:sz w:val="22"/>
          <w:szCs w:val="22"/>
        </w:rPr>
        <w:t xml:space="preserve">: points that convert into health screenings, full check-ups and paid national health insurance. The platform protects a citizen’s community and, in doing so, protects the citizen’s own access to care. It is designed to reach everyone, including people who are blind, deaf, or both, those who own only a basic telephone, speakers of several Ghanaian languages, and citizens of every age from young children to the elderly.</w:t>
      </w:r>
    </w:p>
    <w:p>
      <w:pPr>
        <w:pStyle w:val="Heading1"/>
        <w:keepNext/>
        <w:spacing w:after="140" w:before="360"/>
      </w:pPr>
      <w:r>
        <w:rPr>
          <w:rFonts w:ascii="Georgia" w:cs="Georgia" w:eastAsia="Georgia" w:hAnsi="Georgia"/>
          <w:b/>
          <w:bCs/>
          <w:color w:val="1B5E44"/>
          <w:sz w:val="30"/>
          <w:szCs w:val="30"/>
        </w:rPr>
        <w:t xml:space="preserve">1. The Problem We Are Solving</w:t>
      </w:r>
    </w:p>
    <w:p>
      <w:pPr>
        <w:spacing w:after="130" w:line="276"/>
        <w:jc w:val="both"/>
      </w:pPr>
      <w:r>
        <w:rPr>
          <w:rFonts w:ascii="Calibri" w:cs="Calibri" w:eastAsia="Calibri" w:hAnsi="Calibri"/>
          <w:b w:val="false"/>
          <w:bCs w:val="false"/>
          <w:i w:val="false"/>
          <w:iCs w:val="false"/>
          <w:color w:val="1A1A1A"/>
          <w:sz w:val="22"/>
          <w:szCs w:val="22"/>
        </w:rPr>
        <w:t xml:space="preserve">Climate change is worsening health outcomes across many diseases, many seasons and every region of Ghana. The scale is not theoretical. It is already measured in cases and in lives.</w:t>
      </w:r>
    </w:p>
    <w:p>
      <w:pPr>
        <w:pStyle w:val="Heading3"/>
        <w:keepNext/>
        <w:spacing w:after="70" w:before="160"/>
      </w:pPr>
      <w:r>
        <w:rPr>
          <w:rFonts w:ascii="Calibri" w:cs="Calibri" w:eastAsia="Calibri" w:hAnsi="Calibri"/>
          <w:b/>
          <w:bCs/>
          <w:color w:val="1A1A1A"/>
          <w:sz w:val="22"/>
          <w:szCs w:val="22"/>
        </w:rPr>
        <w:t xml:space="preserve">Rain and flood-driven illness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Malaria. </w:t>
      </w:r>
      <w:r>
        <w:rPr>
          <w:rFonts w:ascii="Calibri" w:cs="Calibri" w:eastAsia="Calibri" w:hAnsi="Calibri"/>
          <w:b w:val="false"/>
          <w:bCs w:val="false"/>
          <w:i w:val="false"/>
          <w:iCs w:val="false"/>
          <w:color w:val="1A1A1A"/>
          <w:sz w:val="22"/>
          <w:szCs w:val="22"/>
        </w:rPr>
        <w:t xml:space="preserve">Ghana recorded an estimated 6.7 million malaria cases in 2024, roughly 2.4 percent of all malaria cases worldwide. Transmission follows rainfall, humidity and stagnant water.</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Cholera. </w:t>
      </w:r>
      <w:r>
        <w:rPr>
          <w:rFonts w:ascii="Calibri" w:cs="Calibri" w:eastAsia="Calibri" w:hAnsi="Calibri"/>
          <w:b w:val="false"/>
          <w:bCs w:val="false"/>
          <w:i w:val="false"/>
          <w:iCs w:val="false"/>
          <w:color w:val="1A1A1A"/>
          <w:sz w:val="22"/>
          <w:szCs w:val="22"/>
        </w:rPr>
        <w:t xml:space="preserve">The outbreak that began in Ada East in the Greater Accra Region in October 2024 spread to 36 districts across five regions, producing 6,145 suspected cases and at least 49 deaths by February 2025.</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Diarrhoeal disease. </w:t>
      </w:r>
      <w:r>
        <w:rPr>
          <w:rFonts w:ascii="Calibri" w:cs="Calibri" w:eastAsia="Calibri" w:hAnsi="Calibri"/>
          <w:b w:val="false"/>
          <w:bCs w:val="false"/>
          <w:i w:val="false"/>
          <w:iCs w:val="false"/>
          <w:color w:val="1A1A1A"/>
          <w:sz w:val="22"/>
          <w:szCs w:val="22"/>
        </w:rPr>
        <w:t xml:space="preserve">Diarrhoeal disease kills more than 14,000 young children in Ghana every year and is the third leading cause of death among children under five.</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Dengue. </w:t>
      </w:r>
      <w:r>
        <w:rPr>
          <w:rFonts w:ascii="Calibri" w:cs="Calibri" w:eastAsia="Calibri" w:hAnsi="Calibri"/>
          <w:b w:val="false"/>
          <w:bCs w:val="false"/>
          <w:i w:val="false"/>
          <w:iCs w:val="false"/>
          <w:color w:val="1A1A1A"/>
          <w:sz w:val="22"/>
          <w:szCs w:val="22"/>
        </w:rPr>
        <w:t xml:space="preserve">Dengue arrived at scale for the first time in July 2024, with roughly 1,400 to 1,470 suspected and about 205 confirmed cases of serotype DENV-1.</w:t>
      </w:r>
    </w:p>
    <w:p>
      <w:pPr>
        <w:pStyle w:val="Heading3"/>
        <w:keepNext/>
        <w:spacing w:after="70" w:before="160"/>
      </w:pPr>
      <w:r>
        <w:rPr>
          <w:rFonts w:ascii="Calibri" w:cs="Calibri" w:eastAsia="Calibri" w:hAnsi="Calibri"/>
          <w:b/>
          <w:bCs/>
          <w:color w:val="1A1A1A"/>
          <w:sz w:val="22"/>
          <w:szCs w:val="22"/>
        </w:rPr>
        <w:t xml:space="preserve">Dry season, dust and air-driven illness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Meningitis. </w:t>
      </w:r>
      <w:r>
        <w:rPr>
          <w:rFonts w:ascii="Calibri" w:cs="Calibri" w:eastAsia="Calibri" w:hAnsi="Calibri"/>
          <w:b w:val="false"/>
          <w:bCs w:val="false"/>
          <w:i w:val="false"/>
          <w:iCs w:val="false"/>
          <w:color w:val="1A1A1A"/>
          <w:sz w:val="22"/>
          <w:szCs w:val="22"/>
        </w:rPr>
        <w:t xml:space="preserve">Meningitis is seasonal and deadly in the north, which lies within Africa’s meningitis belt. In the 2025 season the Upper West Region alone recorded 60 suspected cases and 14 deaths, a case fatality rate above 23 percent, with the national figure reaching 129 cases and 16 deaths by mid-February 2025.</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Air pollution. </w:t>
      </w:r>
      <w:r>
        <w:rPr>
          <w:rFonts w:ascii="Calibri" w:cs="Calibri" w:eastAsia="Calibri" w:hAnsi="Calibri"/>
          <w:b w:val="false"/>
          <w:bCs w:val="false"/>
          <w:i w:val="false"/>
          <w:iCs w:val="false"/>
          <w:color w:val="1A1A1A"/>
          <w:sz w:val="22"/>
          <w:szCs w:val="22"/>
        </w:rPr>
        <w:t xml:space="preserve">Air pollution is now the second leading risk factor for death in Ghana, contributing to an estimated 28,000 to 32,000 deaths a year, about 14 percent of all deaths, with roughly 2,800 in Greater Accra alone attributable to fine particulate matter. A 2024 assessment placed the cost of outdoor air pollution at about 1.9 billion United States dollars, equivalent to 2.3 percent of national output.</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Chronic respiratory disease. </w:t>
      </w:r>
      <w:r>
        <w:rPr>
          <w:rFonts w:ascii="Calibri" w:cs="Calibri" w:eastAsia="Calibri" w:hAnsi="Calibri"/>
          <w:b w:val="false"/>
          <w:bCs w:val="false"/>
          <w:i w:val="false"/>
          <w:iCs w:val="false"/>
          <w:color w:val="1A1A1A"/>
          <w:sz w:val="22"/>
          <w:szCs w:val="22"/>
        </w:rPr>
        <w:t xml:space="preserve">Deaths from chronic obstructive pulmonary disease in Ghana rose by 157 percent between 1990 and 2021, with household and ambient air pollution together accounting for a large share.</w:t>
      </w:r>
    </w:p>
    <w:p>
      <w:pPr>
        <w:pStyle w:val="Heading3"/>
        <w:keepNext/>
        <w:spacing w:after="70" w:before="160"/>
      </w:pPr>
      <w:r>
        <w:rPr>
          <w:rFonts w:ascii="Calibri" w:cs="Calibri" w:eastAsia="Calibri" w:hAnsi="Calibri"/>
          <w:b/>
          <w:bCs/>
          <w:color w:val="1A1A1A"/>
          <w:sz w:val="22"/>
          <w:szCs w:val="22"/>
        </w:rPr>
        <w:t xml:space="preserve">Heat-driven illness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Heat and maternal health. </w:t>
      </w:r>
      <w:r>
        <w:rPr>
          <w:rFonts w:ascii="Calibri" w:cs="Calibri" w:eastAsia="Calibri" w:hAnsi="Calibri"/>
          <w:b w:val="false"/>
          <w:bCs w:val="false"/>
          <w:i w:val="false"/>
          <w:iCs w:val="false"/>
          <w:color w:val="1A1A1A"/>
          <w:sz w:val="22"/>
          <w:szCs w:val="22"/>
        </w:rPr>
        <w:t xml:space="preserve">Ghana has already passed two degrees of warming, and heatwaves are becoming more frequent, longer and more severe. Ghanaian data links heat exposure to a significantly raised risk of stillbirth, and analysis of the national maternal health data found miscarriage risk rising by roughly 12 to 15 percent for each additional degree of wet-bulb globe temperature. In studies of Ghanaian smallholder farmers, well over half of workers report symptoms of heat illness.</w:t>
      </w:r>
    </w:p>
    <w:p>
      <w:pPr>
        <w:pStyle w:val="Heading3"/>
        <w:keepNext/>
        <w:spacing w:after="70" w:before="160"/>
      </w:pPr>
      <w:r>
        <w:rPr>
          <w:rFonts w:ascii="Calibri" w:cs="Calibri" w:eastAsia="Calibri" w:hAnsi="Calibri"/>
          <w:b/>
          <w:bCs/>
          <w:color w:val="1A1A1A"/>
          <w:sz w:val="22"/>
          <w:szCs w:val="22"/>
        </w:rPr>
        <w:t xml:space="preserve">Drought and food-system-driven illness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Undernutrition. </w:t>
      </w:r>
      <w:r>
        <w:rPr>
          <w:rFonts w:ascii="Calibri" w:cs="Calibri" w:eastAsia="Calibri" w:hAnsi="Calibri"/>
          <w:b w:val="false"/>
          <w:bCs w:val="false"/>
          <w:i w:val="false"/>
          <w:iCs w:val="false"/>
          <w:color w:val="1A1A1A"/>
          <w:sz w:val="22"/>
          <w:szCs w:val="22"/>
        </w:rPr>
        <w:t xml:space="preserve">Undernutrition is sharply climate-linked and regionally unequal. Seventeen percent of Ghanaian children under five are stunted nationally, rising to 29 to 30 percent in the Northern and North East regions, against 10 to 11 percent in Greater Accra, with some local northern studies finding stunting as high as 36 percent. Nearly half of children aged 6 to 59 months are anaemic.</w:t>
      </w:r>
    </w:p>
    <w:p>
      <w:pPr>
        <w:spacing w:after="130" w:line="276"/>
        <w:jc w:val="both"/>
      </w:pPr>
      <w:r>
        <w:rPr>
          <w:rFonts w:ascii="Calibri" w:cs="Calibri" w:eastAsia="Calibri" w:hAnsi="Calibri"/>
          <w:b w:val="false"/>
          <w:bCs w:val="false"/>
          <w:i w:val="false"/>
          <w:iCs w:val="false"/>
          <w:color w:val="1A1A1A"/>
          <w:sz w:val="22"/>
          <w:szCs w:val="22"/>
        </w:rPr>
        <w:t xml:space="preserve">Beneath these figures lie three structural problems that make the damage worse than it needs to be.</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The health system reacts too late. </w:t>
      </w:r>
      <w:r>
        <w:rPr>
          <w:rFonts w:ascii="Calibri" w:cs="Calibri" w:eastAsia="Calibri" w:hAnsi="Calibri"/>
          <w:b w:val="false"/>
          <w:bCs w:val="false"/>
          <w:i w:val="false"/>
          <w:iCs w:val="false"/>
          <w:color w:val="1A1A1A"/>
          <w:sz w:val="22"/>
          <w:szCs w:val="22"/>
        </w:rPr>
        <w:t xml:space="preserve">Most facilities respond only after cases have risen. During the cholera outbreak, many deaths occurred within 24 hours of admission because patients reached care too late. Meningitis can kill within hours of onset.</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Response is fragmented across agencies. </w:t>
      </w:r>
      <w:r>
        <w:rPr>
          <w:rFonts w:ascii="Calibri" w:cs="Calibri" w:eastAsia="Calibri" w:hAnsi="Calibri"/>
          <w:b w:val="false"/>
          <w:bCs w:val="false"/>
          <w:i w:val="false"/>
          <w:iCs w:val="false"/>
          <w:color w:val="1A1A1A"/>
          <w:sz w:val="22"/>
          <w:szCs w:val="22"/>
        </w:rPr>
        <w:t xml:space="preserve">Prevention involves the Ghana Health Service, the National Disaster Management Organisation, the Meteorological Agency, the Environmental Protection Agency, District Assemblies, sanitation services, schools and non-governmental organisations, yet no shared system connects them. Outbreaks grow in the gaps between institutions.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The public is left out. </w:t>
      </w:r>
      <w:r>
        <w:rPr>
          <w:rFonts w:ascii="Calibri" w:cs="Calibri" w:eastAsia="Calibri" w:hAnsi="Calibri"/>
          <w:b w:val="false"/>
          <w:bCs w:val="false"/>
          <w:i w:val="false"/>
          <w:iCs w:val="false"/>
          <w:color w:val="1A1A1A"/>
          <w:sz w:val="22"/>
          <w:szCs w:val="22"/>
        </w:rPr>
        <w:t xml:space="preserve">The people who see a blocked drain, a flood or a dust storm first have no engaging way to understand what it means for their health, and no reason to act beyond goodwill.</w:t>
      </w:r>
    </w:p>
    <w:p>
      <w:pPr>
        <w:spacing w:after="130" w:line="276"/>
        <w:jc w:val="both"/>
      </w:pPr>
      <w:r>
        <w:rPr>
          <w:rFonts w:ascii="Calibri" w:cs="Calibri" w:eastAsia="Calibri" w:hAnsi="Calibri"/>
          <w:b w:val="false"/>
          <w:bCs w:val="false"/>
          <w:i w:val="false"/>
          <w:iCs w:val="false"/>
          <w:color w:val="1A1A1A"/>
          <w:sz w:val="22"/>
          <w:szCs w:val="22"/>
        </w:rPr>
        <w:t xml:space="preserve">ClimaHealth Predict is designed to close all three of these gaps at once, across the full spectrum of climate-sensitive health risks.</w:t>
      </w:r>
    </w:p>
    <w:p>
      <w:pPr>
        <w:pStyle w:val="Heading1"/>
        <w:keepNext/>
        <w:spacing w:after="140" w:before="360"/>
      </w:pPr>
      <w:r>
        <w:rPr>
          <w:rFonts w:ascii="Georgia" w:cs="Georgia" w:eastAsia="Georgia" w:hAnsi="Georgia"/>
          <w:b/>
          <w:bCs/>
          <w:color w:val="1B5E44"/>
          <w:sz w:val="30"/>
          <w:szCs w:val="30"/>
        </w:rPr>
        <w:t xml:space="preserve">2. Our Solution</w:t>
      </w:r>
    </w:p>
    <w:p>
      <w:pPr>
        <w:spacing w:after="130" w:line="276"/>
        <w:jc w:val="both"/>
      </w:pPr>
      <w:r>
        <w:rPr>
          <w:rFonts w:ascii="Calibri" w:cs="Calibri" w:eastAsia="Calibri" w:hAnsi="Calibri"/>
          <w:b w:val="false"/>
          <w:bCs w:val="false"/>
          <w:i w:val="false"/>
          <w:iCs w:val="false"/>
          <w:color w:val="1A1A1A"/>
          <w:sz w:val="22"/>
          <w:szCs w:val="22"/>
        </w:rPr>
        <w:t xml:space="preserve">ClimaHealth Predict is a machine-learning platform that combines climate data, community reports, historical disease trends, air-quality information and health-resource data to predict health risk at the district level, and then coordinates every stakeholder around that prediction. Its defining principle is the inversion described earlier: the platform starts from a climate signal and asks what health consequences follow. This is what allows a single system to cover rain, flood, heat, dust, drought and pollution, rather than one disease at a time.</w:t>
      </w:r>
    </w:p>
    <w:p>
      <w:pPr>
        <w:pStyle w:val="Heading1"/>
        <w:keepNext/>
        <w:spacing w:after="140" w:before="360"/>
      </w:pPr>
      <w:r>
        <w:rPr>
          <w:rFonts w:ascii="Georgia" w:cs="Georgia" w:eastAsia="Georgia" w:hAnsi="Georgia"/>
          <w:b/>
          <w:bCs/>
          <w:color w:val="1B5E44"/>
          <w:sz w:val="30"/>
          <w:szCs w:val="30"/>
        </w:rPr>
        <w:t xml:space="preserve">3. The Climate-Health Intelligence Matrix</w:t>
      </w:r>
    </w:p>
    <w:p>
      <w:pPr>
        <w:spacing w:after="130" w:line="276"/>
        <w:jc w:val="both"/>
      </w:pPr>
      <w:r>
        <w:rPr>
          <w:rFonts w:ascii="Calibri" w:cs="Calibri" w:eastAsia="Calibri" w:hAnsi="Calibri"/>
          <w:b w:val="false"/>
          <w:bCs w:val="false"/>
          <w:i w:val="false"/>
          <w:iCs w:val="false"/>
          <w:color w:val="1A1A1A"/>
          <w:sz w:val="22"/>
          <w:szCs w:val="22"/>
        </w:rPr>
        <w:t xml:space="preserve">The analytical core of the platform is a structured map from every major climate driver in Ghana to the health conditions it produces, the population it affects most, the typical delay before cases appear, and the action that prevents them. The tables below summarise the principal pathways.</w:t>
      </w:r>
    </w:p>
    <w:p>
      <w:pPr>
        <w:pStyle w:val="Heading2"/>
        <w:keepNext/>
        <w:spacing w:after="90" w:before="240"/>
      </w:pPr>
      <w:r>
        <w:rPr>
          <w:rFonts w:ascii="Georgia" w:cs="Georgia" w:eastAsia="Georgia" w:hAnsi="Georgia"/>
          <w:b/>
          <w:bCs/>
          <w:color w:val="1A1A1A"/>
          <w:sz w:val="24"/>
          <w:szCs w:val="24"/>
        </w:rPr>
        <w:t xml:space="preserve">3.1 Heavy Rainfall, Flooding and Stagnant Water</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500"/>
        <w:gridCol w:w="3400"/>
        <w:gridCol w:w="1560"/>
        <w:gridCol w:w="1900"/>
      </w:tblGrid>
      <w:tr>
        <w:trPr>
          <w:tblHeader/>
        </w:trPr>
        <w:tc>
          <w:tcPr>
            <w:tcW w:type="dxa" w:w="25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Condition</w:t>
            </w:r>
          </w:p>
        </w:tc>
        <w:tc>
          <w:tcPr>
            <w:tcW w:type="dxa" w:w="34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Mechanism</w:t>
            </w:r>
          </w:p>
        </w:tc>
        <w:tc>
          <w:tcPr>
            <w:tcW w:type="dxa" w:w="15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Typical lag</w:t>
            </w:r>
          </w:p>
        </w:tc>
        <w:tc>
          <w:tcPr>
            <w:tcW w:type="dxa" w:w="1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Most at risk</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Malaria</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Standing water creates mosquito breeding sites; humidity extends mosquito lifespan</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2 to 6 weeks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Children under 5, pregnant women</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Cholera</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Floodwater contaminates wells and boreholes; sanitation systems overflow</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2 to 10 days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Coastal and dense peri-urban areas</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Typhoid fever</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Faecal contamination of drinking water</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1 to 3 weeks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Poor-sanitation districts</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Diarrhoeal disease</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Unsafe water and disrupted hygiene</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3 to 14 days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Children under 5</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Dengue and other arboviruses</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Mosquitoes breed in stored water and containers</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2 to 6 weeks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Urban populations</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Leptospirosis</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Skin contact with floodwater carrying rodent urine</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5 to 14 days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Flood-wading residents, waste workers</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Snakebite and injury</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Displaced snakes and submerged hazards</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Immediate</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Farmers, children, responders</w:t>
            </w:r>
          </w:p>
        </w:tc>
      </w:tr>
    </w:tbl>
    <w:p>
      <w:pPr>
        <w:pStyle w:val="Heading2"/>
        <w:keepNext/>
        <w:spacing w:after="90" w:before="240"/>
      </w:pPr>
      <w:r>
        <w:rPr>
          <w:rFonts w:ascii="Georgia" w:cs="Georgia" w:eastAsia="Georgia" w:hAnsi="Georgia"/>
          <w:b/>
          <w:bCs/>
          <w:color w:val="1A1A1A"/>
          <w:sz w:val="24"/>
          <w:szCs w:val="24"/>
        </w:rPr>
        <w:t xml:space="preserve">3.2 Extreme Heat and Heatwaves</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500"/>
        <w:gridCol w:w="3400"/>
        <w:gridCol w:w="1560"/>
        <w:gridCol w:w="1900"/>
      </w:tblGrid>
      <w:tr>
        <w:trPr>
          <w:tblHeader/>
        </w:trPr>
        <w:tc>
          <w:tcPr>
            <w:tcW w:type="dxa" w:w="25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Condition</w:t>
            </w:r>
          </w:p>
        </w:tc>
        <w:tc>
          <w:tcPr>
            <w:tcW w:type="dxa" w:w="34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Mechanism</w:t>
            </w:r>
          </w:p>
        </w:tc>
        <w:tc>
          <w:tcPr>
            <w:tcW w:type="dxa" w:w="15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Typical lag</w:t>
            </w:r>
          </w:p>
        </w:tc>
        <w:tc>
          <w:tcPr>
            <w:tcW w:type="dxa" w:w="1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Most at risk</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Heat exhaustion and heat stroke</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Core temperature exceeds the body’s regulation capacity</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Same day to 3 days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Outdoor workers, traders, elderly</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Miscarriage and stillbirth</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Maternal heat strain disrupts placental function</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Days to weeks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Pregnant women, especially outdoors</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Preterm and low-weight birth</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Physiological stress during pregnancy</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Weeks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Pregnant women</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Kidney injury</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Fluid loss during sustained exertion</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Days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Farmers, construction and informal workers</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Cardiovascular and stroke events</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Circulatory strain in heat</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1 to 5 days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Elderly, hypertensive patients</w:t>
            </w:r>
          </w:p>
        </w:tc>
      </w:tr>
    </w:tbl>
    <w:p>
      <w:pPr>
        <w:pStyle w:val="Heading2"/>
        <w:keepNext/>
        <w:spacing w:after="90" w:before="240"/>
      </w:pPr>
      <w:r>
        <w:rPr>
          <w:rFonts w:ascii="Georgia" w:cs="Georgia" w:eastAsia="Georgia" w:hAnsi="Georgia"/>
          <w:b/>
          <w:bCs/>
          <w:color w:val="1A1A1A"/>
          <w:sz w:val="24"/>
          <w:szCs w:val="24"/>
        </w:rPr>
        <w:t xml:space="preserve">3.3 Harmattan, Dust and Dry Season</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500"/>
        <w:gridCol w:w="3400"/>
        <w:gridCol w:w="1560"/>
        <w:gridCol w:w="1900"/>
      </w:tblGrid>
      <w:tr>
        <w:trPr>
          <w:tblHeader/>
        </w:trPr>
        <w:tc>
          <w:tcPr>
            <w:tcW w:type="dxa" w:w="25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Condition</w:t>
            </w:r>
          </w:p>
        </w:tc>
        <w:tc>
          <w:tcPr>
            <w:tcW w:type="dxa" w:w="34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Mechanism</w:t>
            </w:r>
          </w:p>
        </w:tc>
        <w:tc>
          <w:tcPr>
            <w:tcW w:type="dxa" w:w="15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Typical lag</w:t>
            </w:r>
          </w:p>
        </w:tc>
        <w:tc>
          <w:tcPr>
            <w:tcW w:type="dxa" w:w="1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Most at risk</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Meningitis</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Dust and low humidity damage the airway lining, allowing bacteria to invade</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1 to 4 weeks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Northern regions, ages 0 to 29</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Asthma exacerbation</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Fine dust triggers bronchial inflammation</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Hours to days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Asthmatic children and adults</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Chronic obstructive disease flare</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Particulate irritation of damaged airways</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Days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Adults over 40, biomass-fuel users</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Pneumonia and respiratory infection</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Impaired defences and indoor crowding</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1 to 2 weeks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Children under 5, elderly</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Measles</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Dry-season crowding and transmission dynamics</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Weeks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Under-vaccinated children</w:t>
            </w:r>
          </w:p>
        </w:tc>
      </w:tr>
    </w:tbl>
    <w:p>
      <w:pPr>
        <w:pStyle w:val="Heading2"/>
        <w:keepNext/>
        <w:spacing w:after="90" w:before="240"/>
      </w:pPr>
      <w:r>
        <w:rPr>
          <w:rFonts w:ascii="Georgia" w:cs="Georgia" w:eastAsia="Georgia" w:hAnsi="Georgia"/>
          <w:b/>
          <w:bCs/>
          <w:color w:val="1A1A1A"/>
          <w:sz w:val="24"/>
          <w:szCs w:val="24"/>
        </w:rPr>
        <w:t xml:space="preserve">3.4 Air Pollution from Traffic, Waste-Burning and Biomass</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500"/>
        <w:gridCol w:w="3400"/>
        <w:gridCol w:w="1560"/>
        <w:gridCol w:w="1900"/>
      </w:tblGrid>
      <w:tr>
        <w:trPr>
          <w:tblHeader/>
        </w:trPr>
        <w:tc>
          <w:tcPr>
            <w:tcW w:type="dxa" w:w="25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Condition</w:t>
            </w:r>
          </w:p>
        </w:tc>
        <w:tc>
          <w:tcPr>
            <w:tcW w:type="dxa" w:w="34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Mechanism</w:t>
            </w:r>
          </w:p>
        </w:tc>
        <w:tc>
          <w:tcPr>
            <w:tcW w:type="dxa" w:w="15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Typical lag</w:t>
            </w:r>
          </w:p>
        </w:tc>
        <w:tc>
          <w:tcPr>
            <w:tcW w:type="dxa" w:w="1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Most at risk</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Stroke</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Fine-particulate-driven vascular inflammation, the largest share of the burden</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Days to years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Adults over 50</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Ischaemic heart disease</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Chronic particulate exposure</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Years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Adults over 50</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Lower respiratory infection</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Particulate damage to lung defences</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Days to weeks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Children under 5</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Chronic obstructive disease and lung cancer</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Long-term exposure to particulates and household smoke</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Years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Biomass-cooking households, roadside traders</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Adverse neonatal outcomes</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Maternal exposure during pregnancy</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Months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Newborns</w:t>
            </w:r>
          </w:p>
        </w:tc>
      </w:tr>
    </w:tbl>
    <w:p>
      <w:pPr>
        <w:pStyle w:val="Heading2"/>
        <w:keepNext/>
        <w:spacing w:after="90" w:before="240"/>
      </w:pPr>
      <w:r>
        <w:rPr>
          <w:rFonts w:ascii="Georgia" w:cs="Georgia" w:eastAsia="Georgia" w:hAnsi="Georgia"/>
          <w:b/>
          <w:bCs/>
          <w:color w:val="1A1A1A"/>
          <w:sz w:val="24"/>
          <w:szCs w:val="24"/>
        </w:rPr>
        <w:t xml:space="preserve">3.5 Drought, Erratic Rainfall and Food-System Shocks</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500"/>
        <w:gridCol w:w="3400"/>
        <w:gridCol w:w="1560"/>
        <w:gridCol w:w="1900"/>
      </w:tblGrid>
      <w:tr>
        <w:trPr>
          <w:tblHeader/>
        </w:trPr>
        <w:tc>
          <w:tcPr>
            <w:tcW w:type="dxa" w:w="25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Condition</w:t>
            </w:r>
          </w:p>
        </w:tc>
        <w:tc>
          <w:tcPr>
            <w:tcW w:type="dxa" w:w="34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Mechanism</w:t>
            </w:r>
          </w:p>
        </w:tc>
        <w:tc>
          <w:tcPr>
            <w:tcW w:type="dxa" w:w="15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Typical lag</w:t>
            </w:r>
          </w:p>
        </w:tc>
        <w:tc>
          <w:tcPr>
            <w:tcW w:type="dxa" w:w="1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Most at risk</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Child stunting and wasting</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Crop failure and income loss reduce dietary diversity</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3 to 12 months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Under-fives in northern regions</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Anaemia</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Reduced iron-rich intake, compounded by malaria</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Months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Young children, pregnant women</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Diarrhoeal disease</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Water scarcity forces unsafe sources</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Weeks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Children, rural households</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Distress migration and its effects</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Displacement into unplanned settlements</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Months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Migrant and host communities</w:t>
            </w:r>
          </w:p>
        </w:tc>
      </w:tr>
    </w:tbl>
    <w:p>
      <w:pPr>
        <w:pStyle w:val="Heading2"/>
        <w:keepNext/>
        <w:spacing w:after="90" w:before="240"/>
      </w:pPr>
      <w:r>
        <w:rPr>
          <w:rFonts w:ascii="Georgia" w:cs="Georgia" w:eastAsia="Georgia" w:hAnsi="Georgia"/>
          <w:b/>
          <w:bCs/>
          <w:color w:val="1A1A1A"/>
          <w:sz w:val="24"/>
          <w:szCs w:val="24"/>
        </w:rPr>
        <w:t xml:space="preserve">3.6 Coastal Hazards, Tidal Flooding and Sea-Level Rise</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500"/>
        <w:gridCol w:w="3400"/>
        <w:gridCol w:w="1560"/>
        <w:gridCol w:w="1900"/>
      </w:tblGrid>
      <w:tr>
        <w:trPr>
          <w:tblHeader/>
        </w:trPr>
        <w:tc>
          <w:tcPr>
            <w:tcW w:type="dxa" w:w="25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Condition</w:t>
            </w:r>
          </w:p>
        </w:tc>
        <w:tc>
          <w:tcPr>
            <w:tcW w:type="dxa" w:w="34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Mechanism</w:t>
            </w:r>
          </w:p>
        </w:tc>
        <w:tc>
          <w:tcPr>
            <w:tcW w:type="dxa" w:w="15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Typical lag</w:t>
            </w:r>
          </w:p>
        </w:tc>
        <w:tc>
          <w:tcPr>
            <w:tcW w:type="dxa" w:w="1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Most at risk</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Cholera and waterborne disease</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Saltwater intrusion and destroyed sanitation</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Days to weeks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Ada East, Keta, Ningo-Prampram</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Water-scarcity illness</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Freshwater sources become salinized</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Weeks to months</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Coastal households</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Injury and displacement trauma</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Tidal surges and home destruction</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Immediate</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Fishing communities</w:t>
            </w:r>
          </w:p>
        </w:tc>
      </w:tr>
    </w:tbl>
    <w:p>
      <w:pPr>
        <w:pStyle w:val="Heading2"/>
        <w:keepNext/>
        <w:spacing w:after="90" w:before="240"/>
      </w:pPr>
      <w:r>
        <w:rPr>
          <w:rFonts w:ascii="Georgia" w:cs="Georgia" w:eastAsia="Georgia" w:hAnsi="Georgia"/>
          <w:b/>
          <w:bCs/>
          <w:color w:val="1A1A1A"/>
          <w:sz w:val="24"/>
          <w:szCs w:val="24"/>
        </w:rPr>
        <w:t xml:space="preserve">3.7 Bushfires and Slash-and-Burn Smoke</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500"/>
        <w:gridCol w:w="3400"/>
        <w:gridCol w:w="1560"/>
        <w:gridCol w:w="1900"/>
      </w:tblGrid>
      <w:tr>
        <w:trPr>
          <w:tblHeader/>
        </w:trPr>
        <w:tc>
          <w:tcPr>
            <w:tcW w:type="dxa" w:w="25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Condition</w:t>
            </w:r>
          </w:p>
        </w:tc>
        <w:tc>
          <w:tcPr>
            <w:tcW w:type="dxa" w:w="34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Mechanism</w:t>
            </w:r>
          </w:p>
        </w:tc>
        <w:tc>
          <w:tcPr>
            <w:tcW w:type="dxa" w:w="15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Typical lag</w:t>
            </w:r>
          </w:p>
        </w:tc>
        <w:tc>
          <w:tcPr>
            <w:tcW w:type="dxa" w:w="1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Most at risk</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Respiratory distress and asthma</w:t>
            </w:r>
          </w:p>
        </w:tc>
        <w:tc>
          <w:tcPr>
            <w:tcW w:type="dxa" w:w="3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Smoke plumes carrying fine particulates</w:t>
            </w:r>
          </w:p>
        </w:tc>
        <w:tc>
          <w:tcPr>
            <w:tcW w:type="dxa" w:w="1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Hours to days</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Farming communities, children</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Burns and trauma</w:t>
            </w:r>
          </w:p>
        </w:tc>
        <w:tc>
          <w:tcPr>
            <w:tcW w:type="dxa" w:w="3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Fire spreading to settlements</w:t>
            </w:r>
          </w:p>
        </w:tc>
        <w:tc>
          <w:tcPr>
            <w:tcW w:type="dxa" w:w="1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Immediate</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Rural households</w:t>
            </w:r>
          </w:p>
        </w:tc>
      </w:tr>
    </w:tbl>
    <w:p>
      <w:pPr>
        <w:spacing w:after="60"/>
      </w:pPr>
    </w:p>
    <w:p>
      <w:pPr>
        <w:spacing w:after="130" w:line="276"/>
        <w:jc w:val="both"/>
      </w:pPr>
      <w:r>
        <w:rPr>
          <w:rFonts w:ascii="Calibri" w:cs="Calibri" w:eastAsia="Calibri" w:hAnsi="Calibri"/>
          <w:b w:val="false"/>
          <w:bCs w:val="false"/>
          <w:i/>
          <w:iCs/>
          <w:color w:val="1A1A1A"/>
          <w:sz w:val="22"/>
          <w:szCs w:val="22"/>
        </w:rPr>
        <w:t xml:space="preserve">Each pathway carries its own mechanism, lag window and vulnerable group, so the system understands not only which condition may rise, but when it is likely to appear and who it will affect most.</w:t>
      </w:r>
    </w:p>
    <w:p>
      <w:r>
        <w:br w:type="page"/>
      </w:r>
    </w:p>
    <w:p>
      <w:pPr>
        <w:pStyle w:val="Heading1"/>
        <w:keepNext/>
        <w:spacing w:after="140" w:before="360"/>
      </w:pPr>
      <w:r>
        <w:rPr>
          <w:rFonts w:ascii="Georgia" w:cs="Georgia" w:eastAsia="Georgia" w:hAnsi="Georgia"/>
          <w:b/>
          <w:bCs/>
          <w:color w:val="1B5E44"/>
          <w:sz w:val="30"/>
          <w:szCs w:val="30"/>
        </w:rPr>
        <w:t xml:space="preserve">4. The Signal-to-Syndrome Engine</w:t>
      </w:r>
    </w:p>
    <w:p>
      <w:pPr>
        <w:spacing w:after="130" w:line="276"/>
        <w:jc w:val="both"/>
      </w:pPr>
      <w:r>
        <w:rPr>
          <w:rFonts w:ascii="Calibri" w:cs="Calibri" w:eastAsia="Calibri" w:hAnsi="Calibri"/>
          <w:b w:val="false"/>
          <w:bCs w:val="false"/>
          <w:i w:val="false"/>
          <w:iCs w:val="false"/>
          <w:color w:val="1A1A1A"/>
          <w:sz w:val="22"/>
          <w:szCs w:val="22"/>
        </w:rPr>
        <w:t xml:space="preserve">A fixed list of diseases would age poorly and would fail the moment an unfamiliar combination of conditions appeared. The platform therefore runs a Signal-to-Syndrome Engine, which takes any combination of climate signals in any district and returns a ranked set of health risks, each with a confidence level, a lag window and the group most affected. The engine works in four layers.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Signal ingestion. </w:t>
      </w:r>
      <w:r>
        <w:rPr>
          <w:rFonts w:ascii="Calibri" w:cs="Calibri" w:eastAsia="Calibri" w:hAnsi="Calibri"/>
          <w:b w:val="false"/>
          <w:bCs w:val="false"/>
          <w:i w:val="false"/>
          <w:iCs w:val="false"/>
          <w:color w:val="1A1A1A"/>
          <w:sz w:val="22"/>
          <w:szCs w:val="22"/>
        </w:rPr>
        <w:t xml:space="preserve">The engine draws in rainfall, temperature, humidity, wind, dust load, fine particulate levels, flood extent, vegetation and drought indices, water-body levels and verified community reports.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Pathway matching. </w:t>
      </w:r>
      <w:r>
        <w:rPr>
          <w:rFonts w:ascii="Calibri" w:cs="Calibri" w:eastAsia="Calibri" w:hAnsi="Calibri"/>
          <w:b w:val="false"/>
          <w:bCs w:val="false"/>
          <w:i w:val="false"/>
          <w:iCs w:val="false"/>
          <w:color w:val="1A1A1A"/>
          <w:sz w:val="22"/>
          <w:szCs w:val="22"/>
        </w:rPr>
        <w:t xml:space="preserve">Each signal is matched against the Climate-Health Intelligence Matrix, a structured knowledge base of climate-to-health pathways, each with its own mechanism, delay and vulnerable population. A single signal can activate many pathways at once.</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Contextual weighting. </w:t>
      </w:r>
      <w:r>
        <w:rPr>
          <w:rFonts w:ascii="Calibri" w:cs="Calibri" w:eastAsia="Calibri" w:hAnsi="Calibri"/>
          <w:b w:val="false"/>
          <w:bCs w:val="false"/>
          <w:i w:val="false"/>
          <w:iCs w:val="false"/>
          <w:color w:val="1A1A1A"/>
          <w:sz w:val="22"/>
          <w:szCs w:val="22"/>
        </w:rPr>
        <w:t xml:space="preserve">The same signal means different things in different places, so the engine weights each pathway according to local drainage and sanitation, housing density, immunization coverage, membership of the meningitis belt, coastal proximity, clinic capacity and historical case patterns.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Ranked output with explanation. </w:t>
      </w:r>
      <w:r>
        <w:rPr>
          <w:rFonts w:ascii="Calibri" w:cs="Calibri" w:eastAsia="Calibri" w:hAnsi="Calibri"/>
          <w:b w:val="false"/>
          <w:bCs w:val="false"/>
          <w:i w:val="false"/>
          <w:iCs w:val="false"/>
          <w:color w:val="1A1A1A"/>
          <w:sz w:val="22"/>
          <w:szCs w:val="22"/>
        </w:rPr>
        <w:t xml:space="preserve">The result is not a single number but an ordered health brief for the district, with the reasoning shown for each risk.</w:t>
      </w:r>
    </w:p>
    <w:p>
      <w:pPr>
        <w:pStyle w:val="Heading3"/>
        <w:keepNext/>
        <w:spacing w:after="70" w:before="160"/>
      </w:pPr>
      <w:r>
        <w:rPr>
          <w:rFonts w:ascii="Calibri" w:cs="Calibri" w:eastAsia="Calibri" w:hAnsi="Calibri"/>
          <w:b/>
          <w:bCs/>
          <w:color w:val="1A1A1A"/>
          <w:sz w:val="22"/>
          <w:szCs w:val="22"/>
        </w:rPr>
        <w:t xml:space="preserve">A worked example: one signal, many consequences</w:t>
      </w:r>
    </w:p>
    <w:p>
      <w:pPr>
        <w:pBdr>
          <w:top w:val="single" w:color="CFD8D3" w:sz="2"/>
          <w:left w:val="single" w:color="CFD8D3" w:sz="2"/>
          <w:bottom w:val="single" w:color="CFD8D3" w:sz="2"/>
          <w:right w:val="single" w:color="CFD8D3" w:sz="2"/>
        </w:pBdr>
        <w:shd w:fill="EEF3F1" w:color="auto" w:val="clear"/>
        <w:spacing w:after="160" w:before="120" w:line="280"/>
        <w:ind w:left="160" w:right="160"/>
      </w:pPr>
      <w:r>
        <w:rPr>
          <w:rFonts w:ascii="Calibri" w:cs="Calibri" w:eastAsia="Calibri" w:hAnsi="Calibri"/>
          <w:b/>
          <w:bCs/>
          <w:i w:val="false"/>
          <w:iCs w:val="false"/>
          <w:color w:val="1A1A1A"/>
          <w:sz w:val="22"/>
          <w:szCs w:val="22"/>
        </w:rPr>
        <w:t xml:space="preserve">Signal detected in Tamale Metropolitan district: </w:t>
      </w:r>
      <w:r>
        <w:rPr>
          <w:rFonts w:ascii="Calibri" w:cs="Calibri" w:eastAsia="Calibri" w:hAnsi="Calibri"/>
          <w:b w:val="false"/>
          <w:bCs w:val="false"/>
          <w:i w:val="false"/>
          <w:iCs w:val="false"/>
          <w:color w:val="1A1A1A"/>
          <w:sz w:val="22"/>
          <w:szCs w:val="22"/>
        </w:rPr>
        <w:t xml:space="preserve">Harmattan onset, high dust load, humidity at 18 percent, elevated night temperature, no rainfall for 21 days.</w:t>
      </w:r>
    </w:p>
    <w:p>
      <w:pPr>
        <w:spacing w:after="130" w:line="276"/>
        <w:jc w:val="both"/>
      </w:pPr>
      <w:r>
        <w:rPr>
          <w:rFonts w:ascii="Calibri" w:cs="Calibri" w:eastAsia="Calibri" w:hAnsi="Calibri"/>
          <w:b w:val="false"/>
          <w:bCs w:val="false"/>
          <w:i w:val="false"/>
          <w:iCs w:val="false"/>
          <w:color w:val="1A1A1A"/>
          <w:sz w:val="22"/>
          <w:szCs w:val="22"/>
        </w:rPr>
        <w:t xml:space="preserve">From this one signal set, the engine returns a ranked brief:</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Meningitis, high, 78 percent. </w:t>
      </w:r>
      <w:r>
        <w:rPr>
          <w:rFonts w:ascii="Calibri" w:cs="Calibri" w:eastAsia="Calibri" w:hAnsi="Calibri"/>
          <w:b w:val="false"/>
          <w:bCs w:val="false"/>
          <w:i w:val="false"/>
          <w:iCs w:val="false"/>
          <w:color w:val="1A1A1A"/>
          <w:sz w:val="22"/>
          <w:szCs w:val="22"/>
        </w:rPr>
        <w:t xml:space="preserve">The district is in the meningitis belt; dust and low humidity damage airway defences; onset is expected within one to four weeks. Most at risk: ages 0 to 29.</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Asthma and chronic obstructive disease flare, high, 74 percent. </w:t>
      </w:r>
      <w:r>
        <w:rPr>
          <w:rFonts w:ascii="Calibri" w:cs="Calibri" w:eastAsia="Calibri" w:hAnsi="Calibri"/>
          <w:b w:val="false"/>
          <w:bCs w:val="false"/>
          <w:i w:val="false"/>
          <w:iCs w:val="false"/>
          <w:color w:val="1A1A1A"/>
          <w:sz w:val="22"/>
          <w:szCs w:val="22"/>
        </w:rPr>
        <w:t xml:space="preserve">Dust is above threshold; effects begin within days.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Acute respiratory infection in under-fives, medium to high, 61 percent.</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Heat stress in outdoor workers, medium, 52 percent.</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Malaria, low, 18 percent and falling. </w:t>
      </w:r>
      <w:r>
        <w:rPr>
          <w:rFonts w:ascii="Calibri" w:cs="Calibri" w:eastAsia="Calibri" w:hAnsi="Calibri"/>
          <w:b w:val="false"/>
          <w:bCs w:val="false"/>
          <w:i w:val="false"/>
          <w:iCs w:val="false"/>
          <w:color w:val="1A1A1A"/>
          <w:sz w:val="22"/>
          <w:szCs w:val="22"/>
        </w:rPr>
        <w:t xml:space="preserve">Breeding sites are drying out.</w:t>
      </w:r>
    </w:p>
    <w:p>
      <w:pPr>
        <w:spacing w:after="130" w:line="276"/>
        <w:jc w:val="both"/>
      </w:pPr>
      <w:r>
        <w:rPr>
          <w:rFonts w:ascii="Calibri" w:cs="Calibri" w:eastAsia="Calibri" w:hAnsi="Calibri"/>
          <w:b w:val="false"/>
          <w:bCs w:val="false"/>
          <w:i w:val="false"/>
          <w:iCs w:val="false"/>
          <w:color w:val="1A1A1A"/>
          <w:sz w:val="22"/>
          <w:szCs w:val="22"/>
        </w:rPr>
        <w:t xml:space="preserve">One climate signal produces five ranked health consequences, routed to five different agencies as a single coordinated response. The final line matters as much as the first: in a setting of limited medicines and staff, a system that indicates where risk is receding is as valuable as one that indicates where it is rising.</w:t>
      </w:r>
    </w:p>
    <w:p>
      <w:pPr>
        <w:pStyle w:val="Heading1"/>
        <w:keepNext/>
        <w:spacing w:after="140" w:before="360"/>
      </w:pPr>
      <w:r>
        <w:rPr>
          <w:rFonts w:ascii="Georgia" w:cs="Georgia" w:eastAsia="Georgia" w:hAnsi="Georgia"/>
          <w:b/>
          <w:bCs/>
          <w:color w:val="1B5E44"/>
          <w:sz w:val="30"/>
          <w:szCs w:val="30"/>
        </w:rPr>
        <w:t xml:space="preserve">5. Phased Disease Coverage</w:t>
      </w:r>
    </w:p>
    <w:p>
      <w:pPr>
        <w:spacing w:after="130" w:line="276"/>
        <w:jc w:val="both"/>
      </w:pPr>
      <w:r>
        <w:rPr>
          <w:rFonts w:ascii="Calibri" w:cs="Calibri" w:eastAsia="Calibri" w:hAnsi="Calibri"/>
          <w:b w:val="false"/>
          <w:bCs w:val="false"/>
          <w:i w:val="false"/>
          <w:iCs w:val="false"/>
          <w:color w:val="1A1A1A"/>
          <w:sz w:val="22"/>
          <w:szCs w:val="22"/>
        </w:rPr>
        <w:t xml:space="preserve">The Matrix describes the full design; the rollout is staged honestly. Every tier connects to the same engine, so adding a condition means adding a pathway to the knowledge base rather than rebuilding the system.</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400"/>
        <w:gridCol w:w="4400"/>
        <w:gridCol w:w="2560"/>
      </w:tblGrid>
      <w:tr>
        <w:trPr>
          <w:tblHeader/>
        </w:trPr>
        <w:tc>
          <w:tcPr>
            <w:tcW w:type="dxa" w:w="24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Tier</w:t>
            </w:r>
          </w:p>
        </w:tc>
        <w:tc>
          <w:tcPr>
            <w:tcW w:type="dxa" w:w="44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Conditions</w:t>
            </w:r>
          </w:p>
        </w:tc>
        <w:tc>
          <w:tcPr>
            <w:tcW w:type="dxa" w:w="25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Rationale</w:t>
            </w:r>
          </w:p>
        </w:tc>
      </w:tr>
      <w:tr>
        <w:tc>
          <w:tcPr>
            <w:tcW w:type="dxa" w:w="24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Tier 1, built in the prototype</w:t>
            </w:r>
          </w:p>
        </w:tc>
        <w:tc>
          <w:tcPr>
            <w:tcW w:type="dxa" w:w="4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Malaria, cholera, diarrhoeal disease, meningitis, respiratory exacerbation, heat illness</w:t>
            </w:r>
          </w:p>
        </w:tc>
        <w:tc>
          <w:tcPr>
            <w:tcW w:type="dxa" w:w="2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Strongest evidence, clearest climate signal, highest burden</w:t>
            </w:r>
          </w:p>
        </w:tc>
      </w:tr>
      <w:tr>
        <w:tc>
          <w:tcPr>
            <w:tcW w:type="dxa" w:w="2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Tier 2, next release</w:t>
            </w:r>
          </w:p>
        </w:tc>
        <w:tc>
          <w:tcPr>
            <w:tcW w:type="dxa" w:w="4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Dengue and other arboviruses, typhoid, maternal heat outcomes, child malnutrition, air-pollution cardiorespiratory alerts</w:t>
            </w:r>
          </w:p>
        </w:tc>
        <w:tc>
          <w:tcPr>
            <w:tcW w:type="dxa" w:w="2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Data available; requires additional partner feeds</w:t>
            </w:r>
          </w:p>
        </w:tc>
      </w:tr>
      <w:tr>
        <w:tc>
          <w:tcPr>
            <w:tcW w:type="dxa" w:w="24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Tier 3, roadmap</w:t>
            </w:r>
          </w:p>
        </w:tc>
        <w:tc>
          <w:tcPr>
            <w:tcW w:type="dxa" w:w="4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Leptospirosis, schistosomiasis, hepatitis A, yellow fever, snakebite, bushfire injury, climate-related mental health</w:t>
            </w:r>
          </w:p>
        </w:tc>
        <w:tc>
          <w:tcPr>
            <w:tcW w:type="dxa" w:w="2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Longer lag times and sparser surveillance data</w:t>
            </w:r>
          </w:p>
        </w:tc>
      </w:tr>
    </w:tbl>
    <w:p>
      <w:pPr>
        <w:pStyle w:val="Heading1"/>
        <w:keepNext/>
        <w:spacing w:after="140" w:before="360"/>
      </w:pPr>
      <w:r>
        <w:rPr>
          <w:rFonts w:ascii="Georgia" w:cs="Georgia" w:eastAsia="Georgia" w:hAnsi="Georgia"/>
          <w:b/>
          <w:bCs/>
          <w:color w:val="1B5E44"/>
          <w:sz w:val="30"/>
          <w:szCs w:val="30"/>
        </w:rPr>
        <w:t xml:space="preserve">6. System Resilience and Data Strategy</w:t>
      </w:r>
    </w:p>
    <w:p>
      <w:pPr>
        <w:spacing w:after="130" w:line="276"/>
        <w:jc w:val="both"/>
      </w:pPr>
      <w:r>
        <w:rPr>
          <w:rFonts w:ascii="Calibri" w:cs="Calibri" w:eastAsia="Calibri" w:hAnsi="Calibri"/>
          <w:b w:val="false"/>
          <w:bCs w:val="false"/>
          <w:i w:val="false"/>
          <w:iCs w:val="false"/>
          <w:color w:val="1A1A1A"/>
          <w:sz w:val="22"/>
          <w:szCs w:val="22"/>
        </w:rPr>
        <w:t xml:space="preserve">An early-warning system that goes silent when a data feed drops, or that cannot operate until a perfect training dataset exists, is not an early-warning system. ClimaHealth Predict is therefore built as a three-tier engine that always produces an answer and always declares how much that answer can be trusted.</w:t>
      </w:r>
    </w:p>
    <w:p>
      <w:pPr>
        <w:pStyle w:val="Heading2"/>
        <w:keepNext/>
        <w:spacing w:after="90" w:before="240"/>
      </w:pPr>
      <w:r>
        <w:rPr>
          <w:rFonts w:ascii="Georgia" w:cs="Georgia" w:eastAsia="Georgia" w:hAnsi="Georgia"/>
          <w:b/>
          <w:bCs/>
          <w:color w:val="1A1A1A"/>
          <w:sz w:val="24"/>
          <w:szCs w:val="24"/>
        </w:rPr>
        <w:t xml:space="preserve">6.1 The Three Tiers</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300"/>
        <w:gridCol w:w="4400"/>
        <w:gridCol w:w="2660"/>
      </w:tblGrid>
      <w:tr>
        <w:trPr>
          <w:tblHeader/>
        </w:trPr>
        <w:tc>
          <w:tcPr>
            <w:tcW w:type="dxa" w:w="23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Tier</w:t>
            </w:r>
          </w:p>
        </w:tc>
        <w:tc>
          <w:tcPr>
            <w:tcW w:type="dxa" w:w="44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How risk is determined</w:t>
            </w:r>
          </w:p>
        </w:tc>
        <w:tc>
          <w:tcPr>
            <w:tcW w:type="dxa" w:w="26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When it runs</w:t>
            </w:r>
          </w:p>
        </w:tc>
      </w:tr>
      <w:tr>
        <w:tc>
          <w:tcPr>
            <w:tcW w:type="dxa" w:w="23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Tier A, learned model</w:t>
            </w:r>
          </w:p>
        </w:tc>
        <w:tc>
          <w:tcPr>
            <w:tcW w:type="dxa" w:w="4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Machine learning trained on historical climate signals against district-level case records</w:t>
            </w:r>
          </w:p>
        </w:tc>
        <w:tc>
          <w:tcPr>
            <w:tcW w:type="dxa" w:w="26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When surveillance data is available and the model passes validation</w:t>
            </w:r>
          </w:p>
        </w:tc>
      </w:tr>
      <w:tr>
        <w:tc>
          <w:tcPr>
            <w:tcW w:type="dxa" w:w="23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Tier B, threshold engine</w:t>
            </w:r>
          </w:p>
        </w:tc>
        <w:tc>
          <w:tcPr>
            <w:tcW w:type="dxa" w:w="4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Published epidemiological thresholds and lag windows applied to live signals</w:t>
            </w:r>
          </w:p>
        </w:tc>
        <w:tc>
          <w:tcPr>
            <w:tcW w:type="dxa" w:w="26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Default operating mode; runs continuously alongside Tier A</w:t>
            </w:r>
          </w:p>
        </w:tc>
      </w:tr>
      <w:tr>
        <w:tc>
          <w:tcPr>
            <w:tcW w:type="dxa" w:w="23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Tier C, baseline and external</w:t>
            </w:r>
          </w:p>
        </w:tc>
        <w:tc>
          <w:tcPr>
            <w:tcW w:type="dxa" w:w="4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Seasonal norms, historical patterns and external risk products for flood, drought, fire and air quality</w:t>
            </w:r>
          </w:p>
        </w:tc>
        <w:tc>
          <w:tcPr>
            <w:tcW w:type="dxa" w:w="26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When local signals or model outputs are unavailable</w:t>
            </w:r>
          </w:p>
        </w:tc>
      </w:tr>
    </w:tbl>
    <w:p>
      <w:pPr>
        <w:spacing w:after="130" w:line="276"/>
        <w:jc w:val="both"/>
      </w:pPr>
      <w:r>
        <w:rPr>
          <w:rFonts w:ascii="Calibri" w:cs="Calibri" w:eastAsia="Calibri" w:hAnsi="Calibri"/>
          <w:b w:val="false"/>
          <w:bCs w:val="false"/>
          <w:i w:val="false"/>
          <w:iCs w:val="false"/>
          <w:color w:val="1A1A1A"/>
          <w:sz w:val="22"/>
          <w:szCs w:val="22"/>
        </w:rPr>
        <w:t xml:space="preserve">Tier B deserves emphasis, because it is not a downgrade. The Climate-Health Intelligence Matrix is itself a rules engine: every pathway carries a mechanism, a trigger condition, a lag window and a vulnerable group. Formalising these into thresholds produces a working, defensible early-warning system on the first day, using only freely available climate data. It is also inherently transparent, because the explanation of any alert is simply the list of conditions that triggered it. Where the learned model improves accuracy, it does so on top of this transparent foundation, never in place of it.</w:t>
      </w:r>
    </w:p>
    <w:p>
      <w:pPr>
        <w:pStyle w:val="Heading2"/>
        <w:keepNext/>
        <w:spacing w:after="90" w:before="240"/>
      </w:pPr>
      <w:r>
        <w:rPr>
          <w:rFonts w:ascii="Georgia" w:cs="Georgia" w:eastAsia="Georgia" w:hAnsi="Georgia"/>
          <w:b/>
          <w:bCs/>
          <w:color w:val="1A1A1A"/>
          <w:sz w:val="24"/>
          <w:szCs w:val="24"/>
        </w:rPr>
        <w:t xml:space="preserve">6.2 Data Sources</w:t>
      </w:r>
    </w:p>
    <w:p>
      <w:pPr>
        <w:spacing w:after="130" w:line="276"/>
        <w:jc w:val="both"/>
      </w:pPr>
      <w:r>
        <w:rPr>
          <w:rFonts w:ascii="Calibri" w:cs="Calibri" w:eastAsia="Calibri" w:hAnsi="Calibri"/>
          <w:b w:val="false"/>
          <w:bCs w:val="false"/>
          <w:i w:val="false"/>
          <w:iCs w:val="false"/>
          <w:color w:val="1A1A1A"/>
          <w:sz w:val="22"/>
          <w:szCs w:val="22"/>
        </w:rPr>
        <w:t xml:space="preserve">Public, well-documented data feeds carry the platform where the platform’s own instrumentation does not reach: Open-Meteo and NASA POWER for weather, CHIRPS for rainfall, OpenAQ for air quality, NASA FIRMS for active fires, Copernicus and the Global Flood Awareness System for flooding, MODIS and FEWS NET for drought and food security, WorldPop for population, and the World Health Organization observatory for health indicators. The primary long-term integration is with DHIS2, the platform on which the Ghana Health Service’s routine surveillance already runs and which exposes a documented interface. Community reports from Dawuro Guardians are treated as a first-class data layer, since in thinly instrumented districts a verified citizen report is often the highest-resolution signal available.</w:t>
      </w:r>
    </w:p>
    <w:p>
      <w:pPr>
        <w:pStyle w:val="Heading2"/>
        <w:keepNext/>
        <w:spacing w:after="90" w:before="240"/>
      </w:pPr>
      <w:r>
        <w:rPr>
          <w:rFonts w:ascii="Georgia" w:cs="Georgia" w:eastAsia="Georgia" w:hAnsi="Georgia"/>
          <w:b/>
          <w:bCs/>
          <w:color w:val="1A1A1A"/>
          <w:sz w:val="24"/>
          <w:szCs w:val="24"/>
        </w:rPr>
        <w:t xml:space="preserve">6.3 Confidence, Stated Openly</w:t>
      </w:r>
    </w:p>
    <w:p>
      <w:pPr>
        <w:spacing w:after="130" w:line="276"/>
        <w:jc w:val="both"/>
      </w:pPr>
      <w:r>
        <w:rPr>
          <w:rFonts w:ascii="Calibri" w:cs="Calibri" w:eastAsia="Calibri" w:hAnsi="Calibri"/>
          <w:b w:val="false"/>
          <w:bCs w:val="false"/>
          <w:i w:val="false"/>
          <w:iCs w:val="false"/>
          <w:color w:val="1A1A1A"/>
          <w:sz w:val="22"/>
          <w:szCs w:val="22"/>
        </w:rPr>
        <w:t xml:space="preserve">Every risk output carries a visible mode and confidence indication: model mode when a trained model with complete signal coverage is used; threshold mode when the rule-based engine runs on complete live signals; and baseline mode, marked indicative only, when seasonal norms stand in for missing local signals. Agencies making dispatch decisions and citizens making household decisions both deserve to know how firm the ground beneath a warning is. A system that admits uncertainty is trusted, and used, for longer than one that projects false precision.</w:t>
      </w:r>
    </w:p>
    <w:p>
      <w:pPr>
        <w:pStyle w:val="Heading2"/>
        <w:keepNext/>
        <w:spacing w:after="90" w:before="240"/>
      </w:pPr>
      <w:r>
        <w:rPr>
          <w:rFonts w:ascii="Georgia" w:cs="Georgia" w:eastAsia="Georgia" w:hAnsi="Georgia"/>
          <w:b/>
          <w:bCs/>
          <w:color w:val="1A1A1A"/>
          <w:sz w:val="24"/>
          <w:szCs w:val="24"/>
        </w:rPr>
        <w:t xml:space="preserve">6.4 What We Are Building Now and What Comes Next</w:t>
      </w:r>
    </w:p>
    <w:p>
      <w:pPr>
        <w:spacing w:after="130" w:line="276"/>
        <w:jc w:val="both"/>
      </w:pPr>
      <w:r>
        <w:rPr>
          <w:rFonts w:ascii="Calibri" w:cs="Calibri" w:eastAsia="Calibri" w:hAnsi="Calibri"/>
          <w:b w:val="false"/>
          <w:bCs w:val="false"/>
          <w:i w:val="false"/>
          <w:iCs w:val="false"/>
          <w:color w:val="1A1A1A"/>
          <w:sz w:val="22"/>
          <w:szCs w:val="22"/>
        </w:rPr>
        <w:t xml:space="preserve">We are explicit with the organisers about this. District-level historical case data for Ghana is not openly available; it is held by the Ghana Health Service. The prototype therefore runs primarily on the Tier B threshold engine, derived from published epidemiology, with the Tier A machine-learning layer architected and demonstrated on available and synthetic data. The moment a data-sharing agreement is in place, the learned layer trains on real surveillance records and switches on, with no change to the architecture, the interface or the agency workflows. This is a deliberate engineering choice: the platform is deployable before it is perfect, degrades gracefully rather than failing, and improves as data access widens.</w:t>
      </w:r>
    </w:p>
    <w:p>
      <w:r>
        <w:br w:type="page"/>
      </w:r>
    </w:p>
    <w:p>
      <w:pPr>
        <w:pStyle w:val="Heading1"/>
        <w:keepNext/>
        <w:spacing w:after="140" w:before="360"/>
      </w:pPr>
      <w:r>
        <w:rPr>
          <w:rFonts w:ascii="Georgia" w:cs="Georgia" w:eastAsia="Georgia" w:hAnsi="Georgia"/>
          <w:b/>
          <w:bCs/>
          <w:color w:val="1B5E44"/>
          <w:sz w:val="30"/>
          <w:szCs w:val="30"/>
        </w:rPr>
        <w:t xml:space="preserve">7. How the Platform Works</w:t>
      </w:r>
    </w:p>
    <w:p>
      <w:pPr>
        <w:pStyle w:val="Heading2"/>
        <w:keepNext/>
        <w:spacing w:after="90" w:before="240"/>
      </w:pPr>
      <w:r>
        <w:rPr>
          <w:rFonts w:ascii="Georgia" w:cs="Georgia" w:eastAsia="Georgia" w:hAnsi="Georgia"/>
          <w:b/>
          <w:bCs/>
          <w:color w:val="1A1A1A"/>
          <w:sz w:val="24"/>
          <w:szCs w:val="24"/>
        </w:rPr>
        <w:t xml:space="preserve">7.1 Data Collection</w:t>
      </w:r>
    </w:p>
    <w:p>
      <w:pPr>
        <w:spacing w:after="130" w:line="276"/>
        <w:jc w:val="both"/>
      </w:pPr>
      <w:r>
        <w:rPr>
          <w:rFonts w:ascii="Calibri" w:cs="Calibri" w:eastAsia="Calibri" w:hAnsi="Calibri"/>
          <w:b w:val="false"/>
          <w:bCs w:val="false"/>
          <w:i w:val="false"/>
          <w:iCs w:val="false"/>
          <w:color w:val="1A1A1A"/>
          <w:sz w:val="22"/>
          <w:szCs w:val="22"/>
        </w:rPr>
        <w:t xml:space="preserve">The platform collects or simulates rainfall, temperature, humidity, wind and dust load, fine particulate levels, flood extent and drainage risk, vegetation and drought indices, historical disease surveillance, population density, immunization coverage, clinic stock and capacity, and verified community reports from Dawuro Guardians.</w:t>
      </w:r>
    </w:p>
    <w:p>
      <w:pPr>
        <w:pStyle w:val="Heading2"/>
        <w:keepNext/>
        <w:spacing w:after="90" w:before="240"/>
      </w:pPr>
      <w:r>
        <w:rPr>
          <w:rFonts w:ascii="Georgia" w:cs="Georgia" w:eastAsia="Georgia" w:hAnsi="Georgia"/>
          <w:b/>
          <w:bCs/>
          <w:color w:val="1A1A1A"/>
          <w:sz w:val="24"/>
          <w:szCs w:val="24"/>
        </w:rPr>
        <w:t xml:space="preserve">7.2 Predictive Risk Engine</w:t>
      </w:r>
    </w:p>
    <w:p>
      <w:pPr>
        <w:spacing w:after="130" w:line="276"/>
        <w:jc w:val="both"/>
      </w:pPr>
      <w:r>
        <w:rPr>
          <w:rFonts w:ascii="Calibri" w:cs="Calibri" w:eastAsia="Calibri" w:hAnsi="Calibri"/>
          <w:b w:val="false"/>
          <w:bCs w:val="false"/>
          <w:i w:val="false"/>
          <w:iCs w:val="false"/>
          <w:color w:val="1A1A1A"/>
          <w:sz w:val="22"/>
          <w:szCs w:val="22"/>
        </w:rPr>
        <w:t xml:space="preserve">The model generates district-level risk scores for each condition. The examples below are illustrative, and Ada East and Wa Municipal are included deliberately, being the sites of the actual 2024 cholera and 2025 meningitis outbreaks.</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1700"/>
        <w:gridCol w:w="2400"/>
        <w:gridCol w:w="1200"/>
        <w:gridCol w:w="1900"/>
        <w:gridCol w:w="2160"/>
      </w:tblGrid>
      <w:tr>
        <w:trPr>
          <w:tblHeader/>
        </w:trPr>
        <w:tc>
          <w:tcPr>
            <w:tcW w:type="dxa" w:w="17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District</w:t>
            </w:r>
          </w:p>
        </w:tc>
        <w:tc>
          <w:tcPr>
            <w:tcW w:type="dxa" w:w="24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Leading risk</w:t>
            </w:r>
          </w:p>
        </w:tc>
        <w:tc>
          <w:tcPr>
            <w:tcW w:type="dxa" w:w="12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Level</w:t>
            </w:r>
          </w:p>
        </w:tc>
        <w:tc>
          <w:tcPr>
            <w:tcW w:type="dxa" w:w="1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Window</w:t>
            </w:r>
          </w:p>
        </w:tc>
        <w:tc>
          <w:tcPr>
            <w:tcW w:type="dxa" w:w="21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Driver</w:t>
            </w:r>
          </w:p>
        </w:tc>
      </w:tr>
      <w:tr>
        <w:tc>
          <w:tcPr>
            <w:tcW w:type="dxa" w:w="17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Madina</w:t>
            </w:r>
          </w:p>
        </w:tc>
        <w:tc>
          <w:tcPr>
            <w:tcW w:type="dxa" w:w="2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Malaria</w:t>
            </w:r>
          </w:p>
        </w:tc>
        <w:tc>
          <w:tcPr>
            <w:tcW w:type="dxa" w:w="12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High</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Next 7 to 10 days</w:t>
            </w:r>
          </w:p>
        </w:tc>
        <w:tc>
          <w:tcPr>
            <w:tcW w:type="dxa" w:w="21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Rainfall and stagnant water</w:t>
            </w:r>
          </w:p>
        </w:tc>
      </w:tr>
      <w:tr>
        <w:tc>
          <w:tcPr>
            <w:tcW w:type="dxa" w:w="17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Ada East</w:t>
            </w:r>
          </w:p>
        </w:tc>
        <w:tc>
          <w:tcPr>
            <w:tcW w:type="dxa" w:w="2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Cholera</w:t>
            </w:r>
          </w:p>
        </w:tc>
        <w:tc>
          <w:tcPr>
            <w:tcW w:type="dxa" w:w="12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High</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Next 5 to 7 days</w:t>
            </w:r>
          </w:p>
        </w:tc>
        <w:tc>
          <w:tcPr>
            <w:tcW w:type="dxa" w:w="21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Coastal flooding and sanitation</w:t>
            </w:r>
          </w:p>
        </w:tc>
      </w:tr>
      <w:tr>
        <w:tc>
          <w:tcPr>
            <w:tcW w:type="dxa" w:w="17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Tamale Metro</w:t>
            </w:r>
          </w:p>
        </w:tc>
        <w:tc>
          <w:tcPr>
            <w:tcW w:type="dxa" w:w="2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Meningitis</w:t>
            </w:r>
          </w:p>
        </w:tc>
        <w:tc>
          <w:tcPr>
            <w:tcW w:type="dxa" w:w="12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High</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Next 2 to 4 weeks</w:t>
            </w:r>
          </w:p>
        </w:tc>
        <w:tc>
          <w:tcPr>
            <w:tcW w:type="dxa" w:w="21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Harmattan dust and low humidity</w:t>
            </w:r>
          </w:p>
        </w:tc>
      </w:tr>
      <w:tr>
        <w:tc>
          <w:tcPr>
            <w:tcW w:type="dxa" w:w="17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Wa Municipal</w:t>
            </w:r>
          </w:p>
        </w:tc>
        <w:tc>
          <w:tcPr>
            <w:tcW w:type="dxa" w:w="2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Meningitis</w:t>
            </w:r>
          </w:p>
        </w:tc>
        <w:tc>
          <w:tcPr>
            <w:tcW w:type="dxa" w:w="12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High</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Next 2 to 4 weeks</w:t>
            </w:r>
          </w:p>
        </w:tc>
        <w:tc>
          <w:tcPr>
            <w:tcW w:type="dxa" w:w="21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Dry season and belt pattern</w:t>
            </w:r>
          </w:p>
        </w:tc>
      </w:tr>
      <w:tr>
        <w:tc>
          <w:tcPr>
            <w:tcW w:type="dxa" w:w="17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Accra Central</w:t>
            </w:r>
          </w:p>
        </w:tc>
        <w:tc>
          <w:tcPr>
            <w:tcW w:type="dxa" w:w="24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Respiratory</w:t>
            </w:r>
          </w:p>
        </w:tc>
        <w:tc>
          <w:tcPr>
            <w:tcW w:type="dxa" w:w="12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Medium</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Next 3 days</w:t>
            </w:r>
          </w:p>
        </w:tc>
        <w:tc>
          <w:tcPr>
            <w:tcW w:type="dxa" w:w="21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Traffic and waste burning</w:t>
            </w:r>
          </w:p>
        </w:tc>
      </w:tr>
      <w:tr>
        <w:tc>
          <w:tcPr>
            <w:tcW w:type="dxa" w:w="17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Bawku</w:t>
            </w:r>
          </w:p>
        </w:tc>
        <w:tc>
          <w:tcPr>
            <w:tcW w:type="dxa" w:w="24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Child undernutrition</w:t>
            </w:r>
          </w:p>
        </w:tc>
        <w:tc>
          <w:tcPr>
            <w:tcW w:type="dxa" w:w="12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Medium</w:t>
            </w:r>
          </w:p>
        </w:tc>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Next 3 to 6 months</w:t>
            </w:r>
          </w:p>
        </w:tc>
        <w:tc>
          <w:tcPr>
            <w:tcW w:type="dxa" w:w="21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Rainfall deficit and harvest shortfall</w:t>
            </w:r>
          </w:p>
        </w:tc>
      </w:tr>
    </w:tbl>
    <w:p>
      <w:pPr>
        <w:pStyle w:val="Heading2"/>
        <w:keepNext/>
        <w:spacing w:after="90" w:before="240"/>
      </w:pPr>
      <w:r>
        <w:rPr>
          <w:rFonts w:ascii="Georgia" w:cs="Georgia" w:eastAsia="Georgia" w:hAnsi="Georgia"/>
          <w:b/>
          <w:bCs/>
          <w:color w:val="1A1A1A"/>
          <w:sz w:val="24"/>
          <w:szCs w:val="24"/>
        </w:rPr>
        <w:t xml:space="preserve">7.3 Explainable Alerts</w:t>
      </w:r>
    </w:p>
    <w:p>
      <w:pPr>
        <w:spacing w:after="130" w:line="276"/>
        <w:jc w:val="both"/>
      </w:pPr>
      <w:r>
        <w:rPr>
          <w:rFonts w:ascii="Calibri" w:cs="Calibri" w:eastAsia="Calibri" w:hAnsi="Calibri"/>
          <w:b w:val="false"/>
          <w:bCs w:val="false"/>
          <w:i w:val="false"/>
          <w:iCs w:val="false"/>
          <w:color w:val="1A1A1A"/>
          <w:sz w:val="22"/>
          <w:szCs w:val="22"/>
        </w:rPr>
        <w:t xml:space="preserve">Every alert explains why it was generated, which pathway it followed and how confident the system is. A high meningitis alert for Wa Municipal, for example, would show a risk score of 78 percent, an expected onset of two to four weeks, and the reasons behind it: dust load above threshold for nine consecutive days, relative humidity below 20 percent, membership of the meningitis belt, a historical case peak in this window, a regional case fatality rate above 20 percent in the previous season, and limited local antibiotic stock.</w:t>
      </w:r>
    </w:p>
    <w:p>
      <w:pPr>
        <w:pStyle w:val="Heading2"/>
        <w:keepNext/>
        <w:spacing w:after="90" w:before="240"/>
      </w:pPr>
      <w:r>
        <w:rPr>
          <w:rFonts w:ascii="Georgia" w:cs="Georgia" w:eastAsia="Georgia" w:hAnsi="Georgia"/>
          <w:b/>
          <w:bCs/>
          <w:color w:val="1A1A1A"/>
          <w:sz w:val="24"/>
          <w:szCs w:val="24"/>
        </w:rPr>
        <w:t xml:space="preserve">7.4 Action Recommendation Engine</w:t>
      </w:r>
    </w:p>
    <w:p>
      <w:pPr>
        <w:spacing w:after="130" w:line="276"/>
        <w:jc w:val="both"/>
      </w:pPr>
      <w:r>
        <w:rPr>
          <w:rFonts w:ascii="Calibri" w:cs="Calibri" w:eastAsia="Calibri" w:hAnsi="Calibri"/>
          <w:b w:val="false"/>
          <w:bCs w:val="false"/>
          <w:i w:val="false"/>
          <w:iCs w:val="false"/>
          <w:color w:val="1A1A1A"/>
          <w:sz w:val="22"/>
          <w:szCs w:val="22"/>
        </w:rPr>
        <w:t xml:space="preserve">The system does not stop at prediction. It recommends specific actions and routes each to the responsible agency.</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1900"/>
        <w:gridCol w:w="4560"/>
        <w:gridCol w:w="2900"/>
      </w:tblGrid>
      <w:tr>
        <w:trPr>
          <w:tblHeader/>
        </w:trPr>
        <w:tc>
          <w:tcPr>
            <w:tcW w:type="dxa" w:w="1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Risk</w:t>
            </w:r>
          </w:p>
        </w:tc>
        <w:tc>
          <w:tcPr>
            <w:tcW w:type="dxa" w:w="45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Recommended action</w:t>
            </w:r>
          </w:p>
        </w:tc>
        <w:tc>
          <w:tcPr>
            <w:tcW w:type="dxa" w:w="2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Lead agency</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High malaria</w:t>
            </w:r>
          </w:p>
        </w:tc>
        <w:tc>
          <w:tcPr>
            <w:tcW w:type="dxa" w:w="4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Nets, test kits, antimalarials, larval-source management</w:t>
            </w:r>
          </w:p>
        </w:tc>
        <w:tc>
          <w:tcPr>
            <w:tcW w:type="dxa" w:w="2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Health Service and District Assembly</w:t>
            </w:r>
          </w:p>
        </w:tc>
      </w:tr>
      <w:tr>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High cholera</w:t>
            </w:r>
          </w:p>
        </w:tc>
        <w:tc>
          <w:tcPr>
            <w:tcW w:type="dxa" w:w="4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Chlorine tablets, water testing, rehydration salts, sanitation teams</w:t>
            </w:r>
          </w:p>
        </w:tc>
        <w:tc>
          <w:tcPr>
            <w:tcW w:type="dxa" w:w="2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Health Service, Water and Sanitation, District Assembly</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High meningitis</w:t>
            </w:r>
          </w:p>
        </w:tc>
        <w:tc>
          <w:tcPr>
            <w:tcW w:type="dxa" w:w="4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Pre-position antibiotics and lumbar-puncture kits, brief clinicians, review vaccination, suppress dust</w:t>
            </w:r>
          </w:p>
        </w:tc>
        <w:tc>
          <w:tcPr>
            <w:tcW w:type="dxa" w:w="2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Health Service and Environmental agencies</w:t>
            </w:r>
          </w:p>
        </w:tc>
      </w:tr>
      <w:tr>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High respiratory or dust</w:t>
            </w:r>
          </w:p>
        </w:tc>
        <w:tc>
          <w:tcPr>
            <w:tcW w:type="dxa" w:w="4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Inhaler stock, masks, school advisories, air-quality alerts</w:t>
            </w:r>
          </w:p>
        </w:tc>
        <w:tc>
          <w:tcPr>
            <w:tcW w:type="dxa" w:w="2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Health Service, Education, Environmental Protection</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High heat</w:t>
            </w:r>
          </w:p>
        </w:tc>
        <w:tc>
          <w:tcPr>
            <w:tcW w:type="dxa" w:w="45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Hydration alerts, cooling points, work-rest guidance, outreach to pregnant women</w:t>
            </w:r>
          </w:p>
        </w:tc>
        <w:tc>
          <w:tcPr>
            <w:tcW w:type="dxa" w:w="2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Health Service, Disaster Management, employers</w:t>
            </w:r>
          </w:p>
        </w:tc>
      </w:tr>
      <w:tr>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High undernutrition</w:t>
            </w:r>
          </w:p>
        </w:tc>
        <w:tc>
          <w:tcPr>
            <w:tcW w:type="dxa" w:w="45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Pre-position supplementary feeding, surge growth monitoring, coordinate food security</w:t>
            </w:r>
          </w:p>
        </w:tc>
        <w:tc>
          <w:tcPr>
            <w:tcW w:type="dxa" w:w="2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Health Service, Agriculture, partners</w:t>
            </w:r>
          </w:p>
        </w:tc>
      </w:tr>
    </w:tbl>
    <w:p>
      <w:pPr>
        <w:pStyle w:val="Heading1"/>
        <w:keepNext/>
        <w:spacing w:after="140" w:before="360"/>
      </w:pPr>
      <w:r>
        <w:rPr>
          <w:rFonts w:ascii="Georgia" w:cs="Georgia" w:eastAsia="Georgia" w:hAnsi="Georgia"/>
          <w:b/>
          <w:bCs/>
          <w:color w:val="1B5E44"/>
          <w:sz w:val="30"/>
          <w:szCs w:val="30"/>
        </w:rPr>
        <w:t xml:space="preserve">8. The Agency Command Platform</w:t>
      </w:r>
    </w:p>
    <w:p>
      <w:pPr>
        <w:spacing w:after="130" w:line="276"/>
        <w:jc w:val="both"/>
      </w:pPr>
      <w:r>
        <w:rPr>
          <w:rFonts w:ascii="Calibri" w:cs="Calibri" w:eastAsia="Calibri" w:hAnsi="Calibri"/>
          <w:b w:val="false"/>
          <w:bCs w:val="false"/>
          <w:i w:val="false"/>
          <w:iCs w:val="false"/>
          <w:color w:val="1A1A1A"/>
          <w:sz w:val="22"/>
          <w:szCs w:val="22"/>
        </w:rPr>
        <w:t xml:space="preserve">Preventing outbreaks is not the responsibility of the Ministry of Health alone. Water, sanitation, waste, air quality, education, agriculture and disaster management all sit outside the direct control of the health service, yet each drives climate-health risk. The Agency Command Platform gives every stakeholder a role-based view of the same shared risk picture.</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3600"/>
        <w:gridCol w:w="5760"/>
      </w:tblGrid>
      <w:tr>
        <w:trPr>
          <w:tblHeader/>
        </w:trPr>
        <w:tc>
          <w:tcPr>
            <w:tcW w:type="dxa" w:w="36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Agency</w:t>
            </w:r>
          </w:p>
        </w:tc>
        <w:tc>
          <w:tcPr>
            <w:tcW w:type="dxa" w:w="57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What they see and do</w:t>
            </w:r>
          </w:p>
        </w:tc>
      </w:tr>
      <w:tr>
        <w:tc>
          <w:tcPr>
            <w:tcW w:type="dxa" w:w="36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Ghana Health Service and Ministry of Health</w:t>
            </w:r>
          </w:p>
        </w:tc>
        <w:tc>
          <w:tcPr>
            <w:tcW w:type="dxa" w:w="57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Clinic stock, case forecasts, clinician alerts and the supply dispatch queue</w:t>
            </w:r>
          </w:p>
        </w:tc>
      </w:tr>
      <w:tr>
        <w:tc>
          <w:tcPr>
            <w:tcW w:type="dxa" w:w="36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National Disaster Management Organisation</w:t>
            </w:r>
          </w:p>
        </w:tc>
        <w:tc>
          <w:tcPr>
            <w:tcW w:type="dxa" w:w="57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Flood and heat emergency risk, evacuation planning and relief deployment</w:t>
            </w:r>
          </w:p>
        </w:tc>
      </w:tr>
      <w:tr>
        <w:tc>
          <w:tcPr>
            <w:tcW w:type="dxa" w:w="36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Ghana Meteorological Agency</w:t>
            </w:r>
          </w:p>
        </w:tc>
        <w:tc>
          <w:tcPr>
            <w:tcW w:type="dxa" w:w="57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 feedback view of how their forecasts translated into health outcomes and actions</w:t>
            </w:r>
          </w:p>
        </w:tc>
      </w:tr>
      <w:tr>
        <w:tc>
          <w:tcPr>
            <w:tcW w:type="dxa" w:w="36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Environmental Protection Agency</w:t>
            </w:r>
          </w:p>
        </w:tc>
        <w:tc>
          <w:tcPr>
            <w:tcW w:type="dxa" w:w="57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Air quality, dust, waste-burning and bushfire hotspots, and public advisories</w:t>
            </w:r>
          </w:p>
        </w:tc>
      </w:tr>
      <w:tr>
        <w:tc>
          <w:tcPr>
            <w:tcW w:type="dxa" w:w="36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District Assemblies</w:t>
            </w:r>
          </w:p>
        </w:tc>
        <w:tc>
          <w:tcPr>
            <w:tcW w:type="dxa" w:w="57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Drainage, waste, water points and container-clearing operations</w:t>
            </w:r>
          </w:p>
        </w:tc>
      </w:tr>
      <w:tr>
        <w:tc>
          <w:tcPr>
            <w:tcW w:type="dxa" w:w="36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Ghana Education Service</w:t>
            </w:r>
          </w:p>
        </w:tc>
        <w:tc>
          <w:tcPr>
            <w:tcW w:type="dxa" w:w="57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School-level heat, dust and air advisories, and the Dawuro school programme</w:t>
            </w:r>
          </w:p>
        </w:tc>
      </w:tr>
      <w:tr>
        <w:tc>
          <w:tcPr>
            <w:tcW w:type="dxa" w:w="36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Ministry of Food and Agriculture</w:t>
            </w:r>
          </w:p>
        </w:tc>
        <w:tc>
          <w:tcPr>
            <w:tcW w:type="dxa" w:w="57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Drought and harvest-failure signals feeding nutrition risk</w:t>
            </w:r>
          </w:p>
        </w:tc>
      </w:tr>
      <w:tr>
        <w:tc>
          <w:tcPr>
            <w:tcW w:type="dxa" w:w="36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National Health Insurance Authority</w:t>
            </w:r>
          </w:p>
        </w:tc>
        <w:tc>
          <w:tcPr>
            <w:tcW w:type="dxa" w:w="57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The Guardian enrolment and renewal pipeline described in Section 12</w:t>
            </w:r>
          </w:p>
        </w:tc>
      </w:tr>
      <w:tr>
        <w:tc>
          <w:tcPr>
            <w:tcW w:type="dxa" w:w="36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Non-governmental organisations and the Red Cross</w:t>
            </w:r>
          </w:p>
        </w:tc>
        <w:tc>
          <w:tcPr>
            <w:tcW w:type="dxa" w:w="57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Volunteer coordination, outreach and prevention campaigns</w:t>
            </w:r>
          </w:p>
        </w:tc>
      </w:tr>
    </w:tbl>
    <w:p>
      <w:pPr>
        <w:pStyle w:val="Heading3"/>
        <w:keepNext/>
        <w:spacing w:after="70" w:before="160"/>
      </w:pPr>
      <w:r>
        <w:rPr>
          <w:rFonts w:ascii="Calibri" w:cs="Calibri" w:eastAsia="Calibri" w:hAnsi="Calibri"/>
          <w:b/>
          <w:bCs/>
          <w:color w:val="1A1A1A"/>
          <w:sz w:val="22"/>
          <w:szCs w:val="22"/>
        </w:rPr>
        <w:t xml:space="preserve">The Incident Room</w:t>
      </w:r>
    </w:p>
    <w:p>
      <w:pPr>
        <w:spacing w:after="130" w:line="276"/>
        <w:jc w:val="both"/>
      </w:pPr>
      <w:r>
        <w:rPr>
          <w:rFonts w:ascii="Calibri" w:cs="Calibri" w:eastAsia="Calibri" w:hAnsi="Calibri"/>
          <w:b w:val="false"/>
          <w:bCs w:val="false"/>
          <w:i w:val="false"/>
          <w:iCs w:val="false"/>
          <w:color w:val="1A1A1A"/>
          <w:sz w:val="22"/>
          <w:szCs w:val="22"/>
        </w:rPr>
        <w:t xml:space="preserve">When a district enters a high-risk state, a shared Incident Room opens for that alert. Every agency’s assigned action appears on one accountability timeline, visible to all, with each action shown as complete or outstanding. For a meningitis alert in Wa Municipal, the timeline might show the Health Service having pre-positioned antibiotics and briefed 22 facilities, the District Assembly’s dust suppression on four routes still pending after 36 hours, the Education Service advisory issued, and volunteer danger-sign education in progress. This turns invisible coordination gaps into visible, trackable responsibility, so that no single actor can quietly become the bottleneck while there is still time to correct the delay.</w:t>
      </w:r>
    </w:p>
    <w:p>
      <w:pPr>
        <w:pStyle w:val="Heading1"/>
        <w:keepNext/>
        <w:spacing w:after="140" w:before="360"/>
      </w:pPr>
      <w:r>
        <w:rPr>
          <w:rFonts w:ascii="Georgia" w:cs="Georgia" w:eastAsia="Georgia" w:hAnsi="Georgia"/>
          <w:b/>
          <w:bCs/>
          <w:color w:val="1B5E44"/>
          <w:sz w:val="30"/>
          <w:szCs w:val="30"/>
        </w:rPr>
        <w:t xml:space="preserve">9. Dawuro: The Public Health Forecast</w:t>
      </w:r>
    </w:p>
    <w:p>
      <w:pPr>
        <w:spacing w:after="130" w:line="276"/>
        <w:jc w:val="both"/>
      </w:pPr>
      <w:r>
        <w:rPr>
          <w:rFonts w:ascii="Calibri" w:cs="Calibri" w:eastAsia="Calibri" w:hAnsi="Calibri"/>
          <w:b w:val="false"/>
          <w:bCs w:val="false"/>
          <w:i w:val="false"/>
          <w:iCs w:val="false"/>
          <w:color w:val="1A1A1A"/>
          <w:sz w:val="22"/>
          <w:szCs w:val="22"/>
        </w:rPr>
        <w:t xml:space="preserve">The public does not need a government dashboard; it needs something as simple and habitual as checking the weather. Dawuro delivers a daily, personal, district-level health forecast through the mobile application, text message, WhatsApp, and menu-based codes on basic phones. A forecast for Wa in the dry season would show meningitis risk high and breathing risk high for asthma and chest patients, explain that the air has been dry and dusty for nine days, and then give the action that matters most: cover the nose in dust, keep rooms ventilated, and go to a clinic immediately for a stiff neck, a severe headache with fever, or sensitivity to light.</w:t>
      </w:r>
    </w:p>
    <w:p>
      <w:pPr>
        <w:spacing w:after="130" w:line="276"/>
        <w:jc w:val="both"/>
      </w:pPr>
      <w:r>
        <w:rPr>
          <w:rFonts w:ascii="Calibri" w:cs="Calibri" w:eastAsia="Calibri" w:hAnsi="Calibri"/>
          <w:b w:val="false"/>
          <w:bCs w:val="false"/>
          <w:i w:val="false"/>
          <w:iCs w:val="false"/>
          <w:color w:val="1A1A1A"/>
          <w:sz w:val="22"/>
          <w:szCs w:val="22"/>
        </w:rPr>
        <w:t xml:space="preserve">People already check the weather every day. Dawuro gives Ghana a health-weather habit: one glance, one action, every day. Given how many cholera and meningitis deaths follow late presentation, a daily message that tells people what to do and when to seek care is itself a life-saving intervention.</w:t>
      </w:r>
    </w:p>
    <w:p>
      <w:pPr>
        <w:pStyle w:val="Heading1"/>
        <w:keepNext/>
        <w:spacing w:after="140" w:before="360"/>
      </w:pPr>
      <w:r>
        <w:rPr>
          <w:rFonts w:ascii="Georgia" w:cs="Georgia" w:eastAsia="Georgia" w:hAnsi="Georgia"/>
          <w:b/>
          <w:bCs/>
          <w:color w:val="1B5E44"/>
          <w:sz w:val="30"/>
          <w:szCs w:val="30"/>
        </w:rPr>
        <w:t xml:space="preserve">10. Community Watch: Citizens as Sensors</w:t>
      </w:r>
    </w:p>
    <w:p>
      <w:pPr>
        <w:spacing w:after="130" w:line="276"/>
        <w:jc w:val="both"/>
      </w:pPr>
      <w:r>
        <w:rPr>
          <w:rFonts w:ascii="Calibri" w:cs="Calibri" w:eastAsia="Calibri" w:hAnsi="Calibri"/>
          <w:b w:val="false"/>
          <w:bCs w:val="false"/>
          <w:i w:val="false"/>
          <w:iCs w:val="false"/>
          <w:color w:val="1A1A1A"/>
          <w:sz w:val="22"/>
          <w:szCs w:val="22"/>
        </w:rPr>
        <w:t xml:space="preserve">Community Watch allows volunteers and community members to report environmental health risks using simple tools: blocked drains, flooded areas, stagnant water, uncovered water storage, dust and smoke, bushfires, waste burning, medicine shortages at local clinics, and clusters of symptoms. Reports can be submitted through the mobile application, a WhatsApp assistant, text message, menu-based codes, and a voice channel for citizens with low literacy.</w:t>
      </w:r>
    </w:p>
    <w:p>
      <w:pPr>
        <w:spacing w:after="130" w:line="276"/>
        <w:jc w:val="both"/>
      </w:pPr>
      <w:r>
        <w:rPr>
          <w:rFonts w:ascii="Calibri" w:cs="Calibri" w:eastAsia="Calibri" w:hAnsi="Calibri"/>
          <w:b w:val="false"/>
          <w:bCs w:val="false"/>
          <w:i w:val="false"/>
          <w:iCs w:val="false"/>
          <w:color w:val="1A1A1A"/>
          <w:sz w:val="22"/>
          <w:szCs w:val="22"/>
        </w:rPr>
        <w:t xml:space="preserve">To reduce false reports, the system uses location tagging, photo uploads, corroboration from multiple reports, verification by health officers or trusted volunteers, and priority scoring for urgent cases. Every verified report feeds directly into the Signal-to-Syndrome Engine and the agency Incident Rooms, which means citizens are not merely observers. They are sensors in a national early-warning network, and because they are performing public-health work, they are compensated in public-health terms, as Section 12 describes.</w:t>
      </w:r>
    </w:p>
    <w:p>
      <w:r>
        <w:br w:type="page"/>
      </w:r>
    </w:p>
    <w:p>
      <w:pPr>
        <w:pStyle w:val="Heading1"/>
        <w:keepNext/>
        <w:spacing w:after="140" w:before="360"/>
      </w:pPr>
      <w:r>
        <w:rPr>
          <w:rFonts w:ascii="Georgia" w:cs="Georgia" w:eastAsia="Georgia" w:hAnsi="Georgia"/>
          <w:b/>
          <w:bCs/>
          <w:color w:val="1B5E44"/>
          <w:sz w:val="30"/>
          <w:szCs w:val="30"/>
        </w:rPr>
        <w:t xml:space="preserve">11. Climate Guardians: Education and Gamification</w:t>
      </w:r>
    </w:p>
    <w:p>
      <w:pPr>
        <w:spacing w:after="130" w:line="276"/>
        <w:jc w:val="both"/>
      </w:pPr>
      <w:r>
        <w:rPr>
          <w:rFonts w:ascii="Calibri" w:cs="Calibri" w:eastAsia="Calibri" w:hAnsi="Calibri"/>
          <w:b w:val="false"/>
          <w:bCs w:val="false"/>
          <w:i w:val="false"/>
          <w:iCs w:val="false"/>
          <w:color w:val="1A1A1A"/>
          <w:sz w:val="22"/>
          <w:szCs w:val="22"/>
        </w:rPr>
        <w:t xml:space="preserve">Climate Guardians is the heart of Dawuro and the feature designed to make ClimaHealth Predict a movement rather than a platform. It exists because climate-health awareness in Ghana remains low, and behaviour change is the cheapest prevention available. Everyone who joins Dawuro becomes a Climate Guardian of their district, under one shared identity, with age-appropriate experiences and two mechanics that, to our knowledge, no comparable platform combines.</w:t>
      </w:r>
    </w:p>
    <w:p>
      <w:pPr>
        <w:pStyle w:val="Heading2"/>
        <w:keepNext/>
        <w:spacing w:after="90" w:before="240"/>
      </w:pPr>
      <w:r>
        <w:rPr>
          <w:rFonts w:ascii="Georgia" w:cs="Georgia" w:eastAsia="Georgia" w:hAnsi="Georgia"/>
          <w:b/>
          <w:bCs/>
          <w:color w:val="1A1A1A"/>
          <w:sz w:val="24"/>
          <w:szCs w:val="24"/>
        </w:rPr>
        <w:t xml:space="preserve">11.1 Weather-Triggered Learning</w:t>
      </w:r>
    </w:p>
    <w:p>
      <w:pPr>
        <w:spacing w:after="130" w:line="276"/>
        <w:jc w:val="both"/>
      </w:pPr>
      <w:r>
        <w:rPr>
          <w:rFonts w:ascii="Calibri" w:cs="Calibri" w:eastAsia="Calibri" w:hAnsi="Calibri"/>
          <w:b w:val="false"/>
          <w:bCs w:val="false"/>
          <w:i w:val="false"/>
          <w:iCs w:val="false"/>
          <w:color w:val="1A1A1A"/>
          <w:sz w:val="22"/>
          <w:szCs w:val="22"/>
        </w:rPr>
        <w:t xml:space="preserve">The platform does not offer a library of lessons to be read at some unspecified time. It delivers a short lesson of about a minute only when the surrounding conditions make it immediately relevant. Heavy rain prompts a lesson on mosquito breeding sites and a mission to find stagnant water. The onset of Harmattan prompts a lesson on dust, asthma and the danger signs of meningitis. A heatwave forecast prompts guidance on hydration and work-rest cycles, with a dedicated stream for pregnant women and outdoor workers. A high pollution day in Accra prompts advice on masks and keeping asthmatic children indoors. Education becomes a timely response to the world outside the user’s window, and every lesson ends with a practical task.</w:t>
      </w:r>
    </w:p>
    <w:p>
      <w:pPr>
        <w:pStyle w:val="Heading2"/>
        <w:keepNext/>
        <w:spacing w:after="90" w:before="240"/>
      </w:pPr>
      <w:r>
        <w:rPr>
          <w:rFonts w:ascii="Georgia" w:cs="Georgia" w:eastAsia="Georgia" w:hAnsi="Georgia"/>
          <w:b/>
          <w:bCs/>
          <w:color w:val="1A1A1A"/>
          <w:sz w:val="24"/>
          <w:szCs w:val="24"/>
        </w:rPr>
        <w:t xml:space="preserve">11.2 The Outbreak Averted Bonus</w:t>
      </w:r>
    </w:p>
    <w:p>
      <w:pPr>
        <w:spacing w:after="130" w:line="276"/>
        <w:jc w:val="both"/>
      </w:pPr>
      <w:r>
        <w:rPr>
          <w:rFonts w:ascii="Calibri" w:cs="Calibri" w:eastAsia="Calibri" w:hAnsi="Calibri"/>
          <w:b w:val="false"/>
          <w:bCs w:val="false"/>
          <w:i w:val="false"/>
          <w:iCs w:val="false"/>
          <w:color w:val="1A1A1A"/>
          <w:sz w:val="22"/>
          <w:szCs w:val="22"/>
        </w:rPr>
        <w:t xml:space="preserve">The greatest weakness of prevention is that success is invisible: when it works, nothing happens. The platform makes that nothing visible and rewards it. When the model predicts high risk, the community acts, and the forecast window then closes with no outbreak, every contributing Guardian receives a collective recognition, for example that a district prevented an estimated number of cases, and the district earns a public distinction on the national map. Districts compete on these distinctions, which turns community pride into a public-health force. Because only a genuine prediction engine can establish that risk was elevated in the first place, this mechanic cannot be reproduced by any tool that does not forecast.</w:t>
      </w:r>
    </w:p>
    <w:p>
      <w:pPr>
        <w:pStyle w:val="Heading2"/>
        <w:keepNext/>
        <w:spacing w:after="90" w:before="240"/>
      </w:pPr>
      <w:r>
        <w:rPr>
          <w:rFonts w:ascii="Georgia" w:cs="Georgia" w:eastAsia="Georgia" w:hAnsi="Georgia"/>
          <w:b/>
          <w:bCs/>
          <w:color w:val="1A1A1A"/>
          <w:sz w:val="24"/>
          <w:szCs w:val="24"/>
        </w:rPr>
        <w:t xml:space="preserve">11.3 How Guardians Earn Points</w:t>
      </w:r>
    </w:p>
    <w:p>
      <w:pPr>
        <w:spacing w:after="130" w:line="276"/>
        <w:jc w:val="both"/>
      </w:pPr>
      <w:r>
        <w:rPr>
          <w:rFonts w:ascii="Calibri" w:cs="Calibri" w:eastAsia="Calibri" w:hAnsi="Calibri"/>
          <w:b w:val="false"/>
          <w:bCs w:val="false"/>
          <w:i w:val="false"/>
          <w:iCs w:val="false"/>
          <w:color w:val="1A1A1A"/>
          <w:sz w:val="22"/>
          <w:szCs w:val="22"/>
        </w:rPr>
        <w:t xml:space="preserve">Points come from three streams, so that no one is excluded by geography, literacy or the type of phone they own.</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Knowledge, through quiz games. </w:t>
      </w:r>
      <w:r>
        <w:rPr>
          <w:rFonts w:ascii="Calibri" w:cs="Calibri" w:eastAsia="Calibri" w:hAnsi="Calibri"/>
          <w:b w:val="false"/>
          <w:bCs w:val="false"/>
          <w:i w:val="false"/>
          <w:iCs w:val="false"/>
          <w:color w:val="1A1A1A"/>
          <w:sz w:val="22"/>
          <w:szCs w:val="22"/>
        </w:rPr>
        <w:t xml:space="preserve">A daily set of three questions tied to the district’s live hazard, head-to-head timed quiz duels between districts, a themed question bank for each climate season, a scenario game teaching the danger signs that prevent late arrival at a clinic, a myth-busting game, and a voice quiz delivered by phone or menu code in Twi, Ga, Ewe and Dagbani, so that a farmer with a basic phone earns at the same rate as a student with a smartphone.</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Action, through missions. </w:t>
      </w:r>
      <w:r>
        <w:rPr>
          <w:rFonts w:ascii="Calibri" w:cs="Calibri" w:eastAsia="Calibri" w:hAnsi="Calibri"/>
          <w:b w:val="false"/>
          <w:bCs w:val="false"/>
          <w:i w:val="false"/>
          <w:iCs w:val="false"/>
          <w:color w:val="1A1A1A"/>
          <w:sz w:val="22"/>
          <w:szCs w:val="22"/>
        </w:rPr>
        <w:t xml:space="preserve">Verified real-world tasks such as reporting stagnant water, emptying and covering containers, clearing a drain as a group, attending a community clean-up, confirming the use of a treated net, or accompanying a child to growth monitoring.</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Collective effort, through community multipliers. </w:t>
      </w:r>
      <w:r>
        <w:rPr>
          <w:rFonts w:ascii="Calibri" w:cs="Calibri" w:eastAsia="Calibri" w:hAnsi="Calibri"/>
          <w:b w:val="false"/>
          <w:bCs w:val="false"/>
          <w:i w:val="false"/>
          <w:iCs w:val="false"/>
          <w:color w:val="1A1A1A"/>
          <w:sz w:val="22"/>
          <w:szCs w:val="22"/>
        </w:rPr>
        <w:t xml:space="preserve">When a whole school, congregation, market association or neighbourhood reaches a shared target, everyone’s points multiply, reflecting the fact that malaria and cholera are neighbourhood problems rather than individual ones.</w:t>
      </w:r>
    </w:p>
    <w:p>
      <w:pPr>
        <w:pStyle w:val="Heading2"/>
        <w:keepNext/>
        <w:spacing w:after="90" w:before="240"/>
      </w:pPr>
      <w:r>
        <w:rPr>
          <w:rFonts w:ascii="Georgia" w:cs="Georgia" w:eastAsia="Georgia" w:hAnsi="Georgia"/>
          <w:b/>
          <w:bCs/>
          <w:color w:val="1A1A1A"/>
          <w:sz w:val="24"/>
          <w:szCs w:val="24"/>
        </w:rPr>
        <w:t xml:space="preserve">11.4 Age-Tiered Experiences</w:t>
      </w:r>
    </w:p>
    <w:p>
      <w:pPr>
        <w:pStyle w:val="Heading3"/>
        <w:keepNext/>
        <w:spacing w:after="70" w:before="160"/>
      </w:pPr>
      <w:r>
        <w:rPr>
          <w:rFonts w:ascii="Calibri" w:cs="Calibri" w:eastAsia="Calibri" w:hAnsi="Calibri"/>
          <w:b/>
          <w:bCs/>
          <w:color w:val="1A1A1A"/>
          <w:sz w:val="22"/>
          <w:szCs w:val="22"/>
        </w:rPr>
        <w:t xml:space="preserve">Children aged 6 to 12: Anansi’s Climate Tales</w:t>
      </w:r>
    </w:p>
    <w:p>
      <w:pPr>
        <w:spacing w:after="130" w:line="276"/>
        <w:jc w:val="both"/>
      </w:pPr>
      <w:r>
        <w:rPr>
          <w:rFonts w:ascii="Calibri" w:cs="Calibri" w:eastAsia="Calibri" w:hAnsi="Calibri"/>
          <w:b w:val="false"/>
          <w:bCs w:val="false"/>
          <w:i w:val="false"/>
          <w:iCs w:val="false"/>
          <w:color w:val="1A1A1A"/>
          <w:sz w:val="22"/>
          <w:szCs w:val="22"/>
        </w:rPr>
        <w:t xml:space="preserve">Anansi, the storytelling spider that every Ghanaian child grows up with, becomes the mascot and teacher, conveying climate-health basics through short animated stories and simple games such as clearing blocked drains before mosquitoes spawn, a malaria-prevention quiz, a safe-water puzzle, and a Harmattan game teaching mask use and danger signs. A school mode lets teachers run the content in class, aligned with the Education Service view in the agency platform. Children’s missions are always safe, supervised and school-based.</w:t>
      </w:r>
    </w:p>
    <w:p>
      <w:pPr>
        <w:pStyle w:val="Heading3"/>
        <w:keepNext/>
        <w:spacing w:after="70" w:before="160"/>
      </w:pPr>
      <w:r>
        <w:rPr>
          <w:rFonts w:ascii="Calibri" w:cs="Calibri" w:eastAsia="Calibri" w:hAnsi="Calibri"/>
          <w:b/>
          <w:bCs/>
          <w:color w:val="1A1A1A"/>
          <w:sz w:val="22"/>
          <w:szCs w:val="22"/>
        </w:rPr>
        <w:t xml:space="preserve">Young people aged 13 to 17: Risk Scouts</w:t>
      </w:r>
    </w:p>
    <w:p>
      <w:pPr>
        <w:spacing w:after="130" w:line="276"/>
        <w:jc w:val="both"/>
      </w:pPr>
      <w:r>
        <w:rPr>
          <w:rFonts w:ascii="Calibri" w:cs="Calibri" w:eastAsia="Calibri" w:hAnsi="Calibri"/>
          <w:b w:val="false"/>
          <w:bCs w:val="false"/>
          <w:i w:val="false"/>
          <w:iCs w:val="false"/>
          <w:color w:val="1A1A1A"/>
          <w:sz w:val="22"/>
          <w:szCs w:val="22"/>
        </w:rPr>
        <w:t xml:space="preserve">Hazard-specific photo missions, school-against-school and district leaderboards, streaks, shareable badges, and short-form lessons. Reports from young people pass through the same verification pipeline as those of adults, so they generate real data for the model.</w:t>
      </w:r>
    </w:p>
    <w:p>
      <w:pPr>
        <w:pStyle w:val="Heading3"/>
        <w:keepNext/>
        <w:spacing w:after="70" w:before="160"/>
      </w:pPr>
      <w:r>
        <w:rPr>
          <w:rFonts w:ascii="Calibri" w:cs="Calibri" w:eastAsia="Calibri" w:hAnsi="Calibri"/>
          <w:b/>
          <w:bCs/>
          <w:color w:val="1A1A1A"/>
          <w:sz w:val="22"/>
          <w:szCs w:val="22"/>
        </w:rPr>
        <w:t xml:space="preserve">Adults aged 18 and above: Community Champions</w:t>
      </w:r>
    </w:p>
    <w:p>
      <w:pPr>
        <w:spacing w:after="130" w:line="276"/>
        <w:jc w:val="both"/>
      </w:pPr>
      <w:r>
        <w:rPr>
          <w:rFonts w:ascii="Calibri" w:cs="Calibri" w:eastAsia="Calibri" w:hAnsi="Calibri"/>
          <w:b w:val="false"/>
          <w:bCs w:val="false"/>
          <w:i w:val="false"/>
          <w:iCs w:val="false"/>
          <w:color w:val="1A1A1A"/>
          <w:sz w:val="22"/>
          <w:szCs w:val="22"/>
        </w:rPr>
        <w:t xml:space="preserve">Verified reports and completed missions earn points; levels unlock public recognition on the district distinction, recognised certificates in climate-health literacy, environmental reporting and community health, and modest rewards such as airtime and data through partnership, alongside the full Health Dividend described next.</w:t>
      </w:r>
    </w:p>
    <w:p>
      <w:pPr>
        <w:pStyle w:val="Heading3"/>
        <w:keepNext/>
        <w:spacing w:after="70" w:before="160"/>
      </w:pPr>
      <w:r>
        <w:rPr>
          <w:rFonts w:ascii="Calibri" w:cs="Calibri" w:eastAsia="Calibri" w:hAnsi="Calibri"/>
          <w:b/>
          <w:bCs/>
          <w:color w:val="1A1A1A"/>
          <w:sz w:val="22"/>
          <w:szCs w:val="22"/>
        </w:rPr>
        <w:t xml:space="preserve">Low-literacy and elderly citizens: Voice-First Guardians</w:t>
      </w:r>
    </w:p>
    <w:p>
      <w:pPr>
        <w:spacing w:after="130" w:line="276"/>
        <w:jc w:val="both"/>
      </w:pPr>
      <w:r>
        <w:rPr>
          <w:rFonts w:ascii="Calibri" w:cs="Calibri" w:eastAsia="Calibri" w:hAnsi="Calibri"/>
          <w:b w:val="false"/>
          <w:bCs w:val="false"/>
          <w:i w:val="false"/>
          <w:iCs w:val="false"/>
          <w:color w:val="1A1A1A"/>
          <w:sz w:val="22"/>
          <w:szCs w:val="22"/>
        </w:rPr>
        <w:t xml:space="preserve">Voice and menu-based quizzes and reporting in Twi, Ga, Ewe and Dagbani, points redeemable as airtime, and radio partnership tie-ins for community-wide education. Inclusion here is not a footnote; it is a full tier with equal earning power.</w:t>
      </w:r>
    </w:p>
    <w:p>
      <w:r>
        <w:br w:type="page"/>
      </w:r>
    </w:p>
    <w:p>
      <w:pPr>
        <w:pStyle w:val="Heading1"/>
        <w:keepNext/>
        <w:spacing w:after="140" w:before="360"/>
      </w:pPr>
      <w:r>
        <w:rPr>
          <w:rFonts w:ascii="Georgia" w:cs="Georgia" w:eastAsia="Georgia" w:hAnsi="Georgia"/>
          <w:b/>
          <w:bCs/>
          <w:color w:val="1B5E44"/>
          <w:sz w:val="30"/>
          <w:szCs w:val="30"/>
        </w:rPr>
        <w:t xml:space="preserve">12. The Health Dividend: Points That Buy Real Healthcare</w:t>
      </w:r>
    </w:p>
    <w:p>
      <w:pPr>
        <w:spacing w:after="130" w:line="276"/>
        <w:jc w:val="both"/>
      </w:pPr>
      <w:r>
        <w:rPr>
          <w:rFonts w:ascii="Calibri" w:cs="Calibri" w:eastAsia="Calibri" w:hAnsi="Calibri"/>
          <w:b w:val="false"/>
          <w:bCs w:val="false"/>
          <w:i w:val="false"/>
          <w:iCs w:val="false"/>
          <w:color w:val="1A1A1A"/>
          <w:sz w:val="22"/>
          <w:szCs w:val="22"/>
        </w:rPr>
        <w:t xml:space="preserve">This is the answer to the question every gamified platform eventually fails: why should anyone keep participating? Recognition alone does not pay for a clinic visit, so Dawuro’s rewards are denominated in the currency that matters most to a household under climate stress, namely health coverage and health care. The mechanism already exists. National health insurance covers the large majority of common conditions, membership lasts a year, and renewal is already carried out through menu-based codes and mobile money. Dawuro does not need to build a health system; it needs only to connect points to a payment pathway that is already national. Guardian points fund national health insurance registration and renewal directly.</w:t>
      </w:r>
    </w:p>
    <w:p>
      <w:pPr>
        <w:pStyle w:val="Heading2"/>
        <w:keepNext/>
        <w:spacing w:after="90" w:before="240"/>
      </w:pPr>
      <w:r>
        <w:rPr>
          <w:rFonts w:ascii="Georgia" w:cs="Georgia" w:eastAsia="Georgia" w:hAnsi="Georgia"/>
          <w:b/>
          <w:bCs/>
          <w:color w:val="1A1A1A"/>
          <w:sz w:val="24"/>
          <w:szCs w:val="24"/>
        </w:rPr>
        <w:t xml:space="preserve">12.1 The Guardian Ladder</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500"/>
        <w:gridCol w:w="6860"/>
      </w:tblGrid>
      <w:tr>
        <w:trPr>
          <w:tblHeader/>
        </w:trPr>
        <w:tc>
          <w:tcPr>
            <w:tcW w:type="dxa" w:w="25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Level</w:t>
            </w:r>
          </w:p>
        </w:tc>
        <w:tc>
          <w:tcPr>
            <w:tcW w:type="dxa" w:w="68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Health dividend unlocked</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1. Watcher</w:t>
            </w:r>
          </w:p>
        </w:tc>
        <w:tc>
          <w:tcPr>
            <w:tcW w:type="dxa" w:w="68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 digital badge, recognition on the district map, and a small data reward</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2. Scout</w:t>
            </w:r>
          </w:p>
        </w:tc>
        <w:tc>
          <w:tcPr>
            <w:tcW w:type="dxa" w:w="68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An airtime or data reward and a treated net or dust-mask pack matched to the season</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3. Guardian</w:t>
            </w:r>
          </w:p>
        </w:tc>
        <w:tc>
          <w:tcPr>
            <w:tcW w:type="dxa" w:w="68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 free basic screening: blood pressure, blood sugar, body-mass index and a malaria rapid test</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4. Senior Guardian</w:t>
            </w:r>
          </w:p>
        </w:tc>
        <w:tc>
          <w:tcPr>
            <w:tcW w:type="dxa" w:w="68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Full national health insurance registration or annual renewal, paid</w:t>
            </w:r>
          </w:p>
        </w:tc>
      </w:tr>
      <w:tr>
        <w:tc>
          <w:tcPr>
            <w:tcW w:type="dxa" w:w="25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5. Champion</w:t>
            </w:r>
          </w:p>
        </w:tc>
        <w:tc>
          <w:tcPr>
            <w:tcW w:type="dxa" w:w="68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 full annual health check-up package, including blood count, malaria and typhoid screening, and eye and dental checks</w:t>
            </w:r>
          </w:p>
        </w:tc>
      </w:tr>
      <w:tr>
        <w:tc>
          <w:tcPr>
            <w:tcW w:type="dxa" w:w="25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6. District Guardian</w:t>
            </w:r>
          </w:p>
        </w:tc>
        <w:tc>
          <w:tcPr>
            <w:tcW w:type="dxa" w:w="68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Insurance coverage extended to one dependant, a green-skills certificate, and priority nomination for partner internships</w:t>
            </w:r>
          </w:p>
        </w:tc>
      </w:tr>
    </w:tbl>
    <w:p>
      <w:pPr>
        <w:spacing w:after="130" w:line="276"/>
        <w:jc w:val="both"/>
      </w:pPr>
      <w:r>
        <w:rPr>
          <w:rFonts w:ascii="Calibri" w:cs="Calibri" w:eastAsia="Calibri" w:hAnsi="Calibri"/>
          <w:b w:val="false"/>
          <w:bCs w:val="false"/>
          <w:i w:val="false"/>
          <w:iCs w:val="false"/>
          <w:color w:val="1A1A1A"/>
          <w:sz w:val="22"/>
          <w:szCs w:val="22"/>
        </w:rPr>
        <w:t xml:space="preserve">Because points are earned across quizzes, missions and community multipliers, a voice-only user in a remote district and a student in a city can reach the same level by different routes.</w:t>
      </w:r>
    </w:p>
    <w:p>
      <w:pPr>
        <w:pStyle w:val="Heading2"/>
        <w:keepNext/>
        <w:spacing w:after="90" w:before="240"/>
      </w:pPr>
      <w:r>
        <w:rPr>
          <w:rFonts w:ascii="Georgia" w:cs="Georgia" w:eastAsia="Georgia" w:hAnsi="Georgia"/>
          <w:b/>
          <w:bCs/>
          <w:color w:val="1A1A1A"/>
          <w:sz w:val="24"/>
          <w:szCs w:val="24"/>
        </w:rPr>
        <w:t xml:space="preserve">12.2 Community Watch Volunteers: The Guardian Health Card</w:t>
      </w:r>
    </w:p>
    <w:p>
      <w:pPr>
        <w:spacing w:after="130" w:line="276"/>
        <w:jc w:val="both"/>
      </w:pPr>
      <w:r>
        <w:rPr>
          <w:rFonts w:ascii="Calibri" w:cs="Calibri" w:eastAsia="Calibri" w:hAnsi="Calibri"/>
          <w:b w:val="false"/>
          <w:bCs w:val="false"/>
          <w:i w:val="false"/>
          <w:iCs w:val="false"/>
          <w:color w:val="1A1A1A"/>
          <w:sz w:val="22"/>
          <w:szCs w:val="22"/>
        </w:rPr>
        <w:t xml:space="preserve">Community Watch volunteers perform genuine public-health fieldwork, and they should not do it uninsured. Any volunteer who completes three consecutive months of verified activity receives a Guardian Health Card valid for twelve months, providing paid national health insurance registration or renewal, an annual health screening, accident and injury cover for harm sustained while on verified duty, priority booking at partner clinics during the district’s high-risk windows, and a recognised volunteer certificate co-signed, where possible, by the district health directorate. Volunteers who sustain twelve months of verified activity advance to senior status, extending the card to one household dependant and adding a modest stipend for field days.</w:t>
      </w:r>
    </w:p>
    <w:p>
      <w:pPr>
        <w:pStyle w:val="Heading2"/>
        <w:keepNext/>
        <w:spacing w:after="90" w:before="240"/>
      </w:pPr>
      <w:r>
        <w:rPr>
          <w:rFonts w:ascii="Georgia" w:cs="Georgia" w:eastAsia="Georgia" w:hAnsi="Georgia"/>
          <w:b/>
          <w:bCs/>
          <w:color w:val="1A1A1A"/>
          <w:sz w:val="24"/>
          <w:szCs w:val="24"/>
        </w:rPr>
        <w:t xml:space="preserve">12.3 Rewards for Under-18s, Handled Deliberately Differently</w:t>
      </w:r>
    </w:p>
    <w:p>
      <w:pPr>
        <w:spacing w:after="130" w:line="276"/>
        <w:jc w:val="both"/>
      </w:pPr>
      <w:r>
        <w:rPr>
          <w:rFonts w:ascii="Calibri" w:cs="Calibri" w:eastAsia="Calibri" w:hAnsi="Calibri"/>
          <w:b w:val="false"/>
          <w:bCs w:val="false"/>
          <w:i w:val="false"/>
          <w:iCs w:val="false"/>
          <w:color w:val="1A1A1A"/>
          <w:sz w:val="22"/>
          <w:szCs w:val="22"/>
        </w:rPr>
        <w:t xml:space="preserve">Children under 18 are already exempt from insurance premiums, so a free-insurance reward would mean nothing to them, and offering health rewards to minors in exchange for labour would be wrong. The under-18 tiers therefore earn differently. For children, points convert into rewards for the whole class, such as books, learning materials and hygiene kits, and a trophy for the winning school club, so that no child is pushed toward unsafe work for a personal prize. For teenagers, points convert into data, school supplies, examination-registration support and the ability to gift an insurance renewal to a parent or grandparent, which young people consistently report as more motivating than a personal reward. Every under-18 mission is safe, supervised and achievable within school or home settings.</w:t>
      </w:r>
    </w:p>
    <w:p>
      <w:pPr>
        <w:pStyle w:val="Heading2"/>
        <w:keepNext/>
        <w:spacing w:after="90" w:before="240"/>
      </w:pPr>
      <w:r>
        <w:rPr>
          <w:rFonts w:ascii="Georgia" w:cs="Georgia" w:eastAsia="Georgia" w:hAnsi="Georgia"/>
          <w:b/>
          <w:bCs/>
          <w:color w:val="1A1A1A"/>
          <w:sz w:val="24"/>
          <w:szCs w:val="24"/>
        </w:rPr>
        <w:t xml:space="preserve">12.4 Guardian Health Days</w:t>
      </w:r>
    </w:p>
    <w:p>
      <w:pPr>
        <w:spacing w:after="130" w:line="276"/>
        <w:jc w:val="both"/>
      </w:pPr>
      <w:r>
        <w:rPr>
          <w:rFonts w:ascii="Calibri" w:cs="Calibri" w:eastAsia="Calibri" w:hAnsi="Calibri"/>
          <w:b w:val="false"/>
          <w:bCs w:val="false"/>
          <w:i w:val="false"/>
          <w:iCs w:val="false"/>
          <w:color w:val="1A1A1A"/>
          <w:sz w:val="22"/>
          <w:szCs w:val="22"/>
        </w:rPr>
        <w:t xml:space="preserve">Rather than sending individuals to clinics at random, the platform concentrates redemption into scheduled Guardian Health Days, held monthly in each district and rotating between partner facilities, community health compounds and mobile screening units. Guardians book a slot in advance, so facilities are never overwhelmed. These days are deliberately scheduled just before a district’s predicted high-risk window, so that screening doubles as outbreak preparation, and any condition found that needs follow-up is referred into the insurance pathway the Guardian has just unlocked.</w:t>
      </w:r>
    </w:p>
    <w:p>
      <w:pPr>
        <w:pStyle w:val="Heading2"/>
        <w:keepNext/>
        <w:spacing w:after="90" w:before="240"/>
      </w:pPr>
      <w:r>
        <w:rPr>
          <w:rFonts w:ascii="Georgia" w:cs="Georgia" w:eastAsia="Georgia" w:hAnsi="Georgia"/>
          <w:b/>
          <w:bCs/>
          <w:color w:val="1A1A1A"/>
          <w:sz w:val="24"/>
          <w:szCs w:val="24"/>
        </w:rPr>
        <w:t xml:space="preserve">12.5 The Community Dividend</w:t>
      </w:r>
    </w:p>
    <w:p>
      <w:pPr>
        <w:spacing w:after="130" w:line="276"/>
        <w:jc w:val="both"/>
      </w:pPr>
      <w:r>
        <w:rPr>
          <w:rFonts w:ascii="Calibri" w:cs="Calibri" w:eastAsia="Calibri" w:hAnsi="Calibri"/>
          <w:b w:val="false"/>
          <w:bCs w:val="false"/>
          <w:i w:val="false"/>
          <w:iCs w:val="false"/>
          <w:color w:val="1A1A1A"/>
          <w:sz w:val="22"/>
          <w:szCs w:val="22"/>
        </w:rPr>
        <w:t xml:space="preserve">Individual rewards do not repair a broken drain, so the Outbreak Averted mechanic also pays out at community level. A district that earns three public distinctions in a year unlocks a Community Dividend, chosen by the Guardians themselves through an in-application vote, such as a community health screening camp, drain rehabilitation at the worst reported hotspot, a borehole repair, or a distribution of nets, chlorine or masks. This is the point at which gamification stops being a game and becomes infrastructure.</w:t>
      </w:r>
    </w:p>
    <w:p>
      <w:r>
        <w:br w:type="page"/>
      </w:r>
    </w:p>
    <w:p>
      <w:pPr>
        <w:pStyle w:val="Heading1"/>
        <w:keepNext/>
        <w:spacing w:after="140" w:before="360"/>
      </w:pPr>
      <w:r>
        <w:rPr>
          <w:rFonts w:ascii="Georgia" w:cs="Georgia" w:eastAsia="Georgia" w:hAnsi="Georgia"/>
          <w:b/>
          <w:bCs/>
          <w:color w:val="1B5E44"/>
          <w:sz w:val="30"/>
          <w:szCs w:val="30"/>
        </w:rPr>
        <w:t xml:space="preserve">13. Inclusive by Design: Reaching Every Citizen</w:t>
      </w:r>
    </w:p>
    <w:p>
      <w:pPr>
        <w:spacing w:after="130" w:line="276"/>
        <w:jc w:val="both"/>
      </w:pPr>
      <w:r>
        <w:rPr>
          <w:rFonts w:ascii="Calibri" w:cs="Calibri" w:eastAsia="Calibri" w:hAnsi="Calibri"/>
          <w:b w:val="false"/>
          <w:bCs w:val="false"/>
          <w:i w:val="false"/>
          <w:iCs w:val="false"/>
          <w:color w:val="1A1A1A"/>
          <w:sz w:val="22"/>
          <w:szCs w:val="22"/>
        </w:rPr>
        <w:t xml:space="preserve">A climate-health early-warning system is only as strong as its weakest point of access. In Ghana, the populations most exposed to climate risk frequently overlap with those most often excluded from digital services: rural communities, elderly citizens, people with low literacy and people living with disabilities. ClimaHealth Predict has been designed from the outset so that access does not depend on sight, hearing, literacy, income or the type of telephone a person owns. Every essential function of Dawuro is delivered through more than one channel, as text, as audio, as visual indication and, where needed, through a human, so that a limitation in one channel is always covered by another.</w:t>
      </w:r>
    </w:p>
    <w:p>
      <w:pPr>
        <w:pStyle w:val="Heading2"/>
        <w:keepNext/>
        <w:spacing w:after="90" w:before="240"/>
      </w:pPr>
      <w:r>
        <w:rPr>
          <w:rFonts w:ascii="Georgia" w:cs="Georgia" w:eastAsia="Georgia" w:hAnsi="Georgia"/>
          <w:b/>
          <w:bCs/>
          <w:color w:val="1A1A1A"/>
          <w:sz w:val="24"/>
          <w:szCs w:val="24"/>
        </w:rPr>
        <w:t xml:space="preserve">13.1 Citizens Who Are Blind or Have Low Vision</w:t>
      </w:r>
    </w:p>
    <w:p>
      <w:pPr>
        <w:spacing w:after="130" w:line="276"/>
        <w:jc w:val="both"/>
      </w:pPr>
      <w:r>
        <w:rPr>
          <w:rFonts w:ascii="Calibri" w:cs="Calibri" w:eastAsia="Calibri" w:hAnsi="Calibri"/>
          <w:b w:val="false"/>
          <w:bCs w:val="false"/>
          <w:i w:val="false"/>
          <w:iCs w:val="false"/>
          <w:color w:val="1A1A1A"/>
          <w:sz w:val="22"/>
          <w:szCs w:val="22"/>
        </w:rPr>
        <w:t xml:space="preserve">For citizens who are blind or partially sighted, the application is fully operable without reading anything on a screen. It conforms to established mobile accessibility standards and works with the screen-reader software already built into Android and iOS devices, so that every alert, forecast, lesson and reporting screen is read aloud in a logical order. The entire service is also available through a voice line, so a citizen can hear the day’s forecast, the actions to take and the danger signs that require an immediate clinic visit, and can submit a spoken report without touching a screen. Educational content and quizzes are delivered as audio, and rewards are earned by listening and responding rather than by reading.</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Impact. </w:t>
      </w:r>
      <w:r>
        <w:rPr>
          <w:rFonts w:ascii="Calibri" w:cs="Calibri" w:eastAsia="Calibri" w:hAnsi="Calibri"/>
          <w:b w:val="false"/>
          <w:bCs w:val="false"/>
          <w:i w:val="false"/>
          <w:iCs w:val="false"/>
          <w:color w:val="1A1A1A"/>
          <w:sz w:val="22"/>
          <w:szCs w:val="22"/>
        </w:rPr>
        <w:t xml:space="preserve">A blind farmer receives a spoken warning that meningitis risk is rising, hears the danger signs to watch for in family members, and acts days before symptoms would otherwise be recognised.</w:t>
      </w:r>
    </w:p>
    <w:p>
      <w:pPr>
        <w:pStyle w:val="Heading2"/>
        <w:keepNext/>
        <w:spacing w:after="90" w:before="240"/>
      </w:pPr>
      <w:r>
        <w:rPr>
          <w:rFonts w:ascii="Georgia" w:cs="Georgia" w:eastAsia="Georgia" w:hAnsi="Georgia"/>
          <w:b/>
          <w:bCs/>
          <w:color w:val="1A1A1A"/>
          <w:sz w:val="24"/>
          <w:szCs w:val="24"/>
        </w:rPr>
        <w:t xml:space="preserve">13.2 Citizens Who Are Deaf or Hard of Hearing</w:t>
      </w:r>
    </w:p>
    <w:p>
      <w:pPr>
        <w:spacing w:after="130" w:line="276"/>
        <w:jc w:val="both"/>
      </w:pPr>
      <w:r>
        <w:rPr>
          <w:rFonts w:ascii="Calibri" w:cs="Calibri" w:eastAsia="Calibri" w:hAnsi="Calibri"/>
          <w:b w:val="false"/>
          <w:bCs w:val="false"/>
          <w:i w:val="false"/>
          <w:iCs w:val="false"/>
          <w:color w:val="1A1A1A"/>
          <w:sz w:val="22"/>
          <w:szCs w:val="22"/>
        </w:rPr>
        <w:t xml:space="preserve">For citizens who are deaf or hard of hearing, no critical information is ever conveyed by sound alone. Every alert exists as clear written text and strong visual indication, using colour, symbols and plain wording rather than audio tones. All video and animated material, including the children’s content, carries captions and on-screen text, and key public-health messages are accompanied by Ghanaian Sign Language video produced with deaf-community partners. Handset alerts use vibration and visual notification, so a deaf citizen is made aware of an urgent warning in the same way, and at the same time, as a hearing citizen.</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Impact. </w:t>
      </w:r>
      <w:r>
        <w:rPr>
          <w:rFonts w:ascii="Calibri" w:cs="Calibri" w:eastAsia="Calibri" w:hAnsi="Calibri"/>
          <w:b w:val="false"/>
          <w:bCs w:val="false"/>
          <w:i w:val="false"/>
          <w:iCs w:val="false"/>
          <w:color w:val="1A1A1A"/>
          <w:sz w:val="22"/>
          <w:szCs w:val="22"/>
        </w:rPr>
        <w:t xml:space="preserve">A deaf market trader receives a vibrating alert, opens a clearly written and captioned warning that air quality has reached a dangerous level, watches a short signed explanation, and protects her children, with no information lost.</w:t>
      </w:r>
    </w:p>
    <w:p>
      <w:pPr>
        <w:pStyle w:val="Heading2"/>
        <w:keepNext/>
        <w:spacing w:after="90" w:before="240"/>
      </w:pPr>
      <w:r>
        <w:rPr>
          <w:rFonts w:ascii="Georgia" w:cs="Georgia" w:eastAsia="Georgia" w:hAnsi="Georgia"/>
          <w:b/>
          <w:bCs/>
          <w:color w:val="1A1A1A"/>
          <w:sz w:val="24"/>
          <w:szCs w:val="24"/>
        </w:rPr>
        <w:t xml:space="preserve">13.3 Citizens Who Are Both Deaf and Blind</w:t>
      </w:r>
    </w:p>
    <w:p>
      <w:pPr>
        <w:spacing w:after="130" w:line="276"/>
        <w:jc w:val="both"/>
      </w:pPr>
      <w:r>
        <w:rPr>
          <w:rFonts w:ascii="Calibri" w:cs="Calibri" w:eastAsia="Calibri" w:hAnsi="Calibri"/>
          <w:b w:val="false"/>
          <w:bCs w:val="false"/>
          <w:i w:val="false"/>
          <w:iCs w:val="false"/>
          <w:color w:val="1A1A1A"/>
          <w:sz w:val="22"/>
          <w:szCs w:val="22"/>
        </w:rPr>
        <w:t xml:space="preserve">Citizens who are both deaf and blind are the group most often overlooked entirely, and the platform addresses them deliberately. Modern smartphones support refreshable braille displays that convert on-screen text into braille read by touch, and because the application is built to the standards those displays depend on, a deaf-blind citizen can read the daily forecast, the danger signs and the recommended actions through touch alone. Alerts are also conveyed through distinct vibration patterns, so an urgent warning can be distinguished from routine information by feel. For those who do not own such equipment, trained community volunteers are equipped to relay warnings and assist with reporting for the deaf-blind residents in their area, so that technology gaps are bridged by people.</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Impact. </w:t>
      </w:r>
      <w:r>
        <w:rPr>
          <w:rFonts w:ascii="Calibri" w:cs="Calibri" w:eastAsia="Calibri" w:hAnsi="Calibri"/>
          <w:b w:val="false"/>
          <w:bCs w:val="false"/>
          <w:i w:val="false"/>
          <w:iCs w:val="false"/>
          <w:color w:val="1A1A1A"/>
          <w:sz w:val="22"/>
          <w:szCs w:val="22"/>
        </w:rPr>
        <w:t xml:space="preserve">A deaf-blind resident reads an approaching flood warning on a braille display, or is reached in person by a community volunteer, and is moved to safety with the rest of the household.</w:t>
      </w:r>
    </w:p>
    <w:p>
      <w:pPr>
        <w:pStyle w:val="Heading2"/>
        <w:keepNext/>
        <w:spacing w:after="90" w:before="240"/>
      </w:pPr>
      <w:r>
        <w:rPr>
          <w:rFonts w:ascii="Georgia" w:cs="Georgia" w:eastAsia="Georgia" w:hAnsi="Georgia"/>
          <w:b/>
          <w:bCs/>
          <w:color w:val="1A1A1A"/>
          <w:sz w:val="24"/>
          <w:szCs w:val="24"/>
        </w:rPr>
        <w:t xml:space="preserve">13.4 Citizens With Physical, Cognitive and Speech Disabilities</w:t>
      </w:r>
    </w:p>
    <w:p>
      <w:pPr>
        <w:spacing w:after="130" w:line="276"/>
        <w:jc w:val="both"/>
      </w:pPr>
      <w:r>
        <w:rPr>
          <w:rFonts w:ascii="Calibri" w:cs="Calibri" w:eastAsia="Calibri" w:hAnsi="Calibri"/>
          <w:b w:val="false"/>
          <w:bCs w:val="false"/>
          <w:i w:val="false"/>
          <w:iCs w:val="false"/>
          <w:color w:val="1A1A1A"/>
          <w:sz w:val="22"/>
          <w:szCs w:val="22"/>
        </w:rPr>
        <w:t xml:space="preserve">For citizens with limited hand mobility, the application supports the switch-access and voice-control features built into modern devices, and the interface uses large, well-spaced controls that do not demand fine or rapid movement. For citizens with cognitive disabilities or low literacy, a simplified mode is built around symbols, pictures and short spoken sentences, avoiding technical language entirely. For citizens with speech disabilities who cannot use a voice line comfortably, the text and menu-based channels provide a full alternative, so every person can both receive information and contribute reports through at least one channel suited to them.</w:t>
      </w:r>
    </w:p>
    <w:p>
      <w:pPr>
        <w:pStyle w:val="Heading2"/>
        <w:keepNext/>
        <w:spacing w:after="90" w:before="240"/>
      </w:pPr>
      <w:r>
        <w:rPr>
          <w:rFonts w:ascii="Georgia" w:cs="Georgia" w:eastAsia="Georgia" w:hAnsi="Georgia"/>
          <w:b/>
          <w:bCs/>
          <w:color w:val="1A1A1A"/>
          <w:sz w:val="24"/>
          <w:szCs w:val="24"/>
        </w:rPr>
        <w:t xml:space="preserve">13.5 Inclusion Across Age, Language, Location and Income</w:t>
      </w:r>
    </w:p>
    <w:p>
      <w:pPr>
        <w:spacing w:after="130" w:line="276"/>
        <w:jc w:val="both"/>
      </w:pPr>
      <w:r>
        <w:rPr>
          <w:rFonts w:ascii="Calibri" w:cs="Calibri" w:eastAsia="Calibri" w:hAnsi="Calibri"/>
          <w:b w:val="false"/>
          <w:bCs w:val="false"/>
          <w:i w:val="false"/>
          <w:iCs w:val="false"/>
          <w:color w:val="1A1A1A"/>
          <w:sz w:val="22"/>
          <w:szCs w:val="22"/>
        </w:rPr>
        <w:t xml:space="preserve">Disability is one dimension of inclusion; the platform is equally deliberate about the others. Taken together, these choices mean that participation does not depend on being young, wealthy, urban, literate, or the owner of a modern smartphone.</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900"/>
        <w:gridCol w:w="6460"/>
      </w:tblGrid>
      <w:tr>
        <w:trPr>
          <w:tblHeader/>
        </w:trPr>
        <w:tc>
          <w:tcPr>
            <w:tcW w:type="dxa" w:w="2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Group</w:t>
            </w:r>
          </w:p>
        </w:tc>
        <w:tc>
          <w:tcPr>
            <w:tcW w:type="dxa" w:w="64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How the platform includes them</w:t>
            </w:r>
          </w:p>
        </w:tc>
      </w:tr>
      <w:tr>
        <w:tc>
          <w:tcPr>
            <w:tcW w:type="dxa" w:w="29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Children aged 6 to 12</w:t>
            </w:r>
          </w:p>
        </w:tc>
        <w:tc>
          <w:tcPr>
            <w:tcW w:type="dxa" w:w="64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 supervised experience built around Anansi, teaching climate-health basics through stories and games in and out of school</w:t>
            </w:r>
          </w:p>
        </w:tc>
      </w:tr>
      <w:tr>
        <w:tc>
          <w:tcPr>
            <w:tcW w:type="dxa" w:w="2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Young people aged 13 to 17</w:t>
            </w:r>
          </w:p>
        </w:tc>
        <w:tc>
          <w:tcPr>
            <w:tcW w:type="dxa" w:w="64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Age-appropriate missions, school-based participation and content in the short formats young people already use</w:t>
            </w:r>
          </w:p>
        </w:tc>
      </w:tr>
      <w:tr>
        <w:tc>
          <w:tcPr>
            <w:tcW w:type="dxa" w:w="29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Adults aged 18 and above</w:t>
            </w:r>
          </w:p>
        </w:tc>
        <w:tc>
          <w:tcPr>
            <w:tcW w:type="dxa" w:w="64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The full service, including community reporting, verified missions, skills certification and the healthcare reward pathway</w:t>
            </w:r>
          </w:p>
        </w:tc>
      </w:tr>
      <w:tr>
        <w:tc>
          <w:tcPr>
            <w:tcW w:type="dxa" w:w="2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Elderly citizens</w:t>
            </w:r>
          </w:p>
        </w:tc>
        <w:tc>
          <w:tcPr>
            <w:tcW w:type="dxa" w:w="64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Voice-first and menu-based access, large-text and audio delivery, and support from community volunteers</w:t>
            </w:r>
          </w:p>
        </w:tc>
      </w:tr>
      <w:tr>
        <w:tc>
          <w:tcPr>
            <w:tcW w:type="dxa" w:w="29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Citizens with basic phones</w:t>
            </w:r>
          </w:p>
        </w:tc>
        <w:tc>
          <w:tcPr>
            <w:tcW w:type="dxa" w:w="64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Full access through text message, menu codes and voice, so a basic phone receives the same service as a smartphone</w:t>
            </w:r>
          </w:p>
        </w:tc>
      </w:tr>
      <w:tr>
        <w:tc>
          <w:tcPr>
            <w:tcW w:type="dxa" w:w="2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Citizens with no phone</w:t>
            </w:r>
          </w:p>
        </w:tc>
        <w:tc>
          <w:tcPr>
            <w:tcW w:type="dxa" w:w="64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Reached through community volunteers, radio partnerships and shared community access points</w:t>
            </w:r>
          </w:p>
        </w:tc>
      </w:tr>
      <w:tr>
        <w:tc>
          <w:tcPr>
            <w:tcW w:type="dxa" w:w="29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Speakers of local languages</w:t>
            </w:r>
          </w:p>
        </w:tc>
        <w:tc>
          <w:tcPr>
            <w:tcW w:type="dxa" w:w="64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Content in English and the major Ghanaian languages, including Twi, Ga, Ewe and Dagbani, in written and spoken form</w:t>
            </w:r>
          </w:p>
        </w:tc>
      </w:tr>
      <w:tr>
        <w:tc>
          <w:tcPr>
            <w:tcW w:type="dxa" w:w="2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20"/>
                <w:szCs w:val="20"/>
              </w:rPr>
              <w:t xml:space="preserve">Low-income households</w:t>
            </w:r>
          </w:p>
        </w:tc>
        <w:tc>
          <w:tcPr>
            <w:tcW w:type="dxa" w:w="64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20"/>
                <w:szCs w:val="20"/>
              </w:rPr>
              <w:t xml:space="preserve">Free to use over basic channels, with data and airtime costs addressed through partnership</w:t>
            </w:r>
          </w:p>
        </w:tc>
      </w:tr>
    </w:tbl>
    <w:p>
      <w:pPr>
        <w:spacing w:after="60"/>
      </w:pPr>
    </w:p>
    <w:p>
      <w:pPr>
        <w:pBdr>
          <w:left w:val="single" w:color="1B5E44" w:sz="18" w:space="14"/>
        </w:pBdr>
        <w:spacing w:after="180" w:before="150" w:line="288"/>
        <w:ind w:left="340"/>
        <w:jc w:val="left"/>
      </w:pPr>
      <w:r>
        <w:rPr>
          <w:rFonts w:ascii="Calibri" w:cs="Calibri" w:eastAsia="Calibri" w:hAnsi="Calibri"/>
          <w:i/>
          <w:iCs/>
          <w:color w:val="3A3A3A"/>
          <w:sz w:val="23"/>
          <w:szCs w:val="23"/>
        </w:rPr>
        <w:t xml:space="preserve">The measure of an inclusive system is not that it can be used by most people. It is that it cannot be prevented from reaching anyone. Because every essential function of Dawuro travels through text, audio, visual and human channels at once, the loss of any single sense, or the absence of any single device, never removes a citizen from the protection the platform provides.</w:t>
      </w:r>
    </w:p>
    <w:p>
      <w:pPr>
        <w:pStyle w:val="Heading1"/>
        <w:keepNext/>
        <w:spacing w:after="140" w:before="360"/>
      </w:pPr>
      <w:r>
        <w:rPr>
          <w:rFonts w:ascii="Georgia" w:cs="Georgia" w:eastAsia="Georgia" w:hAnsi="Georgia"/>
          <w:b/>
          <w:bCs/>
          <w:color w:val="1B5E44"/>
          <w:sz w:val="30"/>
          <w:szCs w:val="30"/>
        </w:rPr>
        <w:t xml:space="preserve">14. Making the Rewards Safe, Fair and Real</w:t>
      </w:r>
    </w:p>
    <w:p>
      <w:pPr>
        <w:spacing w:after="130" w:line="276"/>
        <w:jc w:val="both"/>
      </w:pPr>
      <w:r>
        <w:rPr>
          <w:rFonts w:ascii="Calibri" w:cs="Calibri" w:eastAsia="Calibri" w:hAnsi="Calibri"/>
          <w:b w:val="false"/>
          <w:bCs w:val="false"/>
          <w:i w:val="false"/>
          <w:iCs w:val="false"/>
          <w:color w:val="1A1A1A"/>
          <w:sz w:val="22"/>
          <w:szCs w:val="22"/>
        </w:rPr>
        <w:t xml:space="preserve">A system that rewards health reporting must be designed against misuse from the start, and the platform is.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Against false reporting. </w:t>
      </w:r>
      <w:r>
        <w:rPr>
          <w:rFonts w:ascii="Calibri" w:cs="Calibri" w:eastAsia="Calibri" w:hAnsi="Calibri"/>
          <w:b w:val="false"/>
          <w:bCs w:val="false"/>
          <w:i w:val="false"/>
          <w:iCs w:val="false"/>
          <w:color w:val="1A1A1A"/>
          <w:sz w:val="22"/>
          <w:szCs w:val="22"/>
        </w:rPr>
        <w:t xml:space="preserve">Points are awarded for verified reports, not submitted ones. The platform never pays per report, because paying per report is precisely how false reports are manufactured. A user’s accuracy score follows them, so repeated false reports cost points and can suspend earning.</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Against exclusion. </w:t>
      </w:r>
      <w:r>
        <w:rPr>
          <w:rFonts w:ascii="Calibri" w:cs="Calibri" w:eastAsia="Calibri" w:hAnsi="Calibri"/>
          <w:b w:val="false"/>
          <w:bCs w:val="false"/>
          <w:i w:val="false"/>
          <w:iCs w:val="false"/>
          <w:color w:val="1A1A1A"/>
          <w:sz w:val="22"/>
          <w:szCs w:val="22"/>
        </w:rPr>
        <w:t xml:space="preserve">Quiz and voice missions carry equal weight to photo missions, so no one is disadvantaged by a basic phone, poor connectivity, low literacy, disability, or a district with fewer hazards to report. Points decay slowly rather than expiring, so seasonal workers do not lose progress.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Against exploitation. </w:t>
      </w:r>
      <w:r>
        <w:rPr>
          <w:rFonts w:ascii="Calibri" w:cs="Calibri" w:eastAsia="Calibri" w:hAnsi="Calibri"/>
          <w:b w:val="false"/>
          <w:bCs w:val="false"/>
          <w:i w:val="false"/>
          <w:iCs w:val="false"/>
          <w:color w:val="1A1A1A"/>
          <w:sz w:val="22"/>
          <w:szCs w:val="22"/>
        </w:rPr>
        <w:t xml:space="preserve">Rewards are always additional to existing entitlements, never a substitute for them. No one is ever denied care, triage priority or emergency treatment for lacking points, and exempt groups keep every existing free entitlement regardless of Guardian level. Emergency care is never gamified.</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Against unsafe participation. </w:t>
      </w:r>
      <w:r>
        <w:rPr>
          <w:rFonts w:ascii="Calibri" w:cs="Calibri" w:eastAsia="Calibri" w:hAnsi="Calibri"/>
          <w:b w:val="false"/>
          <w:bCs w:val="false"/>
          <w:i w:val="false"/>
          <w:iCs w:val="false"/>
          <w:color w:val="1A1A1A"/>
          <w:sz w:val="22"/>
          <w:szCs w:val="22"/>
        </w:rPr>
        <w:t xml:space="preserve">Missions are risk-rated. No mission asks a user to enter floodwater, approach a fire, handle waste without protection, or travel during an active emergency. Children’s missions are supervised and school-bound, and volunteers carry accident cover.</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Against privacy harm. </w:t>
      </w:r>
      <w:r>
        <w:rPr>
          <w:rFonts w:ascii="Calibri" w:cs="Calibri" w:eastAsia="Calibri" w:hAnsi="Calibri"/>
          <w:b w:val="false"/>
          <w:bCs w:val="false"/>
          <w:i w:val="false"/>
          <w:iCs w:val="false"/>
          <w:color w:val="1A1A1A"/>
          <w:sz w:val="22"/>
          <w:szCs w:val="22"/>
        </w:rPr>
        <w:t xml:space="preserve">Guardian activity data and clinical data are held separately. Health-screening results belong to the individual and their clinician, never to a leaderboard, an employer, or the public map, which shows only district-level aggregates.</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Against dependency on the platform. </w:t>
      </w:r>
      <w:r>
        <w:rPr>
          <w:rFonts w:ascii="Calibri" w:cs="Calibri" w:eastAsia="Calibri" w:hAnsi="Calibri"/>
          <w:b w:val="false"/>
          <w:bCs w:val="false"/>
          <w:i w:val="false"/>
          <w:iCs w:val="false"/>
          <w:color w:val="1A1A1A"/>
          <w:sz w:val="22"/>
          <w:szCs w:val="22"/>
        </w:rPr>
        <w:t xml:space="preserve">All rewards are delivered through existing national systems, so that if the platform ever paused, no one would lose coverage they already hold.</w:t>
      </w:r>
    </w:p>
    <w:p>
      <w:pPr>
        <w:pStyle w:val="Heading1"/>
        <w:keepNext/>
        <w:spacing w:after="140" w:before="360"/>
      </w:pPr>
      <w:r>
        <w:rPr>
          <w:rFonts w:ascii="Georgia" w:cs="Georgia" w:eastAsia="Georgia" w:hAnsi="Georgia"/>
          <w:b/>
          <w:bCs/>
          <w:color w:val="1B5E44"/>
          <w:sz w:val="30"/>
          <w:szCs w:val="30"/>
        </w:rPr>
        <w:t xml:space="preserve">15. Who Pays: The Sustainability Model</w:t>
      </w:r>
    </w:p>
    <w:p>
      <w:pPr>
        <w:spacing w:after="130" w:line="276"/>
        <w:jc w:val="both"/>
      </w:pPr>
      <w:r>
        <w:rPr>
          <w:rFonts w:ascii="Calibri" w:cs="Calibri" w:eastAsia="Calibri" w:hAnsi="Calibri"/>
          <w:b w:val="false"/>
          <w:bCs w:val="false"/>
          <w:i w:val="false"/>
          <w:iCs w:val="false"/>
          <w:color w:val="1A1A1A"/>
          <w:sz w:val="22"/>
          <w:szCs w:val="22"/>
        </w:rPr>
        <w:t xml:space="preserve">The Health Dividend is not charity; it is the least expensive prevention Ghana can buy. A prevented cholera case costs a fraction of a treated one, and outdoor air pollution alone cost the country an estimated 1.9 billion United States dollars, or 2.3 percent of national output, in 2024. Preventing illness is a budget line, not a donation, and every partner in the table below has an aligned interest rather than a charitable one.</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2700"/>
        <w:gridCol w:w="3300"/>
        <w:gridCol w:w="3360"/>
      </w:tblGrid>
      <w:tr>
        <w:trPr>
          <w:tblHeader/>
        </w:trPr>
        <w:tc>
          <w:tcPr>
            <w:tcW w:type="dxa" w:w="27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Partner</w:t>
            </w:r>
          </w:p>
        </w:tc>
        <w:tc>
          <w:tcPr>
            <w:tcW w:type="dxa" w:w="33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What they fund</w:t>
            </w:r>
          </w:p>
        </w:tc>
        <w:tc>
          <w:tcPr>
            <w:tcW w:type="dxa" w:w="33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Why it serves their interest</w:t>
            </w:r>
          </w:p>
        </w:tc>
      </w:tr>
      <w:tr>
        <w:tc>
          <w:tcPr>
            <w:tcW w:type="dxa" w:w="27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National Health Insurance Authority</w:t>
            </w:r>
          </w:p>
        </w:tc>
        <w:tc>
          <w:tcPr>
            <w:tcW w:type="dxa" w:w="33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Registration and renewal credits</w:t>
            </w:r>
          </w:p>
        </w:tc>
        <w:tc>
          <w:tcPr>
            <w:tcW w:type="dxa" w:w="33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Every Guardian enrolled widens the risk pool and lifts renewal rates, a standing objective</w:t>
            </w:r>
          </w:p>
        </w:tc>
      </w:tr>
      <w:tr>
        <w:tc>
          <w:tcPr>
            <w:tcW w:type="dxa" w:w="27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Telecommunications operators</w:t>
            </w:r>
          </w:p>
        </w:tc>
        <w:tc>
          <w:tcPr>
            <w:tcW w:type="dxa" w:w="33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Airtime, data, and message and menu-code costs</w:t>
            </w:r>
          </w:p>
        </w:tc>
        <w:tc>
          <w:tcPr>
            <w:tcW w:type="dxa" w:w="33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National-scale association with a public-health movement and increased traffic</w:t>
            </w:r>
          </w:p>
        </w:tc>
      </w:tr>
      <w:tr>
        <w:tc>
          <w:tcPr>
            <w:tcW w:type="dxa" w:w="27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Private hospitals and diagnostic chains</w:t>
            </w:r>
          </w:p>
        </w:tc>
        <w:tc>
          <w:tcPr>
            <w:tcW w:type="dxa" w:w="33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Screening days and check-up packages</w:t>
            </w:r>
          </w:p>
        </w:tc>
        <w:tc>
          <w:tcPr>
            <w:tcW w:type="dxa" w:w="33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Low marginal cost, strong goodwill, and a pipeline of newly insured patients</w:t>
            </w:r>
          </w:p>
        </w:tc>
      </w:tr>
      <w:tr>
        <w:tc>
          <w:tcPr>
            <w:tcW w:type="dxa" w:w="27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District Assemblies</w:t>
            </w:r>
          </w:p>
        </w:tc>
        <w:tc>
          <w:tcPr>
            <w:tcW w:type="dxa" w:w="33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Community Dividend works such as drains and water points</w:t>
            </w:r>
          </w:p>
        </w:tc>
        <w:tc>
          <w:tcPr>
            <w:tcW w:type="dxa" w:w="33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These are already their statutory responsibilities, now precisely targeted</w:t>
            </w:r>
          </w:p>
        </w:tc>
      </w:tr>
      <w:tr>
        <w:tc>
          <w:tcPr>
            <w:tcW w:type="dxa" w:w="27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Development partners and climate finance</w:t>
            </w:r>
          </w:p>
        </w:tc>
        <w:tc>
          <w:tcPr>
            <w:tcW w:type="dxa" w:w="33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Platform operations and northern expansion</w:t>
            </w:r>
          </w:p>
        </w:tc>
        <w:tc>
          <w:tcPr>
            <w:tcW w:type="dxa" w:w="33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Measurable adaptation outcomes with clear indicators</w:t>
            </w:r>
          </w:p>
        </w:tc>
      </w:tr>
      <w:tr>
        <w:tc>
          <w:tcPr>
            <w:tcW w:type="dxa" w:w="27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Corporate sponsors</w:t>
            </w:r>
          </w:p>
        </w:tc>
        <w:tc>
          <w:tcPr>
            <w:tcW w:type="dxa" w:w="33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District sponsorship of distinctions and Health Days</w:t>
            </w:r>
          </w:p>
        </w:tc>
        <w:tc>
          <w:tcPr>
            <w:tcW w:type="dxa" w:w="33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Named, measurable and geographically specific social investment</w:t>
            </w:r>
          </w:p>
        </w:tc>
      </w:tr>
      <w:tr>
        <w:tc>
          <w:tcPr>
            <w:tcW w:type="dxa" w:w="27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Ministry of Health and Health Service</w:t>
            </w:r>
          </w:p>
        </w:tc>
        <w:tc>
          <w:tcPr>
            <w:tcW w:type="dxa" w:w="33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Integration, clinician alerts and surveillance linkage</w:t>
            </w:r>
          </w:p>
        </w:tc>
        <w:tc>
          <w:tcPr>
            <w:tcW w:type="dxa" w:w="33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Cheaper than outbreak response and strengthens existing systems</w:t>
            </w:r>
          </w:p>
        </w:tc>
      </w:tr>
    </w:tbl>
    <w:p>
      <w:pPr>
        <w:spacing w:after="130" w:line="276"/>
        <w:jc w:val="both"/>
      </w:pPr>
      <w:r>
        <w:rPr>
          <w:rFonts w:ascii="Calibri" w:cs="Calibri" w:eastAsia="Calibri" w:hAnsi="Calibri"/>
          <w:b w:val="false"/>
          <w:bCs w:val="false"/>
          <w:i w:val="false"/>
          <w:iCs w:val="false"/>
          <w:color w:val="1A1A1A"/>
          <w:sz w:val="22"/>
          <w:szCs w:val="22"/>
        </w:rPr>
        <w:t xml:space="preserve">The proposition to a funder reduces to a single sentence: for roughly the cost of one insurance renewal, a partner buys a year of an active citizen’s environmental surveillance, their household’s health literacy, and their insurance coverage, all at once.</w:t>
      </w:r>
    </w:p>
    <w:p>
      <w:pPr>
        <w:pStyle w:val="Heading1"/>
        <w:keepNext/>
        <w:spacing w:after="140" w:before="360"/>
      </w:pPr>
      <w:r>
        <w:rPr>
          <w:rFonts w:ascii="Georgia" w:cs="Georgia" w:eastAsia="Georgia" w:hAnsi="Georgia"/>
          <w:b/>
          <w:bCs/>
          <w:color w:val="1B5E44"/>
          <w:sz w:val="30"/>
          <w:szCs w:val="30"/>
        </w:rPr>
        <w:t xml:space="preserve">16. Resource Readiness Score</w:t>
      </w:r>
    </w:p>
    <w:p>
      <w:pPr>
        <w:spacing w:after="130" w:line="276"/>
        <w:jc w:val="both"/>
      </w:pPr>
      <w:r>
        <w:rPr>
          <w:rFonts w:ascii="Calibri" w:cs="Calibri" w:eastAsia="Calibri" w:hAnsi="Calibri"/>
          <w:b w:val="false"/>
          <w:bCs w:val="false"/>
          <w:i w:val="false"/>
          <w:iCs w:val="false"/>
          <w:color w:val="1A1A1A"/>
          <w:sz w:val="22"/>
          <w:szCs w:val="22"/>
        </w:rPr>
        <w:t xml:space="preserve">The Resource Readiness Score shows whether a district is prepared for a predicted risk, comparing the level of risk against clinic stock and the volume of community reports to produce a readiness status. It addresses a real failure mode, in which supplies and vaccines have historically reached districts only after a disease had already spread. A typical recommendation would state that a district has high cholera risk and low chlorine-tablet stock, that current supplies can meet only a portion of expected need, and that additional supplies should be dispatched within a stated number of hours.</w:t>
      </w:r>
    </w:p>
    <w:tbl>
      <w:tblPr>
        <w:tblW w:type="dxa" w:w="9360"/>
        <w:tblBorders>
          <w:top w:val="single" w:color="CFD8D3" w:sz="4"/>
          <w:left w:val="single" w:color="CFD8D3" w:sz="4"/>
          <w:bottom w:val="single" w:color="CFD8D3" w:sz="4"/>
          <w:right w:val="single" w:color="CFD8D3" w:sz="4"/>
          <w:insideH w:val="single" w:color="CFD8D3" w:sz="4"/>
          <w:insideV w:val="single" w:color="CFD8D3" w:sz="4"/>
        </w:tblBorders>
      </w:tblPr>
      <w:tblGrid>
        <w:gridCol w:w="1900"/>
        <w:gridCol w:w="2300"/>
        <w:gridCol w:w="2360"/>
        <w:gridCol w:w="1200"/>
        <w:gridCol w:w="1600"/>
      </w:tblGrid>
      <w:tr>
        <w:trPr>
          <w:tblHeader/>
        </w:trPr>
        <w:tc>
          <w:tcPr>
            <w:tcW w:type="dxa" w:w="19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District</w:t>
            </w:r>
          </w:p>
        </w:tc>
        <w:tc>
          <w:tcPr>
            <w:tcW w:type="dxa" w:w="23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Leading risk</w:t>
            </w:r>
          </w:p>
        </w:tc>
        <w:tc>
          <w:tcPr>
            <w:tcW w:type="dxa" w:w="236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Clinic stock</w:t>
            </w:r>
          </w:p>
        </w:tc>
        <w:tc>
          <w:tcPr>
            <w:tcW w:type="dxa" w:w="12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Reports</w:t>
            </w:r>
          </w:p>
        </w:tc>
        <w:tc>
          <w:tcPr>
            <w:tcW w:type="dxa" w:w="1600"/>
            <w:shd w:fill="1B5E4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Readiness</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Madina</w:t>
            </w:r>
          </w:p>
        </w:tc>
        <w:tc>
          <w:tcPr>
            <w:tcW w:type="dxa" w:w="23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High malaria</w:t>
            </w:r>
          </w:p>
        </w:tc>
        <w:tc>
          <w:tcPr>
            <w:tcW w:type="dxa" w:w="23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Low test kits</w:t>
            </w:r>
          </w:p>
        </w:tc>
        <w:tc>
          <w:tcPr>
            <w:tcW w:type="dxa" w:w="12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High</w:t>
            </w:r>
          </w:p>
        </w:tc>
        <w:tc>
          <w:tcPr>
            <w:tcW w:type="dxa" w:w="16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Critical</w:t>
            </w:r>
          </w:p>
        </w:tc>
      </w:tr>
      <w:tr>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Ada East</w:t>
            </w:r>
          </w:p>
        </w:tc>
        <w:tc>
          <w:tcPr>
            <w:tcW w:type="dxa" w:w="23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High cholera</w:t>
            </w:r>
          </w:p>
        </w:tc>
        <w:tc>
          <w:tcPr>
            <w:tcW w:type="dxa" w:w="23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Low chlorine tablets</w:t>
            </w:r>
          </w:p>
        </w:tc>
        <w:tc>
          <w:tcPr>
            <w:tcW w:type="dxa" w:w="12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High</w:t>
            </w:r>
          </w:p>
        </w:tc>
        <w:tc>
          <w:tcPr>
            <w:tcW w:type="dxa" w:w="16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Emergency</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Wa Municipal</w:t>
            </w:r>
          </w:p>
        </w:tc>
        <w:tc>
          <w:tcPr>
            <w:tcW w:type="dxa" w:w="23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High meningitis</w:t>
            </w:r>
          </w:p>
        </w:tc>
        <w:tc>
          <w:tcPr>
            <w:tcW w:type="dxa" w:w="23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Limited antibiotics</w:t>
            </w:r>
          </w:p>
        </w:tc>
        <w:tc>
          <w:tcPr>
            <w:tcW w:type="dxa" w:w="12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Medium</w:t>
            </w:r>
          </w:p>
        </w:tc>
        <w:tc>
          <w:tcPr>
            <w:tcW w:type="dxa" w:w="16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Critical</w:t>
            </w:r>
          </w:p>
        </w:tc>
      </w:tr>
      <w:tr>
        <w:tc>
          <w:tcPr>
            <w:tcW w:type="dxa" w:w="19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A1A1A"/>
                <w:sz w:val="19"/>
                <w:szCs w:val="19"/>
              </w:rPr>
              <w:t xml:space="preserve">Tamale Metro</w:t>
            </w:r>
          </w:p>
        </w:tc>
        <w:tc>
          <w:tcPr>
            <w:tcW w:type="dxa" w:w="23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High respiratory</w:t>
            </w:r>
          </w:p>
        </w:tc>
        <w:tc>
          <w:tcPr>
            <w:tcW w:type="dxa" w:w="236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Adequate inhalers</w:t>
            </w:r>
          </w:p>
        </w:tc>
        <w:tc>
          <w:tcPr>
            <w:tcW w:type="dxa" w:w="12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Medium</w:t>
            </w:r>
          </w:p>
        </w:tc>
        <w:tc>
          <w:tcPr>
            <w:tcW w:type="dxa" w:w="1600"/>
            <w:shd w:fill="EEF3F1"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A1A1A"/>
                <w:sz w:val="19"/>
                <w:szCs w:val="19"/>
              </w:rPr>
              <w:t xml:space="preserve">Prepared</w:t>
            </w:r>
          </w:p>
        </w:tc>
      </w:tr>
    </w:tbl>
    <w:p>
      <w:pPr>
        <w:pStyle w:val="Heading1"/>
        <w:keepNext/>
        <w:spacing w:after="140" w:before="360"/>
      </w:pPr>
      <w:r>
        <w:rPr>
          <w:rFonts w:ascii="Georgia" w:cs="Georgia" w:eastAsia="Georgia" w:hAnsi="Georgia"/>
          <w:b/>
          <w:bCs/>
          <w:color w:val="1B5E44"/>
          <w:sz w:val="30"/>
          <w:szCs w:val="30"/>
        </w:rPr>
        <w:t xml:space="preserve">17. The Hackathon Prototype</w:t>
      </w:r>
    </w:p>
    <w:p>
      <w:pPr>
        <w:spacing w:after="130" w:line="276"/>
        <w:jc w:val="both"/>
      </w:pPr>
      <w:r>
        <w:rPr>
          <w:rFonts w:ascii="Calibri" w:cs="Calibri" w:eastAsia="Calibri" w:hAnsi="Calibri"/>
          <w:b w:val="false"/>
          <w:bCs w:val="false"/>
          <w:i w:val="false"/>
          <w:iCs w:val="false"/>
          <w:color w:val="1A1A1A"/>
          <w:sz w:val="22"/>
          <w:szCs w:val="22"/>
        </w:rPr>
        <w:t xml:space="preserve">For the hackathon, the team will build a working prototype rather than a full national system. It will include:</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An interactive map of Ghana showing district-level risk across the Tier 1 conditions, with hazard filters and district distinctions.</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A working Signal-to-Syndrome Engine that takes climate inputs for a district and returns ranked health risks with explanations and lag windows, running on the threshold engine with live public climate feeds and a visible confidence indication.</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A demonstration of the Agency Command Platform, with role-based views for at least three agencies sharing one Incident Room timeline.</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A demonstration of the Dawuro public application, including the daily forecast, Community Watch reporting and the Climate Guardians experience.</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The gamification built to depth, including the daily quiz, one quiz duel round, the mission flow, a live points record and a simulated insurance renewal redemption.</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One Anansi mini-game for the children’s tier, the action recommendation engine, the resource readiness dashboard, and a simulation of message and menu-code alerts.</w:t>
      </w:r>
    </w:p>
    <w:p>
      <w:pPr>
        <w:pStyle w:val="Heading1"/>
        <w:keepNext/>
        <w:spacing w:after="140" w:before="360"/>
      </w:pPr>
      <w:r>
        <w:rPr>
          <w:rFonts w:ascii="Georgia" w:cs="Georgia" w:eastAsia="Georgia" w:hAnsi="Georgia"/>
          <w:b/>
          <w:bCs/>
          <w:color w:val="1B5E44"/>
          <w:sz w:val="30"/>
          <w:szCs w:val="30"/>
        </w:rPr>
        <w:t xml:space="preserve">18. Demonstration Story</w:t>
      </w:r>
    </w:p>
    <w:p>
      <w:pPr>
        <w:spacing w:after="130" w:line="276"/>
        <w:jc w:val="both"/>
      </w:pPr>
      <w:r>
        <w:rPr>
          <w:rFonts w:ascii="Calibri" w:cs="Calibri" w:eastAsia="Calibri" w:hAnsi="Calibri"/>
          <w:b w:val="false"/>
          <w:bCs w:val="false"/>
          <w:i w:val="false"/>
          <w:iCs w:val="false"/>
          <w:color w:val="1A1A1A"/>
          <w:sz w:val="22"/>
          <w:szCs w:val="22"/>
        </w:rPr>
        <w:t xml:space="preserve">The demonstration follows two contrasting hazards, to show that the platform is not a single-disease tool.</w:t>
      </w:r>
    </w:p>
    <w:p>
      <w:pPr>
        <w:pStyle w:val="Heading3"/>
        <w:keepNext/>
        <w:spacing w:after="70" w:before="160"/>
      </w:pPr>
      <w:r>
        <w:rPr>
          <w:rFonts w:ascii="Calibri" w:cs="Calibri" w:eastAsia="Calibri" w:hAnsi="Calibri"/>
          <w:b/>
          <w:bCs/>
          <w:color w:val="1A1A1A"/>
          <w:sz w:val="22"/>
          <w:szCs w:val="22"/>
        </w:rPr>
        <w:t xml:space="preserve">Scenario A: rain and malaria in Madina, in the south</w:t>
      </w:r>
    </w:p>
    <w:p>
      <w:pPr>
        <w:spacing w:after="130" w:line="276"/>
        <w:jc w:val="both"/>
      </w:pPr>
      <w:r>
        <w:rPr>
          <w:rFonts w:ascii="Calibri" w:cs="Calibri" w:eastAsia="Calibri" w:hAnsi="Calibri"/>
          <w:b w:val="false"/>
          <w:bCs w:val="false"/>
          <w:i w:val="false"/>
          <w:iCs w:val="false"/>
          <w:color w:val="1A1A1A"/>
          <w:sz w:val="22"/>
          <w:szCs w:val="22"/>
        </w:rPr>
        <w:t xml:space="preserve">Heavy rainfall and high humidity are detected in Madina. A teenage Risk Scout receives a weather-triggered lesson and a mission to find stagnant water, reports a stagnant pool with a photograph and location, and the report is verified and earns points. The engine combines the climate data, the report and historical patterns to produce a high malaria risk within ten days, and Madina turns red on the map. The explainable alert shows exactly why. The Incident Room opens and assigns test kits and nets to the Health Service, drain clearing to the District Assembly, prevention messaging to volunteers, and school advisories to the Education Service. Residents receive the forecast in their language. Agencies mark their actions complete, and the timeline updates. The window passes with no outbreak, the district earns a distinction, and the contributing Guardians are recognised. The Risk Scout crosses a level threshold and gifts the insurance renewal she has just unlocked to her grandmother.</w:t>
      </w:r>
    </w:p>
    <w:p>
      <w:pPr>
        <w:pStyle w:val="Heading3"/>
        <w:keepNext/>
        <w:spacing w:after="70" w:before="160"/>
      </w:pPr>
      <w:r>
        <w:rPr>
          <w:rFonts w:ascii="Calibri" w:cs="Calibri" w:eastAsia="Calibri" w:hAnsi="Calibri"/>
          <w:b/>
          <w:bCs/>
          <w:color w:val="1A1A1A"/>
          <w:sz w:val="22"/>
          <w:szCs w:val="22"/>
        </w:rPr>
        <w:t xml:space="preserve">Scenario B: Harmattan and meningitis in Wa, in the north</w:t>
      </w:r>
    </w:p>
    <w:p>
      <w:pPr>
        <w:spacing w:after="130" w:line="276"/>
        <w:jc w:val="both"/>
      </w:pPr>
      <w:r>
        <w:rPr>
          <w:rFonts w:ascii="Calibri" w:cs="Calibri" w:eastAsia="Calibri" w:hAnsi="Calibri"/>
          <w:b w:val="false"/>
          <w:bCs w:val="false"/>
          <w:i w:val="false"/>
          <w:iCs w:val="false"/>
          <w:color w:val="1A1A1A"/>
          <w:sz w:val="22"/>
          <w:szCs w:val="22"/>
        </w:rPr>
        <w:t xml:space="preserve">The map switches to the north. The same engine, given a completely different signal set of dust, dry air and no rain, produces a completely different health brief: meningitis first, respiratory illness second, malaria falling. Different medicines, different agencies, a different public lesson, a different children’s game and a different quiz. One platform, two regions, two seasons and two entirely different health emergencies, handled by the same intelligence.</w:t>
      </w:r>
    </w:p>
    <w:p>
      <w:r>
        <w:br w:type="page"/>
      </w:r>
    </w:p>
    <w:p>
      <w:pPr>
        <w:pStyle w:val="Heading1"/>
        <w:keepNext/>
        <w:spacing w:after="140" w:before="360"/>
      </w:pPr>
      <w:r>
        <w:rPr>
          <w:rFonts w:ascii="Georgia" w:cs="Georgia" w:eastAsia="Georgia" w:hAnsi="Georgia"/>
          <w:b/>
          <w:bCs/>
          <w:color w:val="1B5E44"/>
          <w:sz w:val="30"/>
          <w:szCs w:val="30"/>
        </w:rPr>
        <w:t xml:space="preserve">19. What Makes ClimaHealth Predict New</w:t>
      </w:r>
    </w:p>
    <w:p>
      <w:pPr>
        <w:spacing w:after="130" w:line="276"/>
        <w:jc w:val="both"/>
      </w:pPr>
      <w:r>
        <w:rPr>
          <w:rFonts w:ascii="Calibri" w:cs="Calibri" w:eastAsia="Calibri" w:hAnsi="Calibri"/>
          <w:b w:val="false"/>
          <w:bCs w:val="false"/>
          <w:i w:val="false"/>
          <w:iCs w:val="false"/>
          <w:color w:val="1A1A1A"/>
          <w:sz w:val="22"/>
          <w:szCs w:val="22"/>
        </w:rPr>
        <w:t xml:space="preserve">Several tools address parts of the climate and health challenge. Weather services forecast the weather. Surveillance systems record cases after they occur. Health applications offer general advice. ClimaHealth Predict is distinguished by connecting these into a single system that predicts, coordinates, educates and rewards, and by introducing features that, to the best of our knowledge, do not exist together in any comparable platform. The innovations below are presented in order of significance.</w:t>
      </w:r>
    </w:p>
    <w:p>
      <w:pPr>
        <w:pStyle w:val="Heading2"/>
        <w:keepNext/>
        <w:spacing w:after="90" w:before="240"/>
      </w:pPr>
      <w:r>
        <w:rPr>
          <w:rFonts w:ascii="Georgia" w:cs="Georgia" w:eastAsia="Georgia" w:hAnsi="Georgia"/>
          <w:b/>
          <w:bCs/>
          <w:color w:val="1A1A1A"/>
          <w:sz w:val="24"/>
          <w:szCs w:val="24"/>
        </w:rPr>
        <w:t xml:space="preserve">19.1 Prediction Framed From the Climate Signal, Not the Disease</w:t>
      </w:r>
    </w:p>
    <w:p>
      <w:pPr>
        <w:spacing w:after="130" w:line="276"/>
        <w:jc w:val="both"/>
      </w:pPr>
      <w:r>
        <w:rPr>
          <w:rFonts w:ascii="Calibri" w:cs="Calibri" w:eastAsia="Calibri" w:hAnsi="Calibri"/>
          <w:b w:val="false"/>
          <w:bCs w:val="false"/>
          <w:i w:val="false"/>
          <w:iCs w:val="false"/>
          <w:color w:val="1A1A1A"/>
          <w:sz w:val="22"/>
          <w:szCs w:val="22"/>
        </w:rPr>
        <w:t xml:space="preserve">Existing health-risk tools generally begin with a single disease and monitor its known causes. This platform inverts that, beginning with the climate signal in a district and determining every health consequence that signal implies, ranked by likelihood and timing. A single episode of heavy rainfall is assessed not only for malaria but simultaneously for cholera, typhoid and other water-related conditions, each with its own delay and its own most-affected group. This is the foundation on which every other feature rests.</w:t>
      </w:r>
    </w:p>
    <w:p>
      <w:pPr>
        <w:pStyle w:val="Heading2"/>
        <w:keepNext/>
        <w:spacing w:after="90" w:before="240"/>
      </w:pPr>
      <w:r>
        <w:rPr>
          <w:rFonts w:ascii="Georgia" w:cs="Georgia" w:eastAsia="Georgia" w:hAnsi="Georgia"/>
          <w:b/>
          <w:bCs/>
          <w:color w:val="1A1A1A"/>
          <w:sz w:val="24"/>
          <w:szCs w:val="24"/>
        </w:rPr>
        <w:t xml:space="preserve">19.2 Rewarding the Outbreak That Never Happened</w:t>
      </w:r>
    </w:p>
    <w:p>
      <w:pPr>
        <w:spacing w:after="130" w:line="276"/>
        <w:jc w:val="both"/>
      </w:pPr>
      <w:r>
        <w:rPr>
          <w:rFonts w:ascii="Calibri" w:cs="Calibri" w:eastAsia="Calibri" w:hAnsi="Calibri"/>
          <w:b w:val="false"/>
          <w:bCs w:val="false"/>
          <w:i w:val="false"/>
          <w:iCs w:val="false"/>
          <w:color w:val="1A1A1A"/>
          <w:sz w:val="22"/>
          <w:szCs w:val="22"/>
        </w:rPr>
        <w:t xml:space="preserve">The most original feature addresses a problem that has frustrated public health for generations: when prevention succeeds, nothing visible occurs, and an effort with no visible result is hard to motivate and hard to fund. The platform makes successful prevention visible and rewards it. To our knowledge, no other public-facing health platform rewards its users for a harmful event that did not take place, and the mechanic is only possible because the platform can establish that risk was elevated in the first place, which means it cannot be copied by any tool that does not forecast.</w:t>
      </w:r>
    </w:p>
    <w:p>
      <w:pPr>
        <w:pStyle w:val="Heading2"/>
        <w:keepNext/>
        <w:spacing w:after="90" w:before="240"/>
      </w:pPr>
      <w:r>
        <w:rPr>
          <w:rFonts w:ascii="Georgia" w:cs="Georgia" w:eastAsia="Georgia" w:hAnsi="Georgia"/>
          <w:b/>
          <w:bCs/>
          <w:color w:val="1A1A1A"/>
          <w:sz w:val="24"/>
          <w:szCs w:val="24"/>
        </w:rPr>
        <w:t xml:space="preserve">19.3 Teaching at the Moment the Lesson Becomes True</w:t>
      </w:r>
    </w:p>
    <w:p>
      <w:pPr>
        <w:spacing w:after="130" w:line="276"/>
        <w:jc w:val="both"/>
      </w:pPr>
      <w:r>
        <w:rPr>
          <w:rFonts w:ascii="Calibri" w:cs="Calibri" w:eastAsia="Calibri" w:hAnsi="Calibri"/>
          <w:b w:val="false"/>
          <w:bCs w:val="false"/>
          <w:i w:val="false"/>
          <w:iCs w:val="false"/>
          <w:color w:val="1A1A1A"/>
          <w:sz w:val="22"/>
          <w:szCs w:val="22"/>
        </w:rPr>
        <w:t xml:space="preserve">Conventional health education presents information to be absorbed at some future time, and most of it is never read. This platform delivers a short lesson only when surrounding conditions make it immediately relevant, and each lesson concludes with a practical task in the user’s own community. This pairing of just-in-time education with real-world action is, in our assessment, novel in the Ghanaian health context.</w:t>
      </w:r>
    </w:p>
    <w:p>
      <w:pPr>
        <w:pStyle w:val="Heading2"/>
        <w:keepNext/>
        <w:spacing w:after="90" w:before="240"/>
      </w:pPr>
      <w:r>
        <w:rPr>
          <w:rFonts w:ascii="Georgia" w:cs="Georgia" w:eastAsia="Georgia" w:hAnsi="Georgia"/>
          <w:b/>
          <w:bCs/>
          <w:color w:val="1A1A1A"/>
          <w:sz w:val="24"/>
          <w:szCs w:val="24"/>
        </w:rPr>
        <w:t xml:space="preserve">19.4 Converting Engagement Into Real Healthcare</w:t>
      </w:r>
    </w:p>
    <w:p>
      <w:pPr>
        <w:spacing w:after="130" w:line="276"/>
        <w:jc w:val="both"/>
      </w:pPr>
      <w:r>
        <w:rPr>
          <w:rFonts w:ascii="Calibri" w:cs="Calibri" w:eastAsia="Calibri" w:hAnsi="Calibri"/>
          <w:b w:val="false"/>
          <w:bCs w:val="false"/>
          <w:i w:val="false"/>
          <w:iCs w:val="false"/>
          <w:color w:val="1A1A1A"/>
          <w:sz w:val="22"/>
          <w:szCs w:val="22"/>
        </w:rPr>
        <w:t xml:space="preserve">Many applications reward participation with points and badges of no material value. This platform converts participation into healthcare itself, including the payment of a citizen’s national health insurance. This is practical rather than aspirational, because insurance renewal already runs through mobile channels, so the platform connects to an existing national pathway rather than building a new one.</w:t>
      </w:r>
    </w:p>
    <w:p>
      <w:pPr>
        <w:pStyle w:val="Heading2"/>
        <w:keepNext/>
        <w:spacing w:after="90" w:before="240"/>
      </w:pPr>
      <w:r>
        <w:rPr>
          <w:rFonts w:ascii="Georgia" w:cs="Georgia" w:eastAsia="Georgia" w:hAnsi="Georgia"/>
          <w:b/>
          <w:bCs/>
          <w:color w:val="1A1A1A"/>
          <w:sz w:val="24"/>
          <w:szCs w:val="24"/>
        </w:rPr>
        <w:t xml:space="preserve">19.5 A Shared Accountability Record Across Agencies</w:t>
      </w:r>
    </w:p>
    <w:p>
      <w:pPr>
        <w:spacing w:after="130" w:line="276"/>
        <w:jc w:val="both"/>
      </w:pPr>
      <w:r>
        <w:rPr>
          <w:rFonts w:ascii="Calibri" w:cs="Calibri" w:eastAsia="Calibri" w:hAnsi="Calibri"/>
          <w:b w:val="false"/>
          <w:bCs w:val="false"/>
          <w:i w:val="false"/>
          <w:iCs w:val="false"/>
          <w:color w:val="1A1A1A"/>
          <w:sz w:val="22"/>
          <w:szCs w:val="22"/>
        </w:rPr>
        <w:t xml:space="preserve">Outbreak response involves many institutions, and failures commonly occur in the gaps between them. The platform provides a shared record in which every agency’s assigned action for an alert is visible to all others on one timeline, with its status shown as complete or outstanding, so that a delay by any single actor becomes apparent while there is still time to correct it. A shared, cross-agency accountability record of this kind is uncommon in routine public-health operations.</w:t>
      </w:r>
    </w:p>
    <w:p>
      <w:pPr>
        <w:pStyle w:val="Heading2"/>
        <w:keepNext/>
        <w:spacing w:after="90" w:before="240"/>
      </w:pPr>
      <w:r>
        <w:rPr>
          <w:rFonts w:ascii="Georgia" w:cs="Georgia" w:eastAsia="Georgia" w:hAnsi="Georgia"/>
          <w:b/>
          <w:bCs/>
          <w:color w:val="1A1A1A"/>
          <w:sz w:val="24"/>
          <w:szCs w:val="24"/>
        </w:rPr>
        <w:t xml:space="preserve">19.6 A System That States Its Own Confidence</w:t>
      </w:r>
    </w:p>
    <w:p>
      <w:pPr>
        <w:spacing w:after="130" w:line="276"/>
        <w:jc w:val="both"/>
      </w:pPr>
      <w:r>
        <w:rPr>
          <w:rFonts w:ascii="Calibri" w:cs="Calibri" w:eastAsia="Calibri" w:hAnsi="Calibri"/>
          <w:b w:val="false"/>
          <w:bCs w:val="false"/>
          <w:i w:val="false"/>
          <w:iCs w:val="false"/>
          <w:color w:val="1A1A1A"/>
          <w:sz w:val="22"/>
          <w:szCs w:val="22"/>
        </w:rPr>
        <w:t xml:space="preserve">The platform continues to produce a usable answer even when data is incomplete, and, unusually, declares how much that answer should be trusted, labelling every output with the level that produced it. A system that openly communicates the confidence of each of its own predictions, rather than presenting all outputs with equal and unwarranted certainty, earns a level of trust that opaque systems cannot.</w:t>
      </w:r>
    </w:p>
    <w:p>
      <w:pPr>
        <w:pStyle w:val="Heading2"/>
        <w:keepNext/>
        <w:spacing w:after="90" w:before="240"/>
      </w:pPr>
      <w:r>
        <w:rPr>
          <w:rFonts w:ascii="Georgia" w:cs="Georgia" w:eastAsia="Georgia" w:hAnsi="Georgia"/>
          <w:b/>
          <w:bCs/>
          <w:color w:val="1A1A1A"/>
          <w:sz w:val="24"/>
          <w:szCs w:val="24"/>
        </w:rPr>
        <w:t xml:space="preserve">19.7 Inclusion as a Built Feature</w:t>
      </w:r>
    </w:p>
    <w:p>
      <w:pPr>
        <w:spacing w:after="130" w:line="276"/>
        <w:jc w:val="both"/>
      </w:pPr>
      <w:r>
        <w:rPr>
          <w:rFonts w:ascii="Calibri" w:cs="Calibri" w:eastAsia="Calibri" w:hAnsi="Calibri"/>
          <w:b w:val="false"/>
          <w:bCs w:val="false"/>
          <w:i w:val="false"/>
          <w:iCs w:val="false"/>
          <w:color w:val="1A1A1A"/>
          <w:sz w:val="22"/>
          <w:szCs w:val="22"/>
        </w:rPr>
        <w:t xml:space="preserve">Finally, the depth of inclusion described in Section 13 is itself distinguishing. A single climate-health platform that serves blind, deaf and deaf-blind citizens, that functions on a basic telephone and by voice, that operates in several Ghanaian languages, and that spans every age from young children to the elderly represents a breadth of access rarely achieved in one product. Here, inclusion is part of the architecture rather than a compliance exercise added at the end.</w:t>
      </w:r>
    </w:p>
    <w:p>
      <w:pPr>
        <w:pStyle w:val="Heading1"/>
        <w:keepNext/>
        <w:spacing w:after="140" w:before="360"/>
      </w:pPr>
      <w:r>
        <w:rPr>
          <w:rFonts w:ascii="Georgia" w:cs="Georgia" w:eastAsia="Georgia" w:hAnsi="Georgia"/>
          <w:b/>
          <w:bCs/>
          <w:color w:val="1B5E44"/>
          <w:sz w:val="30"/>
          <w:szCs w:val="30"/>
        </w:rPr>
        <w:t xml:space="preserve">20. Why People Will Use It, and Keep Using It</w:t>
      </w:r>
    </w:p>
    <w:p>
      <w:pPr>
        <w:spacing w:after="130" w:line="276"/>
        <w:jc w:val="both"/>
      </w:pPr>
      <w:r>
        <w:rPr>
          <w:rFonts w:ascii="Calibri" w:cs="Calibri" w:eastAsia="Calibri" w:hAnsi="Calibri"/>
          <w:b w:val="false"/>
          <w:bCs w:val="false"/>
          <w:i w:val="false"/>
          <w:iCs w:val="false"/>
          <w:color w:val="1A1A1A"/>
          <w:sz w:val="22"/>
          <w:szCs w:val="22"/>
        </w:rPr>
        <w:t xml:space="preserve">A platform succeeds only if people adopt it and continue to rely on it. Public-health tools often fail at this point, not because they are poorly built, but because they ask citizens for effort while offering nothing of clear personal value in return. ClimaHealth Predict is designed around deliberate reasons for a citizen, a community and an institution to begin using it and to remain engaged.</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It delivers a clear personal benefit every day. </w:t>
      </w:r>
      <w:r>
        <w:rPr>
          <w:rFonts w:ascii="Calibri" w:cs="Calibri" w:eastAsia="Calibri" w:hAnsi="Calibri"/>
          <w:b w:val="false"/>
          <w:bCs w:val="false"/>
          <w:i w:val="false"/>
          <w:iCs w:val="false"/>
          <w:color w:val="1A1A1A"/>
          <w:sz w:val="22"/>
          <w:szCs w:val="22"/>
        </w:rPr>
        <w:t xml:space="preserve">Each citizen receives a simple daily statement of the health risks in their district and the actions to take, attached to the habit of checking the weather that millions already keep. A service that protects one’s own household, in a familiar format, does not require persuasion to be valued.</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The rewards are real and personally meaningful. </w:t>
      </w:r>
      <w:r>
        <w:rPr>
          <w:rFonts w:ascii="Calibri" w:cs="Calibri" w:eastAsia="Calibri" w:hAnsi="Calibri"/>
          <w:b w:val="false"/>
          <w:bCs w:val="false"/>
          <w:i w:val="false"/>
          <w:iCs w:val="false"/>
          <w:color w:val="1A1A1A"/>
          <w:sz w:val="22"/>
          <w:szCs w:val="22"/>
        </w:rPr>
        <w:t xml:space="preserve">Where other platforms offer symbolic recognition, this platform offers screenings, check-ups and paid health insurance. In a setting where a lapsed card or an unaffordable clinic visit is a genuine hardship, a reward denominated in real healthcare is a powerful and continuing incentive, and because a young person can direct a reward to an older relative, it draws in family members too.</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It builds community pride and healthy competition. </w:t>
      </w:r>
      <w:r>
        <w:rPr>
          <w:rFonts w:ascii="Calibri" w:cs="Calibri" w:eastAsia="Calibri" w:hAnsi="Calibri"/>
          <w:b w:val="false"/>
          <w:bCs w:val="false"/>
          <w:i w:val="false"/>
          <w:iCs w:val="false"/>
          <w:color w:val="1A1A1A"/>
          <w:sz w:val="22"/>
          <w:szCs w:val="22"/>
        </w:rPr>
        <w:t xml:space="preserve">Districts earn public distinction for prevented outbreaks and compare their standing with their neighbours. Community pride and local rivalry are strong, self-sustaining forces that turn individual participation into a shared endeavour.</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Participation produces something visible and respected. </w:t>
      </w:r>
      <w:r>
        <w:rPr>
          <w:rFonts w:ascii="Calibri" w:cs="Calibri" w:eastAsia="Calibri" w:hAnsi="Calibri"/>
          <w:b w:val="false"/>
          <w:bCs w:val="false"/>
          <w:i w:val="false"/>
          <w:iCs w:val="false"/>
          <w:color w:val="1A1A1A"/>
          <w:sz w:val="22"/>
          <w:szCs w:val="22"/>
        </w:rPr>
        <w:t xml:space="preserve">Citizens are told when their report is used in a forecast, giving tangible evidence that their effort mattered, and adults earn recognised certificates and volunteer credentials that carry value for employment and study.</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It is easy, familiar and culturally rooted. </w:t>
      </w:r>
      <w:r>
        <w:rPr>
          <w:rFonts w:ascii="Calibri" w:cs="Calibri" w:eastAsia="Calibri" w:hAnsi="Calibri"/>
          <w:b w:val="false"/>
          <w:bCs w:val="false"/>
          <w:i w:val="false"/>
          <w:iCs w:val="false"/>
          <w:color w:val="1A1A1A"/>
          <w:sz w:val="22"/>
          <w:szCs w:val="22"/>
        </w:rPr>
        <w:t xml:space="preserve">The platform works on the phones people already own, in the languages they already speak, through channels they already use, drawing on cultural touchstones they already know. Ease of first use is a decisive factor in whether a platform is adopted at all.</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It earns trust by being honest. </w:t>
      </w:r>
      <w:r>
        <w:rPr>
          <w:rFonts w:ascii="Calibri" w:cs="Calibri" w:eastAsia="Calibri" w:hAnsi="Calibri"/>
          <w:b w:val="false"/>
          <w:bCs w:val="false"/>
          <w:i w:val="false"/>
          <w:iCs w:val="false"/>
          <w:color w:val="1A1A1A"/>
          <w:sz w:val="22"/>
          <w:szCs w:val="22"/>
        </w:rPr>
        <w:t xml:space="preserve">Every alert explains its reasons, every prediction states its confidence, and health information is kept private. A platform that explains itself and protects what it is told is one people rely upon over the long term, particularly on a matter as sensitive as health.</w:t>
      </w:r>
    </w:p>
    <w:p>
      <w:pPr>
        <w:pStyle w:val="ListParagraph"/>
        <w:numPr>
          <w:ilvl w:val="0"/>
          <w:numId w:val="2"/>
        </w:numPr>
        <w:spacing w:after="70" w:line="268"/>
        <w:jc w:val="left"/>
      </w:pPr>
      <w:r>
        <w:rPr>
          <w:rFonts w:ascii="Calibri" w:cs="Calibri" w:eastAsia="Calibri" w:hAnsi="Calibri"/>
          <w:b/>
          <w:bCs/>
          <w:i w:val="false"/>
          <w:iCs w:val="false"/>
          <w:color w:val="1A1A1A"/>
          <w:sz w:val="22"/>
          <w:szCs w:val="22"/>
        </w:rPr>
        <w:t xml:space="preserve">The institutions have their own reasons to adopt it. </w:t>
      </w:r>
      <w:r>
        <w:rPr>
          <w:rFonts w:ascii="Calibri" w:cs="Calibri" w:eastAsia="Calibri" w:hAnsi="Calibri"/>
          <w:b w:val="false"/>
          <w:bCs w:val="false"/>
          <w:i w:val="false"/>
          <w:iCs w:val="false"/>
          <w:color w:val="1A1A1A"/>
          <w:sz w:val="22"/>
          <w:szCs w:val="22"/>
        </w:rPr>
        <w:t xml:space="preserve">Each institution advances its own existing objectives by participating, so adoption rests on aligned incentives rather than goodwill: earlier warning for health authorities, a wider membership base for the insurance authority, and precise direction for the sanitation work assemblies already perform.</w:t>
      </w:r>
    </w:p>
    <w:p>
      <w:pPr>
        <w:spacing w:after="60"/>
      </w:pPr>
    </w:p>
    <w:p>
      <w:pPr>
        <w:pBdr>
          <w:left w:val="single" w:color="1B5E44" w:sz="18" w:space="14"/>
        </w:pBdr>
        <w:spacing w:after="180" w:before="150" w:line="288"/>
        <w:ind w:left="340"/>
        <w:jc w:val="left"/>
      </w:pPr>
      <w:r>
        <w:rPr>
          <w:rFonts w:ascii="Calibri" w:cs="Calibri" w:eastAsia="Calibri" w:hAnsi="Calibri"/>
          <w:i/>
          <w:iCs/>
          <w:color w:val="3A3A3A"/>
          <w:sz w:val="23"/>
          <w:szCs w:val="23"/>
        </w:rPr>
        <w:t xml:space="preserve">People adopt a service when it offers clear value at little cost, and they remain with it when that value proves real. ClimaHealth Predict is built so that every participant, from a child in a classroom to a national authority, receives something they genuinely want in exchange for their participation. That alignment of individual benefit with public good is the foundation of its sustained use.</w:t>
      </w:r>
    </w:p>
    <w:p>
      <w:pPr>
        <w:pStyle w:val="Heading1"/>
        <w:keepNext/>
        <w:spacing w:after="140" w:before="360"/>
      </w:pPr>
      <w:r>
        <w:rPr>
          <w:rFonts w:ascii="Georgia" w:cs="Georgia" w:eastAsia="Georgia" w:hAnsi="Georgia"/>
          <w:b/>
          <w:bCs/>
          <w:color w:val="1B5E44"/>
          <w:sz w:val="30"/>
          <w:szCs w:val="30"/>
        </w:rPr>
        <w:t xml:space="preserve">21. Intended Impact</w:t>
      </w:r>
    </w:p>
    <w:p>
      <w:pPr>
        <w:spacing w:after="130" w:line="276"/>
        <w:jc w:val="both"/>
      </w:pPr>
      <w:r>
        <w:rPr>
          <w:rFonts w:ascii="Calibri" w:cs="Calibri" w:eastAsia="Calibri" w:hAnsi="Calibri"/>
          <w:b w:val="false"/>
          <w:bCs w:val="false"/>
          <w:i w:val="false"/>
          <w:iCs w:val="false"/>
          <w:color w:val="1A1A1A"/>
          <w:sz w:val="22"/>
          <w:szCs w:val="22"/>
        </w:rPr>
        <w:t xml:space="preserve">If adopted, the platform is intended to deliver earlier detection across the full range of climate-sensitive health risks; faster and better-coordinated deployment of supplies across every responsible agency; fewer of the deaths that occur because patients arrive too late; rising insurance enrolment and renewal driven by a reward people genuinely want; protection targeted at those most at risk, including young children, pregnant women, outdoor workers, the elderly and northern communities; a public educated at the moment lessons become relevant, in their own language and at every age; stronger community pride and participation; recognised skills and credentials for young people; and better use of limited government health resources.</w:t>
      </w:r>
    </w:p>
    <w:p>
      <w:pPr>
        <w:pStyle w:val="Heading1"/>
        <w:keepNext/>
        <w:spacing w:after="140" w:before="360"/>
      </w:pPr>
      <w:r>
        <w:rPr>
          <w:rFonts w:ascii="Georgia" w:cs="Georgia" w:eastAsia="Georgia" w:hAnsi="Georgia"/>
          <w:b/>
          <w:bCs/>
          <w:color w:val="1B5E44"/>
          <w:sz w:val="30"/>
          <w:szCs w:val="30"/>
        </w:rPr>
        <w:t xml:space="preserve">22. Conclusion</w:t>
      </w:r>
    </w:p>
    <w:p>
      <w:pPr>
        <w:spacing w:after="130" w:line="276"/>
        <w:jc w:val="both"/>
      </w:pPr>
      <w:r>
        <w:rPr>
          <w:rFonts w:ascii="Calibri" w:cs="Calibri" w:eastAsia="Calibri" w:hAnsi="Calibri"/>
          <w:b w:val="false"/>
          <w:bCs w:val="false"/>
          <w:i w:val="false"/>
          <w:iCs w:val="false"/>
          <w:color w:val="1A1A1A"/>
          <w:sz w:val="22"/>
          <w:szCs w:val="22"/>
        </w:rPr>
        <w:t xml:space="preserve">ClimaHealth Predict brings together climate science, machine learning with clear explanation, public health grounded in Ghana’s real recent disease burden, coordination and accountability across every responsible agency, community participation as genuine data, a culturally rooted model of education, a gamification system that rewards outbreaks that never happen, rewards that change lives rather than leaderboards, an inclusive design that reaches every citizen, and a funding model built on aligned incentives. It directly supports the theme of transforming climate awareness into climate action through technology.</w:t>
      </w:r>
    </w:p>
    <w:p>
      <w:pPr>
        <w:spacing w:after="130" w:line="276"/>
        <w:jc w:val="both"/>
      </w:pPr>
      <w:r>
        <w:rPr>
          <w:rFonts w:ascii="Calibri" w:cs="Calibri" w:eastAsia="Calibri" w:hAnsi="Calibri"/>
          <w:b w:val="false"/>
          <w:bCs w:val="false"/>
          <w:i w:val="false"/>
          <w:iCs w:val="false"/>
          <w:color w:val="1A1A1A"/>
          <w:sz w:val="22"/>
          <w:szCs w:val="22"/>
        </w:rPr>
        <w:t xml:space="preserve">We are not building a weather application or a disease dashboard. We are building a system in which a schoolgirl’s photograph of stagnant water can trigger a coordinated national response, in which an entire community is rewarded for an outbreak that never happened, and in which the young people who protect their neighbours’ health end up protected themselves. When danger approaches, Dawuro sounds, and Ghana acts before people fall sick.</w:t>
      </w:r>
    </w:p>
    <w:p>
      <w:pPr>
        <w:pStyle w:val="Heading1"/>
        <w:keepNext/>
        <w:spacing w:after="140" w:before="360"/>
      </w:pPr>
      <w:r>
        <w:rPr>
          <w:rFonts w:ascii="Georgia" w:cs="Georgia" w:eastAsia="Georgia" w:hAnsi="Georgia"/>
          <w:b/>
          <w:bCs/>
          <w:color w:val="1B5E44"/>
          <w:sz w:val="30"/>
          <w:szCs w:val="30"/>
        </w:rPr>
        <w:t xml:space="preserve">Appendix: Sources for Key Statistics</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Malaria: World Health Organization, World Malaria Report 2024, indicating roughly 6.7 million cases in Ghana in 2024.</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Cholera: Ghana Health Service; International Federation of Red Cross and Red Crescent Societies emergency operation records; and the Ghana Parliament health statement of February 2025, reporting 6,145 suspected cases, 49 deaths, 36 districts and five regions, beginning in Ada East in October 2024.</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Diarrhoeal disease: peer-reviewed research on coastal Ghana, indicating more than 14,000 under-five deaths annually and the third leading cause of under-five death.</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Dengue: research from the Noguchi Memorial Institute for Medical Research on the July 2024 outbreak, indicating roughly 1,471 suspected and about 205 confirmed cases of serotype DENV-1.</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Meningitis: Ghana Ministry of Health and Parliament statements of February 2025, reporting 129 national cases and 16 deaths, with 60 suspected cases and 14 deaths in the Upper West Region, a case fatality rate above 23 percent.</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Air pollution: Ghana Environmental Protection Agency figures on particulate-related deaths; and a United Nations Development Programme assessment of 2024 valuing outdoor air pollution at about 1.9 billion United States dollars, or 2.3 percent of national output.</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Chronic obstructive disease: Global Burden of Disease analysis for Ghana, indicating a 157 percent rise in related deaths between 1990 and 2021.</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Heat and maternal health: analysis of Ghana maternal health data indicating miscarriage risk rising by roughly 12 to 15 percent per degree of wet-bulb globe temperature, and reviews of heat and pregnancy outcomes.</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Undernutrition: Ghana Statistical Service data indicating 17 percent under-five stunting nationally, 29 to 30 percent in the Northern and North East regions, and anaemia in roughly half of children aged 6 to 59 months.</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National health insurance: National Health Insurance Authority information on membership, coverage of common conditions, one-year card validity, premium exemptions, and mobile renewal through menu codes and mobile money.</w:t>
      </w:r>
    </w:p>
    <w:p>
      <w:pPr>
        <w:pStyle w:val="ListParagraph"/>
        <w:numPr>
          <w:ilvl w:val="0"/>
          <w:numId w:val="2"/>
        </w:numPr>
        <w:spacing w:after="70" w:line="268"/>
        <w:jc w:val="left"/>
      </w:pPr>
      <w:r>
        <w:rPr>
          <w:rFonts w:ascii="Calibri" w:cs="Calibri" w:eastAsia="Calibri" w:hAnsi="Calibri"/>
          <w:b w:val="false"/>
          <w:bCs w:val="false"/>
          <w:i w:val="false"/>
          <w:iCs w:val="false"/>
          <w:color w:val="1A1A1A"/>
          <w:sz w:val="22"/>
          <w:szCs w:val="22"/>
        </w:rPr>
        <w:t xml:space="preserve">Climate projections: World Health Organization estimates of additional climate-driven deaths between 2030 and 2050, and Ghana’s climate and health vulnerability assessment placing roughly two million people at heightened risk.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3" w:sz="4" w:space="6"/>
      </w:pBdr>
      <w:jc w:val="center"/>
    </w:pPr>
    <w:r>
      <w:rPr>
        <w:rFonts w:ascii="Calibri" w:cs="Calibri" w:eastAsia="Calibri" w:hAnsi="Calibri"/>
        <w:color w:val="8A8A8A"/>
        <w:sz w:val="16"/>
        <w:szCs w:val="16"/>
      </w:rPr>
      <w:t xml:space="preserve">GreenRes Hackathon 2026          Page </w:t>
    </w:r>
    <w:r>
      <w:rPr>
        <w:rFonts w:ascii="Calibri" w:cs="Calibri" w:eastAsia="Calibri" w:hAnsi="Calibri"/>
        <w:color w:val="8A8A8A"/>
        <w:sz w:val="16"/>
        <w:szCs w:val="16"/>
      </w:rPr>
      <w:fldChar w:fldCharType="begin"/>
      <w:instrText xml:space="preserve">PAGE</w:instrText>
      <w:fldChar w:fldCharType="separate"/>
      <w:fldChar w:fldCharType="end"/>
    </w:r>
    <w:r>
      <w:rPr>
        <w:rFonts w:ascii="Calibri" w:cs="Calibri" w:eastAsia="Calibri" w:hAnsi="Calibri"/>
        <w:color w:val="8A8A8A"/>
        <w:sz w:val="16"/>
        <w:szCs w:val="16"/>
      </w:rPr>
      <w:t xml:space="preserve"> of </w:t>
    </w:r>
    <w:r>
      <w:rPr>
        <w:rFonts w:ascii="Calibri" w:cs="Calibri" w:eastAsia="Calibri" w:hAnsi="Calibri"/>
        <w:color w:val="8A8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3" w:sz="4" w:space="6"/>
      </w:pBdr>
      <w:spacing w:after="0"/>
      <w:jc w:val="right"/>
    </w:pPr>
    <w:r>
      <w:rPr>
        <w:rFonts w:ascii="Calibri" w:cs="Calibri" w:eastAsia="Calibri" w:hAnsi="Calibri"/>
        <w:color w:val="8A8A8A"/>
        <w:sz w:val="16"/>
        <w:szCs w:val="16"/>
      </w:rPr>
      <w:t xml:space="preserve">ClimaHealth Predict  |  Dawuro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1B5E4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1B5E44"/>
      <w:sz w:val="30"/>
      <w:szCs w:val="30"/>
    </w:rPr>
  </w:style>
  <w:style w:type="paragraph" w:styleId="Heading2">
    <w:name w:val="Heading 2"/>
    <w:basedOn w:val="Normal"/>
    <w:next w:val="Normal"/>
    <w:qFormat/>
    <w:pPr>
      <w:spacing w:after="90" w:before="240"/>
      <w:outlineLvl w:val="1"/>
    </w:pPr>
    <w:rPr>
      <w:rFonts w:ascii="Georgia" w:cs="Georgia" w:eastAsia="Georgia" w:hAnsi="Georgia"/>
      <w:b/>
      <w:bCs/>
      <w:color w:val="1A1A1A"/>
      <w:sz w:val="24"/>
      <w:szCs w:val="24"/>
    </w:rPr>
  </w:style>
  <w:style w:type="paragraph" w:styleId="Heading3">
    <w:name w:val="Heading 3"/>
    <w:basedOn w:val="Normal"/>
    <w:next w:val="Normal"/>
    <w:qFormat/>
    <w:pPr>
      <w:spacing w:after="70" w:before="16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ClimaHealth Predict: Project Proposal</dc:title>
  <dc:creator>ClimaHealth Predict</dc:creator>
  <dc:description>GreenRes Hackathon 2026 project proposal</dc:description>
  <cp:lastModifiedBy>Un-named</cp:lastModifiedBy>
  <cp:revision>1</cp:revision>
  <dcterms:created xsi:type="dcterms:W3CDTF">2026-07-25T07:04:34.788Z</dcterms:created>
  <dcterms:modified xsi:type="dcterms:W3CDTF">2026-07-25T07:04:34.801Z</dcterms:modified>
</cp:coreProperties>
</file>

<file path=docProps/custom.xml><?xml version="1.0" encoding="utf-8"?>
<Properties xmlns="http://schemas.openxmlformats.org/officeDocument/2006/custom-properties" xmlns:vt="http://schemas.openxmlformats.org/officeDocument/2006/docPropsVTypes"/>
</file>