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0f1114"/>
                <w:highlight w:val="white"/>
                <w:rtl w:val="0"/>
              </w:rPr>
              <w:t xml:space="preserve">I am</w:t>
            </w:r>
            <w:r w:rsidDel="00000000" w:rsidR="00000000" w:rsidRPr="00000000">
              <w:rPr>
                <w:rFonts w:ascii="Google Sans" w:cs="Google Sans" w:eastAsia="Google Sans" w:hAnsi="Google Sans"/>
                <w:color w:val="0f1114"/>
                <w:highlight w:val="white"/>
                <w:rtl w:val="0"/>
              </w:rPr>
              <w:t xml:space="preserve"> a cybersecurity analyst working for a multimedia company that offers web design services, graphic design, and social media marketing solutions to small businesses. </w:t>
            </w:r>
            <w:r w:rsidDel="00000000" w:rsidR="00000000" w:rsidRPr="00000000">
              <w:rPr>
                <w:rFonts w:ascii="Google Sans" w:cs="Google Sans" w:eastAsia="Google Sans" w:hAnsi="Google Sans"/>
                <w:rtl w:val="0"/>
              </w:rPr>
              <w:t xml:space="preserve">This morning our organization’s network suddenly stopped responding. Normal internal network traffic could not access any network resources. There was an incoming flood of IMCP packets. </w:t>
            </w:r>
            <w:r w:rsidDel="00000000" w:rsidR="00000000" w:rsidRPr="00000000">
              <w:rPr>
                <w:rFonts w:ascii="Google Sans" w:cs="Google Sans" w:eastAsia="Google Sans" w:hAnsi="Google Sans"/>
                <w:color w:val="0f1114"/>
                <w:highlight w:val="white"/>
                <w:rtl w:val="0"/>
              </w:rPr>
              <w:t xml:space="preserve"> This could be a result of a DDoS attack.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0f1114"/>
                <w:highlight w:val="white"/>
                <w:rtl w:val="0"/>
              </w:rPr>
              <w:t xml:space="preserve">The company’s cybersecurity team investigated the security event. They found that a malicious actor had sent a flood of ICMP pings into the company’s network through an unconfigured firewall.  The vulnerability allowed the malicious attacker to overwhelm the company’s network through a distributed denial of service (DDoS) attack. The attack comprised the internal network for two hours until it was resolved.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rtl w:val="0"/>
              </w:rPr>
              <w:t xml:space="preserve">The incident management team responded by blocking incoming IMPC packets, stopping all non-critical network services offline, and restoring critical network services. To be better prepared for future incidents,  the incident management team will add IP address verification on the firewall to check for spoofed IP addresses on incoming ICMP packets. We would also add an IDS/IPS system to filter out some ICMP traffic based on suspicious characteristics. </w:t>
            </w: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utilized a network monitoring software to detect abnormal traffic patterns. For future monitoring of risks and threats, the team is applying a stronger firewall strategy and implementation of IDS/IPS systems. </w:t>
            </w:r>
          </w:p>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hd w:fill="ffffff" w:val="clear"/>
              <w:spacing w:after="240" w:line="360" w:lineRule="auto"/>
              <w:ind w:left="0" w:firstLine="0"/>
              <w:rPr>
                <w:rFonts w:ascii="Google Sans" w:cs="Google Sans" w:eastAsia="Google Sans" w:hAnsi="Google Sans"/>
                <w:color w:val="0f1114"/>
              </w:rPr>
            </w:pPr>
            <w:r w:rsidDel="00000000" w:rsidR="00000000" w:rsidRPr="00000000">
              <w:rPr>
                <w:rFonts w:ascii="Google Sans" w:cs="Google Sans" w:eastAsia="Google Sans" w:hAnsi="Google Sans"/>
                <w:color w:val="0f1114"/>
                <w:rtl w:val="0"/>
              </w:rPr>
              <w:t xml:space="preserve">The incident management team added s</w:t>
            </w:r>
            <w:r w:rsidDel="00000000" w:rsidR="00000000" w:rsidRPr="00000000">
              <w:rPr>
                <w:rFonts w:ascii="Google Sans" w:cs="Google Sans" w:eastAsia="Google Sans" w:hAnsi="Google Sans"/>
                <w:color w:val="0f1114"/>
                <w:rtl w:val="0"/>
              </w:rPr>
              <w:t xml:space="preserve">ource IP address verification on the firewall to check for spoofed IP addresses on incoming ICMP packets and put in place an IDS/IPS system to filter out some ICMP traffic based on suspicious characteristics. This is also added in the policies and business practice to create a standard for firewall maintenance and training. </w:t>
            </w:r>
          </w:p>
          <w:p w:rsidR="00000000" w:rsidDel="00000000" w:rsidP="00000000" w:rsidRDefault="00000000" w:rsidRPr="00000000" w14:paraId="00000017">
            <w:pPr>
              <w:widowControl w:val="0"/>
              <w:shd w:fill="ffffff" w:val="clear"/>
              <w:spacing w:after="240" w:line="360" w:lineRule="auto"/>
              <w:ind w:left="0" w:firstLine="0"/>
              <w:rPr>
                <w:rFonts w:ascii="Google Sans" w:cs="Google Sans" w:eastAsia="Google Sans" w:hAnsi="Google Sans"/>
                <w:color w:val="0f1114"/>
              </w:rPr>
            </w:pPr>
            <w:r w:rsidDel="00000000" w:rsidR="00000000" w:rsidRPr="00000000">
              <w:rPr>
                <w:rtl w:val="0"/>
              </w:rPr>
            </w:r>
          </w:p>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responded by blocking incoming IMPC packets, stopping all non-critical network services offline, and restoring critical network services. Since it took two hours to resolve the issue. The incident management team recommends putting a network segmentation system in place with a back up network to create a network redundancy system as part of a business continuity plan and disaster recovery effort. </w:t>
            </w:r>
          </w:p>
        </w:tc>
      </w:tr>
    </w:tbl>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3">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