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ind w:left="-360" w:right="-360" w:firstLine="0"/>
        <w:jc w:val="center"/>
        <w:rPr>
          <w:rFonts w:ascii="Google Sans" w:cs="Google Sans" w:eastAsia="Google Sans" w:hAnsi="Google Sans"/>
        </w:rPr>
      </w:pPr>
      <w:bookmarkStart w:colFirst="0" w:colLast="0" w:name="_o3cjz5fy093c" w:id="0"/>
      <w:bookmarkEnd w:id="0"/>
      <w:r w:rsidDel="00000000" w:rsidR="00000000" w:rsidRPr="00000000">
        <w:rPr>
          <w:rFonts w:ascii="Google Sans" w:cs="Google Sans" w:eastAsia="Google Sans" w:hAnsi="Google Sans"/>
          <w:rtl w:val="0"/>
        </w:rPr>
        <w:t xml:space="preserve">Risk register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ind w:left="-360" w:right="-360" w:firstLine="0"/>
        <w:rPr>
          <w:rFonts w:ascii="Google Sans" w:cs="Google Sans" w:eastAsia="Google Sans" w:hAnsi="Google Sans"/>
          <w:b w:val="1"/>
        </w:rPr>
      </w:pPr>
      <w:bookmarkStart w:colFirst="0" w:colLast="0" w:name="_ea47l03q23w1" w:id="1"/>
      <w:bookmarkEnd w:id="1"/>
      <w:r w:rsidDel="00000000" w:rsidR="00000000" w:rsidRPr="00000000">
        <w:rPr>
          <w:b w:val="1"/>
          <w:rtl w:val="0"/>
        </w:rPr>
        <w:t xml:space="preserve">Operational environment</w:t>
      </w:r>
      <w:r w:rsidDel="00000000" w:rsidR="00000000" w:rsidRPr="00000000">
        <w:rPr>
          <w:rFonts w:ascii="Google Sans" w:cs="Google Sans" w:eastAsia="Google Sans" w:hAnsi="Google Sans"/>
          <w:b w:val="1"/>
          <w:rtl w:val="0"/>
        </w:rPr>
        <w:t xml:space="preserve">:</w:t>
      </w:r>
    </w:p>
    <w:p w:rsidR="00000000" w:rsidDel="00000000" w:rsidP="00000000" w:rsidRDefault="00000000" w:rsidRPr="00000000" w14:paraId="00000003">
      <w:pPr>
        <w:ind w:left="-360" w:right="-360" w:firstLine="0"/>
        <w:rPr/>
      </w:pPr>
      <w:r w:rsidDel="00000000" w:rsidR="00000000" w:rsidRPr="00000000">
        <w:rPr>
          <w:rtl w:val="0"/>
        </w:rPr>
        <w:t xml:space="preserve">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rsidR="00000000" w:rsidDel="00000000" w:rsidP="00000000" w:rsidRDefault="00000000" w:rsidRPr="00000000" w14:paraId="00000004">
      <w:pPr>
        <w:ind w:left="-360" w:right="-36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4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40"/>
        <w:gridCol w:w="3435"/>
        <w:gridCol w:w="1290"/>
        <w:gridCol w:w="1380"/>
        <w:gridCol w:w="1335"/>
        <w:tblGridChange w:id="0">
          <w:tblGrid>
            <w:gridCol w:w="930"/>
            <w:gridCol w:w="2040"/>
            <w:gridCol w:w="3435"/>
            <w:gridCol w:w="1290"/>
            <w:gridCol w:w="1380"/>
            <w:gridCol w:w="13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Asset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rPr>
            </w:pPr>
            <w:r w:rsidDel="00000000" w:rsidR="00000000" w:rsidRPr="00000000">
              <w:rPr>
                <w:b w:val="1"/>
                <w:rtl w:val="0"/>
              </w:rPr>
              <w:t xml:space="preserve">Risk(s)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Likelihood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Severity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Priority</w:t>
            </w:r>
          </w:p>
        </w:tc>
      </w:tr>
      <w:tr>
        <w:trPr>
          <w:cantSplit w:val="0"/>
          <w:trHeight w:val="420" w:hRule="atLeast"/>
          <w:tblHeader w:val="0"/>
        </w:trPr>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Business email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An employee is tricked into sharing confidential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3 (High)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 (High)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9 (Critical)</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Compromised user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Customer data is poorly encrypted.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2 (Moderate)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 (High)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6 (High)</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0" w:right="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Financial records 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 database server of backed up data is publicly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2 (Moderate)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 (High)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6 (High)</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0" w:right="60" w:firstLine="0"/>
              <w:rPr>
                <w:rFonts w:ascii="Google Sans" w:cs="Google Sans" w:eastAsia="Google Sans" w:hAnsi="Google Sans"/>
              </w:rPr>
            </w:pPr>
            <w:r w:rsidDel="00000000" w:rsidR="00000000" w:rsidRPr="00000000">
              <w:rPr>
                <w:rtl w:val="0"/>
              </w:rPr>
              <w:t xml:space="preserve">Theft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i w:val="1"/>
                <w:rtl w:val="0"/>
              </w:rPr>
              <w:t xml:space="preserve">The bank's safe is left unlocked.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1 (Low)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 (High)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 (Moderate)</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Supply chain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Delivery delays due to natural disasters.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1 (Low)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 (Moderate)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 (Low)</w:t>
            </w:r>
            <w:r w:rsidDel="00000000" w:rsidR="00000000" w:rsidRPr="00000000">
              <w:rPr>
                <w:rtl w:val="0"/>
              </w:rPr>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pPr>
            <w:r w:rsidDel="00000000" w:rsidR="00000000" w:rsidRPr="00000000">
              <w:rPr>
                <w:rtl w:val="0"/>
              </w:rPr>
              <w:t xml:space="preserve">Notes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B">
            <w:pPr>
              <w:ind w:left="0" w:right="-90" w:firstLine="0"/>
              <w:rPr>
                <w:i w:val="1"/>
              </w:rPr>
            </w:pPr>
            <w:r w:rsidDel="00000000" w:rsidR="00000000" w:rsidRPr="00000000">
              <w:rPr>
                <w:i w:val="1"/>
                <w:rtl w:val="0"/>
              </w:rPr>
              <w:t xml:space="preserve">Security events impacting the bank's funds can arise from multiple threats. A </w:t>
            </w:r>
            <w:r w:rsidDel="00000000" w:rsidR="00000000" w:rsidRPr="00000000">
              <w:rPr>
                <w:b w:val="1"/>
                <w:i w:val="1"/>
                <w:rtl w:val="0"/>
              </w:rPr>
              <w:t xml:space="preserve">business email compromise</w:t>
            </w:r>
            <w:r w:rsidDel="00000000" w:rsidR="00000000" w:rsidRPr="00000000">
              <w:rPr>
                <w:i w:val="1"/>
                <w:rtl w:val="0"/>
              </w:rPr>
              <w:t xml:space="preserve"> could lead to fraudulent transactions, while a </w:t>
            </w:r>
            <w:r w:rsidDel="00000000" w:rsidR="00000000" w:rsidRPr="00000000">
              <w:rPr>
                <w:b w:val="1"/>
                <w:i w:val="1"/>
                <w:rtl w:val="0"/>
              </w:rPr>
              <w:t xml:space="preserve">compromised user database</w:t>
            </w:r>
            <w:r w:rsidDel="00000000" w:rsidR="00000000" w:rsidRPr="00000000">
              <w:rPr>
                <w:i w:val="1"/>
                <w:rtl w:val="0"/>
              </w:rPr>
              <w:t xml:space="preserve"> might expose sensitive customer details, enabling unauthorized access. A </w:t>
            </w:r>
            <w:r w:rsidDel="00000000" w:rsidR="00000000" w:rsidRPr="00000000">
              <w:rPr>
                <w:b w:val="1"/>
                <w:i w:val="1"/>
                <w:rtl w:val="0"/>
              </w:rPr>
              <w:t xml:space="preserve">financial records leak</w:t>
            </w:r>
            <w:r w:rsidDel="00000000" w:rsidR="00000000" w:rsidRPr="00000000">
              <w:rPr>
                <w:i w:val="1"/>
                <w:rtl w:val="0"/>
              </w:rPr>
              <w:t xml:space="preserve"> increases fraud risks, and </w:t>
            </w:r>
            <w:r w:rsidDel="00000000" w:rsidR="00000000" w:rsidRPr="00000000">
              <w:rPr>
                <w:b w:val="1"/>
                <w:i w:val="1"/>
                <w:rtl w:val="0"/>
              </w:rPr>
              <w:t xml:space="preserve">theft</w:t>
            </w:r>
            <w:r w:rsidDel="00000000" w:rsidR="00000000" w:rsidRPr="00000000">
              <w:rPr>
                <w:i w:val="1"/>
                <w:rtl w:val="0"/>
              </w:rPr>
              <w:t xml:space="preserve">—whether digital or physical—poses direct financial losses. Lastly, a </w:t>
            </w:r>
            <w:r w:rsidDel="00000000" w:rsidR="00000000" w:rsidRPr="00000000">
              <w:rPr>
                <w:b w:val="1"/>
                <w:i w:val="1"/>
                <w:rtl w:val="0"/>
              </w:rPr>
              <w:t xml:space="preserve">supply chain attack</w:t>
            </w:r>
            <w:r w:rsidDel="00000000" w:rsidR="00000000" w:rsidRPr="00000000">
              <w:rPr>
                <w:i w:val="1"/>
                <w:rtl w:val="0"/>
              </w:rPr>
              <w:t xml:space="preserve"> could introduce vulnerabilities into critical banking systems, leading to fund mismanagement or cyber fraud.</w:t>
            </w:r>
          </w:p>
          <w:p w:rsidR="00000000" w:rsidDel="00000000" w:rsidP="00000000" w:rsidRDefault="00000000" w:rsidRPr="00000000" w14:paraId="0000002C">
            <w:pPr>
              <w:ind w:left="0" w:right="-90" w:firstLine="0"/>
              <w:rPr>
                <w:i w:val="1"/>
              </w:rPr>
            </w:pPr>
            <w:r w:rsidDel="00000000" w:rsidR="00000000" w:rsidRPr="00000000">
              <w:rPr>
                <w:rtl w:val="0"/>
              </w:rPr>
            </w:r>
          </w:p>
        </w:tc>
      </w:tr>
    </w:tbl>
    <w:p w:rsidR="00000000" w:rsidDel="00000000" w:rsidP="00000000" w:rsidRDefault="00000000" w:rsidRPr="00000000" w14:paraId="00000031">
      <w:pPr>
        <w:rPr>
          <w:i w:val="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br w:type="textWrapping"/>
        <w:br w:type="textWrapping"/>
        <w:br w:type="textWrapping"/>
        <w:br w:type="textWrapping"/>
      </w:r>
      <w:r w:rsidDel="00000000" w:rsidR="00000000" w:rsidRPr="00000000">
        <w:rPr>
          <w:rtl w:val="0"/>
        </w:rPr>
      </w:r>
    </w:p>
    <w:p w:rsidR="00000000" w:rsidDel="00000000" w:rsidP="00000000" w:rsidRDefault="00000000" w:rsidRPr="00000000" w14:paraId="00000033">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Asset:</w:t>
      </w:r>
      <w:r w:rsidDel="00000000" w:rsidR="00000000" w:rsidRPr="00000000">
        <w:rPr>
          <w:rFonts w:ascii="Google Sans" w:cs="Google Sans" w:eastAsia="Google Sans" w:hAnsi="Google Sans"/>
          <w:rtl w:val="0"/>
        </w:rPr>
        <w:t xml:space="preserve"> The asset at risk of being harmed, damaged, or stolen.</w:t>
      </w:r>
    </w:p>
    <w:p w:rsidR="00000000" w:rsidDel="00000000" w:rsidP="00000000" w:rsidRDefault="00000000" w:rsidRPr="00000000" w14:paraId="00000034">
      <w:pPr>
        <w:ind w:left="-360" w:right="-360" w:firstLine="0"/>
        <w:rPr>
          <w:rFonts w:ascii="Google Sans" w:cs="Google Sans" w:eastAsia="Google Sans" w:hAnsi="Google Sans"/>
        </w:rPr>
      </w:pPr>
      <w:r w:rsidDel="00000000" w:rsidR="00000000" w:rsidRPr="00000000">
        <w:rPr>
          <w:b w:val="1"/>
          <w:rtl w:val="0"/>
        </w:rPr>
        <w:t xml:space="preserve">Risk(s)</w:t>
      </w:r>
      <w:r w:rsidDel="00000000" w:rsidR="00000000" w:rsidRPr="00000000">
        <w:rPr>
          <w:rFonts w:ascii="Google Sans" w:cs="Google Sans" w:eastAsia="Google Sans" w:hAnsi="Google Sans"/>
          <w:b w:val="1"/>
          <w:rtl w:val="0"/>
        </w:rPr>
        <w:t xml:space="preserve">:</w:t>
      </w:r>
      <w:r w:rsidDel="00000000" w:rsidR="00000000" w:rsidRPr="00000000">
        <w:rPr>
          <w:rFonts w:ascii="Google Sans" w:cs="Google Sans" w:eastAsia="Google Sans" w:hAnsi="Google Sans"/>
          <w:rtl w:val="0"/>
        </w:rPr>
        <w:t xml:space="preserve"> A potential risk to the organization's information systems and data.</w:t>
      </w:r>
    </w:p>
    <w:p w:rsidR="00000000" w:rsidDel="00000000" w:rsidP="00000000" w:rsidRDefault="00000000" w:rsidRPr="00000000" w14:paraId="00000035">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Description:</w:t>
      </w:r>
      <w:r w:rsidDel="00000000" w:rsidR="00000000" w:rsidRPr="00000000">
        <w:rPr>
          <w:rFonts w:ascii="Google Sans" w:cs="Google Sans" w:eastAsia="Google Sans" w:hAnsi="Google Sans"/>
          <w:rtl w:val="0"/>
        </w:rPr>
        <w:t xml:space="preserve"> A vulnerability that might lead to a security incident.</w:t>
      </w:r>
    </w:p>
    <w:p w:rsidR="00000000" w:rsidDel="00000000" w:rsidP="00000000" w:rsidRDefault="00000000" w:rsidRPr="00000000" w14:paraId="00000036">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Likelihood:</w:t>
      </w:r>
      <w:r w:rsidDel="00000000" w:rsidR="00000000" w:rsidRPr="00000000">
        <w:rPr>
          <w:rFonts w:ascii="Google Sans" w:cs="Google Sans" w:eastAsia="Google Sans" w:hAnsi="Google Sans"/>
          <w:rtl w:val="0"/>
        </w:rPr>
        <w:t xml:space="preserve"> Score from 1-3 of the chances of a vulnerability being exploited. A 1 means there's a low likelihood, a 2 means there's a</w:t>
      </w:r>
      <w:r w:rsidDel="00000000" w:rsidR="00000000" w:rsidRPr="00000000">
        <w:rPr>
          <w:rtl w:val="0"/>
        </w:rPr>
        <w:t xml:space="preserve"> </w:t>
      </w:r>
      <w:r w:rsidDel="00000000" w:rsidR="00000000" w:rsidRPr="00000000">
        <w:rPr>
          <w:rFonts w:ascii="Google Sans" w:cs="Google Sans" w:eastAsia="Google Sans" w:hAnsi="Google Sans"/>
          <w:rtl w:val="0"/>
        </w:rPr>
        <w:t xml:space="preserve">moderate likelihood, and a 3 means there's a high likelihood.</w:t>
      </w:r>
    </w:p>
    <w:p w:rsidR="00000000" w:rsidDel="00000000" w:rsidP="00000000" w:rsidRDefault="00000000" w:rsidRPr="00000000" w14:paraId="00000037">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Severity:</w:t>
      </w:r>
      <w:r w:rsidDel="00000000" w:rsidR="00000000" w:rsidRPr="00000000">
        <w:rPr>
          <w:rFonts w:ascii="Google Sans" w:cs="Google Sans" w:eastAsia="Google Sans" w:hAnsi="Google Sans"/>
          <w:rtl w:val="0"/>
        </w:rPr>
        <w:t xml:space="preserve"> Score from 1-3 of the potential damage the threat would cause to the business. A 1 means </w:t>
      </w:r>
      <w:r w:rsidDel="00000000" w:rsidR="00000000" w:rsidRPr="00000000">
        <w:rPr>
          <w:rtl w:val="0"/>
        </w:rPr>
        <w:t xml:space="preserve">a </w:t>
      </w:r>
      <w:r w:rsidDel="00000000" w:rsidR="00000000" w:rsidRPr="00000000">
        <w:rPr>
          <w:rFonts w:ascii="Google Sans" w:cs="Google Sans" w:eastAsia="Google Sans" w:hAnsi="Google Sans"/>
          <w:rtl w:val="0"/>
        </w:rPr>
        <w:t xml:space="preserve">low severity impact, a 2 is a moderate severity</w:t>
      </w:r>
      <w:r w:rsidDel="00000000" w:rsidR="00000000" w:rsidRPr="00000000">
        <w:rPr>
          <w:rtl w:val="0"/>
        </w:rPr>
        <w:t xml:space="preserve"> impact</w:t>
      </w:r>
      <w:r w:rsidDel="00000000" w:rsidR="00000000" w:rsidRPr="00000000">
        <w:rPr>
          <w:rFonts w:ascii="Google Sans" w:cs="Google Sans" w:eastAsia="Google Sans" w:hAnsi="Google Sans"/>
          <w:rtl w:val="0"/>
        </w:rPr>
        <w:t xml:space="preserve">, and</w:t>
      </w:r>
      <w:r w:rsidDel="00000000" w:rsidR="00000000" w:rsidRPr="00000000">
        <w:rPr>
          <w:rtl w:val="0"/>
        </w:rPr>
        <w:t xml:space="preserve"> a</w:t>
      </w:r>
      <w:r w:rsidDel="00000000" w:rsidR="00000000" w:rsidRPr="00000000">
        <w:rPr>
          <w:rFonts w:ascii="Google Sans" w:cs="Google Sans" w:eastAsia="Google Sans" w:hAnsi="Google Sans"/>
          <w:rtl w:val="0"/>
        </w:rPr>
        <w:t xml:space="preserve"> 3 is a high severity impact.</w:t>
      </w:r>
    </w:p>
    <w:p w:rsidR="00000000" w:rsidDel="00000000" w:rsidP="00000000" w:rsidRDefault="00000000" w:rsidRPr="00000000" w14:paraId="00000038">
      <w:pPr>
        <w:ind w:left="-360" w:right="-36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Priority:</w:t>
      </w:r>
      <w:r w:rsidDel="00000000" w:rsidR="00000000" w:rsidRPr="00000000">
        <w:rPr>
          <w:rFonts w:ascii="Google Sans" w:cs="Google Sans" w:eastAsia="Google Sans" w:hAnsi="Google Sans"/>
          <w:rtl w:val="0"/>
        </w:rPr>
        <w:t xml:space="preserve"> How quickly a risk should be addressed to avoid the potential incident. Use the following formula to calculate the overall score: </w:t>
      </w:r>
      <w:r w:rsidDel="00000000" w:rsidR="00000000" w:rsidRPr="00000000">
        <w:rPr>
          <w:rFonts w:ascii="Google Sans" w:cs="Google Sans" w:eastAsia="Google Sans" w:hAnsi="Google Sans"/>
          <w:b w:val="1"/>
          <w:rtl w:val="0"/>
        </w:rPr>
        <w:t xml:space="preserve">Likelihood x Impact Severity = Risk</w:t>
      </w:r>
    </w:p>
    <w:p w:rsidR="00000000" w:rsidDel="00000000" w:rsidP="00000000" w:rsidRDefault="00000000" w:rsidRPr="00000000" w14:paraId="00000039">
      <w:pPr>
        <w:ind w:left="-360" w:right="-360" w:firstLine="0"/>
        <w:rPr/>
      </w:pPr>
      <w:r w:rsidDel="00000000" w:rsidR="00000000" w:rsidRPr="00000000">
        <w:rPr>
          <w:rtl w:val="0"/>
        </w:rPr>
      </w:r>
    </w:p>
    <w:p w:rsidR="00000000" w:rsidDel="00000000" w:rsidP="00000000" w:rsidRDefault="00000000" w:rsidRPr="00000000" w14:paraId="0000003A">
      <w:pPr>
        <w:ind w:left="-360" w:right="-360" w:firstLine="0"/>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mks2w3s8x6kj" w:id="2"/>
      <w:bookmarkEnd w:id="2"/>
      <w:r w:rsidDel="00000000" w:rsidR="00000000" w:rsidRPr="00000000">
        <w:rPr>
          <w:b w:val="1"/>
          <w:color w:val="000000"/>
          <w:sz w:val="26"/>
          <w:szCs w:val="26"/>
          <w:rtl w:val="0"/>
        </w:rPr>
        <w:t xml:space="preserve">Final Prioritization:</w:t>
      </w:r>
    </w:p>
    <w:p w:rsidR="00000000" w:rsidDel="00000000" w:rsidP="00000000" w:rsidRDefault="00000000" w:rsidRPr="00000000" w14:paraId="0000003C">
      <w:pPr>
        <w:numPr>
          <w:ilvl w:val="0"/>
          <w:numId w:val="1"/>
        </w:numPr>
        <w:spacing w:after="0" w:afterAutospacing="0" w:before="240" w:lineRule="auto"/>
        <w:ind w:left="720" w:right="0" w:hanging="360"/>
      </w:pPr>
      <w:r w:rsidDel="00000000" w:rsidR="00000000" w:rsidRPr="00000000">
        <w:rPr>
          <w:b w:val="1"/>
          <w:rtl w:val="0"/>
        </w:rPr>
        <w:t xml:space="preserve">Critical Priority (9)</w:t>
      </w:r>
      <w:r w:rsidDel="00000000" w:rsidR="00000000" w:rsidRPr="00000000">
        <w:rPr>
          <w:rtl w:val="0"/>
        </w:rPr>
        <w:t xml:space="preserve">: Business email compromise—should be the top security focus.</w:t>
        <w:br w:type="textWrapping"/>
      </w:r>
    </w:p>
    <w:p w:rsidR="00000000" w:rsidDel="00000000" w:rsidP="00000000" w:rsidRDefault="00000000" w:rsidRPr="00000000" w14:paraId="0000003D">
      <w:pPr>
        <w:numPr>
          <w:ilvl w:val="0"/>
          <w:numId w:val="1"/>
        </w:numPr>
        <w:spacing w:after="0" w:afterAutospacing="0" w:before="0" w:beforeAutospacing="0" w:lineRule="auto"/>
        <w:ind w:left="720" w:right="0" w:hanging="360"/>
      </w:pPr>
      <w:r w:rsidDel="00000000" w:rsidR="00000000" w:rsidRPr="00000000">
        <w:rPr>
          <w:b w:val="1"/>
          <w:rtl w:val="0"/>
        </w:rPr>
        <w:t xml:space="preserve">High Priority (6)</w:t>
      </w:r>
      <w:r w:rsidDel="00000000" w:rsidR="00000000" w:rsidRPr="00000000">
        <w:rPr>
          <w:rtl w:val="0"/>
        </w:rPr>
        <w:t xml:space="preserve">: Compromised user database, financial records leak—need strong security controls.</w:t>
        <w:br w:type="textWrapping"/>
      </w:r>
    </w:p>
    <w:p w:rsidR="00000000" w:rsidDel="00000000" w:rsidP="00000000" w:rsidRDefault="00000000" w:rsidRPr="00000000" w14:paraId="0000003E">
      <w:pPr>
        <w:numPr>
          <w:ilvl w:val="0"/>
          <w:numId w:val="1"/>
        </w:numPr>
        <w:spacing w:after="0" w:afterAutospacing="0" w:before="0" w:beforeAutospacing="0" w:lineRule="auto"/>
        <w:ind w:left="720" w:right="0" w:hanging="360"/>
      </w:pPr>
      <w:r w:rsidDel="00000000" w:rsidR="00000000" w:rsidRPr="00000000">
        <w:rPr>
          <w:b w:val="1"/>
          <w:rtl w:val="0"/>
        </w:rPr>
        <w:t xml:space="preserve">Moderate Priority (3)</w:t>
      </w:r>
      <w:r w:rsidDel="00000000" w:rsidR="00000000" w:rsidRPr="00000000">
        <w:rPr>
          <w:rtl w:val="0"/>
        </w:rPr>
        <w:t xml:space="preserve">: Theft—while severe, it's less likely to occur.</w:t>
        <w:br w:type="textWrapping"/>
      </w:r>
    </w:p>
    <w:p w:rsidR="00000000" w:rsidDel="00000000" w:rsidP="00000000" w:rsidRDefault="00000000" w:rsidRPr="00000000" w14:paraId="0000003F">
      <w:pPr>
        <w:numPr>
          <w:ilvl w:val="0"/>
          <w:numId w:val="1"/>
        </w:numPr>
        <w:spacing w:after="240" w:before="0" w:beforeAutospacing="0" w:lineRule="auto"/>
        <w:ind w:left="720" w:right="0" w:hanging="360"/>
      </w:pPr>
      <w:r w:rsidDel="00000000" w:rsidR="00000000" w:rsidRPr="00000000">
        <w:rPr>
          <w:b w:val="1"/>
          <w:rtl w:val="0"/>
        </w:rPr>
        <w:t xml:space="preserve">Low Priority (2)</w:t>
      </w:r>
      <w:r w:rsidDel="00000000" w:rsidR="00000000" w:rsidRPr="00000000">
        <w:rPr>
          <w:rtl w:val="0"/>
        </w:rPr>
        <w:t xml:space="preserve">: Supply chain disruption—impacts operations but is infrequent.</w:t>
        <w:br w:type="textWrapping"/>
      </w:r>
    </w:p>
    <w:p w:rsidR="00000000" w:rsidDel="00000000" w:rsidP="00000000" w:rsidRDefault="00000000" w:rsidRPr="00000000" w14:paraId="00000040">
      <w:pPr>
        <w:spacing w:after="240" w:before="240" w:lineRule="auto"/>
        <w:ind w:left="0" w:right="0" w:firstLine="0"/>
        <w:rPr/>
      </w:pPr>
      <w:r w:rsidDel="00000000" w:rsidR="00000000" w:rsidRPr="00000000">
        <w:rPr>
          <w:rtl w:val="0"/>
        </w:rPr>
        <w:t xml:space="preserve">This ranking helps security teams </w:t>
      </w:r>
      <w:r w:rsidDel="00000000" w:rsidR="00000000" w:rsidRPr="00000000">
        <w:rPr>
          <w:b w:val="1"/>
          <w:rtl w:val="0"/>
        </w:rPr>
        <w:t xml:space="preserve">allocate resources efficiently</w:t>
      </w:r>
      <w:r w:rsidDel="00000000" w:rsidR="00000000" w:rsidRPr="00000000">
        <w:rPr>
          <w:rtl w:val="0"/>
        </w:rPr>
        <w:t xml:space="preserve">, addressing the most pressing threats first. </w:t>
      </w:r>
    </w:p>
    <w:p w:rsidR="00000000" w:rsidDel="00000000" w:rsidP="00000000" w:rsidRDefault="00000000" w:rsidRPr="00000000" w14:paraId="00000041">
      <w:pPr>
        <w:ind w:left="-360" w:right="-360" w:firstLine="0"/>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2"/>
        <w:ind w:left="-360" w:right="-360" w:firstLine="0"/>
        <w:jc w:val="center"/>
        <w:rPr/>
      </w:pPr>
      <w:bookmarkStart w:colFirst="0" w:colLast="0" w:name="_yqdx7a4gpstd" w:id="3"/>
      <w:bookmarkEnd w:id="3"/>
      <w:r w:rsidDel="00000000" w:rsidR="00000000" w:rsidRPr="00000000">
        <w:rPr>
          <w:rFonts w:ascii="Google Sans" w:cs="Google Sans" w:eastAsia="Google Sans" w:hAnsi="Google Sans"/>
          <w:rtl w:val="0"/>
        </w:rPr>
        <w:t xml:space="preserve">Sample risk matrix</w:t>
      </w:r>
      <w:r w:rsidDel="00000000" w:rsidR="00000000" w:rsidRPr="00000000">
        <w:rPr>
          <w:rtl w:val="0"/>
        </w:rPr>
      </w:r>
    </w:p>
    <w:p w:rsidR="00000000" w:rsidDel="00000000" w:rsidP="00000000" w:rsidRDefault="00000000" w:rsidRPr="00000000" w14:paraId="00000043">
      <w:pPr>
        <w:ind w:left="-360" w:righ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ind w:left="-360" w:right="-360" w:firstLine="0"/>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
                <a:graphic>
                  <a:graphicData uri="http://schemas.microsoft.com/office/word/2010/wordprocessingShape">
                    <wps:wsp>
                      <wps:cNvSpPr txBox="1"/>
                      <wps:cNvPr id="3" name="Shape 3"/>
                      <wps:spPr>
                        <a:xfrm>
                          <a:off x="136275" y="208075"/>
                          <a:ext cx="1268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Severity</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14438" cy="39581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45">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6">
      <w:pPr>
        <w:spacing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
                <a:graphic>
                  <a:graphicData uri="http://schemas.microsoft.com/office/word/2010/wordprocessingShape">
                    <wps:wsp>
                      <wps:cNvSpPr txBox="1"/>
                      <wps:cNvPr id="2" name="Shape 2"/>
                      <wps:spPr>
                        <a:xfrm rot="-5400000">
                          <a:off x="-479850" y="479850"/>
                          <a:ext cx="1359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Likelihood</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09575" cy="1371600"/>
                        </a:xfrm>
                        <a:prstGeom prst="rect"/>
                        <a:ln/>
                      </pic:spPr>
                    </pic:pic>
                  </a:graphicData>
                </a:graphic>
              </wp:anchor>
            </w:drawing>
          </mc:Fallback>
        </mc:AlternateContent>
      </w:r>
      <w:r w:rsidDel="00000000" w:rsidR="00000000" w:rsidRPr="00000000">
        <w:rPr>
          <w:rtl w:val="0"/>
        </w:rPr>
      </w:r>
    </w:p>
    <w:tbl>
      <w:tblPr>
        <w:tblStyle w:val="Table2"/>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2.5"/>
        <w:gridCol w:w="1882.5"/>
        <w:gridCol w:w="1882.5"/>
        <w:gridCol w:w="1882.5"/>
        <w:tblGridChange w:id="0">
          <w:tblGrid>
            <w:gridCol w:w="1882.5"/>
            <w:gridCol w:w="1882.5"/>
            <w:gridCol w:w="1882.5"/>
            <w:gridCol w:w="1882.5"/>
          </w:tblGrid>
        </w:tblGridChange>
      </w:tblGrid>
      <w:tr>
        <w:trPr>
          <w:cantSplit w:val="0"/>
          <w:trHeight w:val="420"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Catastrophic</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Certain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9</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Likely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Rare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bl>
    <w:p w:rsidR="00000000" w:rsidDel="00000000" w:rsidP="00000000" w:rsidRDefault="00000000" w:rsidRPr="00000000" w14:paraId="0000005D">
      <w:pPr>
        <w:ind w:left="-360" w:right="-360" w:firstLine="0"/>
        <w:jc w:val="center"/>
        <w:rPr>
          <w:rFonts w:ascii="Google Sans" w:cs="Google Sans" w:eastAsia="Google Sans" w:hAnsi="Google Sans"/>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276" w:lineRule="auto"/>
        <w:ind w:left="-360" w:right="-36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