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3F77" w14:textId="08E74B6A" w:rsidR="00C871F4" w:rsidRPr="001B159C" w:rsidRDefault="001B159C" w:rsidP="001B159C">
      <w:pPr>
        <w:jc w:val="center"/>
        <w:rPr>
          <w:rFonts w:ascii="Segoe UI" w:hAnsi="Segoe UI" w:cs="Segoe UI"/>
          <w:b/>
          <w:bCs/>
          <w:sz w:val="28"/>
          <w:szCs w:val="28"/>
        </w:rPr>
      </w:pPr>
      <w:r w:rsidRPr="001B159C">
        <w:rPr>
          <w:rFonts w:ascii="Segoe UI" w:hAnsi="Segoe UI" w:cs="Segoe UI"/>
          <w:b/>
          <w:bCs/>
          <w:sz w:val="28"/>
          <w:szCs w:val="28"/>
        </w:rPr>
        <w:t>Dashboard de Monitoreo de Cumplimiento KYC — FinPago S.A.S.</w:t>
      </w:r>
    </w:p>
    <w:p w14:paraId="15200187" w14:textId="77777777" w:rsidR="001B159C" w:rsidRPr="001B159C" w:rsidRDefault="001B159C" w:rsidP="001B159C">
      <w:pPr>
        <w:jc w:val="center"/>
        <w:rPr>
          <w:rFonts w:ascii="Segoe UI" w:hAnsi="Segoe UI" w:cs="Segoe UI"/>
          <w:sz w:val="24"/>
          <w:szCs w:val="24"/>
        </w:rPr>
      </w:pPr>
    </w:p>
    <w:p w14:paraId="258DDA66" w14:textId="77777777" w:rsidR="001B159C" w:rsidRPr="001B159C" w:rsidRDefault="001B159C" w:rsidP="001B159C">
      <w:pPr>
        <w:rPr>
          <w:rFonts w:ascii="Segoe UI" w:hAnsi="Segoe UI" w:cs="Segoe UI"/>
          <w:sz w:val="24"/>
          <w:szCs w:val="24"/>
        </w:rPr>
      </w:pPr>
    </w:p>
    <w:p w14:paraId="7C0AFAC7" w14:textId="77777777" w:rsidR="001B159C" w:rsidRPr="001B159C" w:rsidRDefault="001B159C" w:rsidP="001B159C">
      <w:pPr>
        <w:rPr>
          <w:rFonts w:ascii="Segoe UI" w:hAnsi="Segoe UI" w:cs="Segoe UI"/>
          <w:sz w:val="24"/>
          <w:szCs w:val="24"/>
        </w:rPr>
      </w:pPr>
    </w:p>
    <w:p w14:paraId="4ECD648C" w14:textId="29AE81D8" w:rsidR="001B159C" w:rsidRPr="001B159C" w:rsidRDefault="001B159C" w:rsidP="001B159C">
      <w:pPr>
        <w:rPr>
          <w:rFonts w:ascii="Segoe UI" w:hAnsi="Segoe UI" w:cs="Segoe UI"/>
          <w:sz w:val="24"/>
          <w:szCs w:val="24"/>
        </w:rPr>
      </w:pPr>
      <w:r w:rsidRPr="001B159C">
        <w:rPr>
          <w:rFonts w:ascii="Segoe UI" w:hAnsi="Segoe UI" w:cs="Segoe UI"/>
          <w:sz w:val="24"/>
          <w:szCs w:val="24"/>
        </w:rPr>
        <w:t>Documento de especificación técnica y normativa</w:t>
      </w:r>
    </w:p>
    <w:p w14:paraId="3FC3F58E" w14:textId="6A8A30BE" w:rsidR="001B159C" w:rsidRPr="001B159C" w:rsidRDefault="001B159C" w:rsidP="001B159C">
      <w:pPr>
        <w:rPr>
          <w:rFonts w:ascii="Segoe UI" w:hAnsi="Segoe UI" w:cs="Segoe UI"/>
          <w:sz w:val="24"/>
          <w:szCs w:val="24"/>
        </w:rPr>
      </w:pPr>
      <w:r w:rsidRPr="001B159C">
        <w:rPr>
          <w:rFonts w:ascii="Segoe UI" w:hAnsi="Segoe UI" w:cs="Segoe UI"/>
          <w:sz w:val="24"/>
          <w:szCs w:val="24"/>
        </w:rPr>
        <w:t>Marzo de 2026</w:t>
      </w:r>
    </w:p>
    <w:p w14:paraId="3695E30F" w14:textId="0446F717" w:rsidR="001B159C" w:rsidRPr="001B159C" w:rsidRDefault="001B159C" w:rsidP="001B159C">
      <w:pPr>
        <w:rPr>
          <w:rFonts w:ascii="Segoe UI" w:hAnsi="Segoe UI" w:cs="Segoe UI"/>
          <w:sz w:val="24"/>
          <w:szCs w:val="24"/>
        </w:rPr>
      </w:pPr>
      <w:r w:rsidRPr="001B159C">
        <w:rPr>
          <w:rFonts w:ascii="Segoe UI" w:hAnsi="Segoe UI" w:cs="Segoe UI"/>
          <w:sz w:val="24"/>
          <w:szCs w:val="24"/>
        </w:rPr>
        <w:t>FinPago S.A.S. — PSPCP (Proveedor de Servicios de Pago que ofrece Cuentas de Pago)</w:t>
      </w:r>
    </w:p>
    <w:p w14:paraId="2E9D0864" w14:textId="77777777" w:rsidR="001B159C" w:rsidRPr="001B159C" w:rsidRDefault="001B159C" w:rsidP="001B159C">
      <w:pPr>
        <w:rPr>
          <w:rFonts w:ascii="Segoe UI" w:hAnsi="Segoe UI" w:cs="Segoe UI"/>
          <w:sz w:val="24"/>
          <w:szCs w:val="24"/>
        </w:rPr>
      </w:pPr>
    </w:p>
    <w:p w14:paraId="13196C79" w14:textId="77777777" w:rsidR="001B159C" w:rsidRPr="001B159C" w:rsidRDefault="001B159C" w:rsidP="001B159C">
      <w:pPr>
        <w:rPr>
          <w:rFonts w:ascii="Segoe UI" w:hAnsi="Segoe UI" w:cs="Segoe UI"/>
          <w:sz w:val="24"/>
          <w:szCs w:val="24"/>
        </w:rPr>
      </w:pPr>
    </w:p>
    <w:p w14:paraId="15EC7C76" w14:textId="77777777" w:rsidR="001B159C" w:rsidRPr="001B159C" w:rsidRDefault="001B159C" w:rsidP="001B159C">
      <w:pPr>
        <w:rPr>
          <w:rFonts w:ascii="Segoe UI" w:hAnsi="Segoe UI" w:cs="Segoe UI"/>
          <w:i/>
          <w:iCs/>
          <w:sz w:val="20"/>
          <w:szCs w:val="20"/>
        </w:rPr>
      </w:pPr>
    </w:p>
    <w:p w14:paraId="4B1F69AC" w14:textId="77777777" w:rsidR="001B159C" w:rsidRPr="001B159C" w:rsidRDefault="001B159C" w:rsidP="001B159C">
      <w:pPr>
        <w:rPr>
          <w:rFonts w:ascii="Segoe UI" w:hAnsi="Segoe UI" w:cs="Segoe UI"/>
          <w:i/>
          <w:iCs/>
          <w:sz w:val="20"/>
          <w:szCs w:val="20"/>
        </w:rPr>
      </w:pPr>
    </w:p>
    <w:p w14:paraId="3948F938" w14:textId="77777777" w:rsidR="001B159C" w:rsidRPr="001B159C" w:rsidRDefault="001B159C" w:rsidP="001B159C">
      <w:pPr>
        <w:rPr>
          <w:rFonts w:ascii="Segoe UI" w:hAnsi="Segoe UI" w:cs="Segoe UI"/>
          <w:i/>
          <w:iCs/>
          <w:sz w:val="20"/>
          <w:szCs w:val="20"/>
        </w:rPr>
      </w:pPr>
    </w:p>
    <w:p w14:paraId="3881F65F" w14:textId="77777777" w:rsidR="001B159C" w:rsidRPr="001B159C" w:rsidRDefault="001B159C" w:rsidP="001B159C">
      <w:pPr>
        <w:rPr>
          <w:rFonts w:ascii="Segoe UI" w:hAnsi="Segoe UI" w:cs="Segoe UI"/>
          <w:i/>
          <w:iCs/>
          <w:sz w:val="20"/>
          <w:szCs w:val="20"/>
        </w:rPr>
      </w:pPr>
    </w:p>
    <w:p w14:paraId="50BE5652" w14:textId="77777777" w:rsidR="001B159C" w:rsidRPr="001B159C" w:rsidRDefault="001B159C" w:rsidP="001B159C">
      <w:pPr>
        <w:rPr>
          <w:rFonts w:ascii="Segoe UI" w:hAnsi="Segoe UI" w:cs="Segoe UI"/>
          <w:i/>
          <w:iCs/>
          <w:sz w:val="20"/>
          <w:szCs w:val="20"/>
        </w:rPr>
      </w:pPr>
    </w:p>
    <w:p w14:paraId="428DB8FD" w14:textId="77777777" w:rsidR="001B159C" w:rsidRPr="001B159C" w:rsidRDefault="001B159C" w:rsidP="001B159C">
      <w:pPr>
        <w:rPr>
          <w:rFonts w:ascii="Segoe UI" w:hAnsi="Segoe UI" w:cs="Segoe UI"/>
          <w:i/>
          <w:iCs/>
          <w:sz w:val="20"/>
          <w:szCs w:val="20"/>
        </w:rPr>
      </w:pPr>
    </w:p>
    <w:p w14:paraId="308A1C56" w14:textId="77777777" w:rsidR="001B159C" w:rsidRPr="001B159C" w:rsidRDefault="001B159C" w:rsidP="001B159C">
      <w:pPr>
        <w:rPr>
          <w:rFonts w:ascii="Segoe UI" w:hAnsi="Segoe UI" w:cs="Segoe UI"/>
          <w:i/>
          <w:iCs/>
          <w:sz w:val="20"/>
          <w:szCs w:val="20"/>
        </w:rPr>
      </w:pPr>
    </w:p>
    <w:p w14:paraId="3A54B62B" w14:textId="77777777" w:rsidR="001B159C" w:rsidRPr="001B159C" w:rsidRDefault="001B159C" w:rsidP="001B159C">
      <w:pPr>
        <w:rPr>
          <w:rFonts w:ascii="Segoe UI" w:hAnsi="Segoe UI" w:cs="Segoe UI"/>
          <w:i/>
          <w:iCs/>
          <w:sz w:val="20"/>
          <w:szCs w:val="20"/>
        </w:rPr>
      </w:pPr>
    </w:p>
    <w:p w14:paraId="6C1B8874" w14:textId="77777777" w:rsidR="001B159C" w:rsidRPr="001B159C" w:rsidRDefault="001B159C" w:rsidP="001B159C">
      <w:pPr>
        <w:rPr>
          <w:rFonts w:ascii="Segoe UI" w:hAnsi="Segoe UI" w:cs="Segoe UI"/>
          <w:i/>
          <w:iCs/>
          <w:sz w:val="20"/>
          <w:szCs w:val="20"/>
        </w:rPr>
      </w:pPr>
    </w:p>
    <w:p w14:paraId="24A9E43C" w14:textId="77777777" w:rsidR="001B159C" w:rsidRPr="001B159C" w:rsidRDefault="001B159C" w:rsidP="001B159C">
      <w:pPr>
        <w:rPr>
          <w:rFonts w:ascii="Segoe UI" w:hAnsi="Segoe UI" w:cs="Segoe UI"/>
          <w:i/>
          <w:iCs/>
          <w:sz w:val="20"/>
          <w:szCs w:val="20"/>
        </w:rPr>
      </w:pPr>
    </w:p>
    <w:p w14:paraId="006BF846" w14:textId="77777777" w:rsidR="001B159C" w:rsidRPr="001B159C" w:rsidRDefault="001B159C" w:rsidP="001B159C">
      <w:pPr>
        <w:rPr>
          <w:rFonts w:ascii="Segoe UI" w:hAnsi="Segoe UI" w:cs="Segoe UI"/>
          <w:i/>
          <w:iCs/>
          <w:sz w:val="20"/>
          <w:szCs w:val="20"/>
        </w:rPr>
      </w:pPr>
    </w:p>
    <w:p w14:paraId="760A046B" w14:textId="77777777" w:rsidR="001B159C" w:rsidRPr="001B159C" w:rsidRDefault="001B159C" w:rsidP="001B159C">
      <w:pPr>
        <w:rPr>
          <w:rFonts w:ascii="Segoe UI" w:hAnsi="Segoe UI" w:cs="Segoe UI"/>
          <w:i/>
          <w:iCs/>
          <w:sz w:val="20"/>
          <w:szCs w:val="20"/>
        </w:rPr>
      </w:pPr>
    </w:p>
    <w:p w14:paraId="50CC0A35" w14:textId="77777777" w:rsidR="001B159C" w:rsidRPr="001B159C" w:rsidRDefault="001B159C" w:rsidP="001B159C">
      <w:pPr>
        <w:rPr>
          <w:rFonts w:ascii="Segoe UI" w:hAnsi="Segoe UI" w:cs="Segoe UI"/>
          <w:i/>
          <w:iCs/>
          <w:sz w:val="20"/>
          <w:szCs w:val="20"/>
        </w:rPr>
      </w:pPr>
    </w:p>
    <w:p w14:paraId="101F915C" w14:textId="77777777" w:rsidR="001B159C" w:rsidRPr="001B159C" w:rsidRDefault="001B159C" w:rsidP="001B159C">
      <w:pPr>
        <w:rPr>
          <w:rFonts w:ascii="Segoe UI" w:hAnsi="Segoe UI" w:cs="Segoe UI"/>
          <w:i/>
          <w:iCs/>
          <w:sz w:val="20"/>
          <w:szCs w:val="20"/>
        </w:rPr>
      </w:pPr>
    </w:p>
    <w:p w14:paraId="0B70472C" w14:textId="77777777" w:rsidR="001B159C" w:rsidRPr="001B159C" w:rsidRDefault="001B159C" w:rsidP="001B159C">
      <w:pPr>
        <w:rPr>
          <w:rFonts w:ascii="Segoe UI" w:hAnsi="Segoe UI" w:cs="Segoe UI"/>
          <w:i/>
          <w:iCs/>
          <w:sz w:val="20"/>
          <w:szCs w:val="20"/>
        </w:rPr>
      </w:pPr>
    </w:p>
    <w:p w14:paraId="29FA5A54" w14:textId="77777777" w:rsidR="001B159C" w:rsidRPr="001B159C" w:rsidRDefault="001B159C" w:rsidP="001B159C">
      <w:pPr>
        <w:rPr>
          <w:rFonts w:ascii="Segoe UI" w:hAnsi="Segoe UI" w:cs="Segoe UI"/>
          <w:i/>
          <w:iCs/>
          <w:sz w:val="20"/>
          <w:szCs w:val="20"/>
        </w:rPr>
      </w:pPr>
    </w:p>
    <w:p w14:paraId="297C546C" w14:textId="77777777" w:rsidR="001B159C" w:rsidRPr="001B159C" w:rsidRDefault="001B159C" w:rsidP="001B159C">
      <w:pPr>
        <w:rPr>
          <w:rFonts w:ascii="Segoe UI" w:hAnsi="Segoe UI" w:cs="Segoe UI"/>
          <w:i/>
          <w:iCs/>
          <w:sz w:val="20"/>
          <w:szCs w:val="20"/>
        </w:rPr>
      </w:pPr>
    </w:p>
    <w:p w14:paraId="69778BD9" w14:textId="33C05C47" w:rsidR="001B159C" w:rsidRPr="001B159C" w:rsidRDefault="001B159C" w:rsidP="001B159C">
      <w:pPr>
        <w:rPr>
          <w:rFonts w:ascii="Segoe UI" w:hAnsi="Segoe UI" w:cs="Segoe UI"/>
          <w:i/>
          <w:iCs/>
          <w:sz w:val="20"/>
          <w:szCs w:val="20"/>
        </w:rPr>
      </w:pPr>
      <w:r w:rsidRPr="001B159C">
        <w:rPr>
          <w:rFonts w:ascii="Segoe UI" w:hAnsi="Segoe UI" w:cs="Segoe UI"/>
          <w:i/>
          <w:iCs/>
          <w:sz w:val="20"/>
          <w:szCs w:val="20"/>
        </w:rPr>
        <w:t xml:space="preserve">Este documento ha sido elaborado con fines exclusivamente educativos y de </w:t>
      </w:r>
      <w:proofErr w:type="gramStart"/>
      <w:r w:rsidRPr="001B159C">
        <w:rPr>
          <w:rFonts w:ascii="Segoe UI" w:hAnsi="Segoe UI" w:cs="Segoe UI"/>
          <w:i/>
          <w:iCs/>
          <w:sz w:val="20"/>
          <w:szCs w:val="20"/>
        </w:rPr>
        <w:t>portfolio</w:t>
      </w:r>
      <w:proofErr w:type="gramEnd"/>
      <w:r w:rsidRPr="001B159C">
        <w:rPr>
          <w:rFonts w:ascii="Segoe UI" w:hAnsi="Segoe UI" w:cs="Segoe UI"/>
          <w:i/>
          <w:iCs/>
          <w:sz w:val="20"/>
          <w:szCs w:val="20"/>
        </w:rPr>
        <w:t xml:space="preserve"> profesional. Todos los datos, clientes, operaciones y situaciones descritas son completamente ficticios. No representan información real de ninguna entidad financiera, persona física o jurídica.</w:t>
      </w:r>
    </w:p>
    <w:p w14:paraId="24D98F01" w14:textId="658F2D6B" w:rsidR="001B159C" w:rsidRDefault="001B159C" w:rsidP="001B159C">
      <w:pPr>
        <w:rPr>
          <w:rFonts w:ascii="Segoe UI" w:hAnsi="Segoe UI" w:cs="Segoe UI"/>
          <w:b/>
          <w:bCs/>
          <w:sz w:val="28"/>
          <w:szCs w:val="28"/>
        </w:rPr>
      </w:pPr>
      <w:r w:rsidRPr="001B159C">
        <w:rPr>
          <w:rFonts w:ascii="Segoe UI" w:hAnsi="Segoe UI" w:cs="Segoe UI"/>
          <w:b/>
          <w:bCs/>
          <w:sz w:val="28"/>
          <w:szCs w:val="28"/>
        </w:rPr>
        <w:lastRenderedPageBreak/>
        <w:t>Objetivo del dashboard</w:t>
      </w:r>
    </w:p>
    <w:p w14:paraId="109344AD" w14:textId="1172885E" w:rsidR="001B159C" w:rsidRDefault="001B159C" w:rsidP="001B159C">
      <w:pPr>
        <w:rPr>
          <w:rFonts w:ascii="Segoe UI" w:hAnsi="Segoe UI" w:cs="Segoe UI"/>
        </w:rPr>
      </w:pPr>
      <w:r w:rsidRPr="001B159C">
        <w:rPr>
          <w:rFonts w:ascii="Segoe UI" w:hAnsi="Segoe UI" w:cs="Segoe UI"/>
        </w:rPr>
        <w:t xml:space="preserve">El presente dashboard tiene como objetivo proporcionar al equipo de compliance de </w:t>
      </w:r>
      <w:r w:rsidRPr="001B159C">
        <w:rPr>
          <w:rFonts w:ascii="Segoe UI" w:hAnsi="Segoe UI" w:cs="Segoe UI"/>
          <w:b/>
          <w:bCs/>
        </w:rPr>
        <w:t>FinPago S.A.S.</w:t>
      </w:r>
      <w:r w:rsidRPr="001B159C">
        <w:rPr>
          <w:rFonts w:ascii="Segoe UI" w:hAnsi="Segoe UI" w:cs="Segoe UI"/>
        </w:rPr>
        <w:t xml:space="preserve"> visibilidad continua sobre el estado de la Debida Diligencia Continuada (DDC) de su cartera de clientes, en cumplimiento de las obligaciones establecidas en la Resolución UIF N° 200/2024 para los Proveedores de Servicios de Pago que ofrecen Cuentas de Pago (PSPCP). La herramienta permite identificar en tiempo real qué clientes requieren actualización de legajo, cuáles presentan alertas activas, y cuál es el nivel global de cumplimiento KYC de la entidad.</w:t>
      </w:r>
    </w:p>
    <w:p w14:paraId="2D769787" w14:textId="1D43500D" w:rsidR="001B159C" w:rsidRDefault="001B159C" w:rsidP="001B159C">
      <w:pPr>
        <w:rPr>
          <w:rFonts w:ascii="Segoe UI" w:hAnsi="Segoe UI" w:cs="Segoe UI"/>
        </w:rPr>
      </w:pPr>
      <w:r w:rsidRPr="001B159C">
        <w:rPr>
          <w:rFonts w:ascii="Segoe UI" w:hAnsi="Segoe UI" w:cs="Segoe UI"/>
        </w:rPr>
        <w:t>El dashboard está estructurado en tres páginas diferenciadas por nivel de usuario, cada una diseñada para responder una pregunta operacional específica:</w:t>
      </w:r>
    </w:p>
    <w:tbl>
      <w:tblPr>
        <w:tblStyle w:val="TableGrid"/>
        <w:tblW w:w="0" w:type="auto"/>
        <w:tblLook w:val="04A0" w:firstRow="1" w:lastRow="0" w:firstColumn="1" w:lastColumn="0" w:noHBand="0" w:noVBand="1"/>
      </w:tblPr>
      <w:tblGrid>
        <w:gridCol w:w="2831"/>
        <w:gridCol w:w="2831"/>
        <w:gridCol w:w="2832"/>
      </w:tblGrid>
      <w:tr w:rsidR="001B159C" w14:paraId="720E6E53" w14:textId="77777777" w:rsidTr="00BA6E07">
        <w:tc>
          <w:tcPr>
            <w:tcW w:w="2831" w:type="dxa"/>
            <w:vAlign w:val="center"/>
          </w:tcPr>
          <w:p w14:paraId="6EEF401A" w14:textId="4058B03C" w:rsidR="001B159C" w:rsidRPr="00611D3B" w:rsidRDefault="001B159C" w:rsidP="001B159C">
            <w:pPr>
              <w:rPr>
                <w:rFonts w:ascii="Segoe UI" w:hAnsi="Segoe UI" w:cs="Segoe UI"/>
                <w:sz w:val="20"/>
                <w:szCs w:val="20"/>
              </w:rPr>
            </w:pPr>
            <w:r w:rsidRPr="00611D3B">
              <w:rPr>
                <w:b/>
                <w:bCs/>
                <w:sz w:val="20"/>
                <w:szCs w:val="20"/>
              </w:rPr>
              <w:t>Nivel de usuario</w:t>
            </w:r>
          </w:p>
        </w:tc>
        <w:tc>
          <w:tcPr>
            <w:tcW w:w="2831" w:type="dxa"/>
            <w:vAlign w:val="center"/>
          </w:tcPr>
          <w:p w14:paraId="6B7B0760" w14:textId="256DB881" w:rsidR="001B159C" w:rsidRPr="00611D3B" w:rsidRDefault="001B159C" w:rsidP="001B159C">
            <w:pPr>
              <w:rPr>
                <w:rFonts w:ascii="Segoe UI" w:hAnsi="Segoe UI" w:cs="Segoe UI"/>
                <w:sz w:val="20"/>
                <w:szCs w:val="20"/>
              </w:rPr>
            </w:pPr>
            <w:r w:rsidRPr="00611D3B">
              <w:rPr>
                <w:b/>
                <w:bCs/>
                <w:sz w:val="20"/>
                <w:szCs w:val="20"/>
              </w:rPr>
              <w:t>Página del dashboard</w:t>
            </w:r>
          </w:p>
        </w:tc>
        <w:tc>
          <w:tcPr>
            <w:tcW w:w="2832" w:type="dxa"/>
            <w:vAlign w:val="center"/>
          </w:tcPr>
          <w:p w14:paraId="69D6D74C" w14:textId="7D4BE402" w:rsidR="001B159C" w:rsidRPr="00611D3B" w:rsidRDefault="001B159C" w:rsidP="001B159C">
            <w:pPr>
              <w:rPr>
                <w:rFonts w:ascii="Segoe UI" w:hAnsi="Segoe UI" w:cs="Segoe UI"/>
                <w:sz w:val="20"/>
                <w:szCs w:val="20"/>
              </w:rPr>
            </w:pPr>
            <w:r w:rsidRPr="00611D3B">
              <w:rPr>
                <w:b/>
                <w:bCs/>
                <w:sz w:val="20"/>
                <w:szCs w:val="20"/>
              </w:rPr>
              <w:t>Pregunta que responde</w:t>
            </w:r>
          </w:p>
        </w:tc>
      </w:tr>
      <w:tr w:rsidR="001B159C" w14:paraId="7F834542" w14:textId="77777777" w:rsidTr="00BA6E07">
        <w:tc>
          <w:tcPr>
            <w:tcW w:w="2831" w:type="dxa"/>
            <w:vAlign w:val="center"/>
          </w:tcPr>
          <w:p w14:paraId="2EAB5FB0" w14:textId="594F47DC" w:rsidR="001B159C" w:rsidRPr="00611D3B" w:rsidRDefault="001B159C" w:rsidP="001B159C">
            <w:pPr>
              <w:rPr>
                <w:rFonts w:ascii="Segoe UI" w:hAnsi="Segoe UI" w:cs="Segoe UI"/>
                <w:sz w:val="20"/>
                <w:szCs w:val="20"/>
              </w:rPr>
            </w:pPr>
            <w:r w:rsidRPr="00611D3B">
              <w:rPr>
                <w:sz w:val="20"/>
                <w:szCs w:val="20"/>
              </w:rPr>
              <w:t xml:space="preserve">Analista </w:t>
            </w:r>
          </w:p>
        </w:tc>
        <w:tc>
          <w:tcPr>
            <w:tcW w:w="2831" w:type="dxa"/>
            <w:vAlign w:val="center"/>
          </w:tcPr>
          <w:p w14:paraId="7F82AE63" w14:textId="6A6B30E6" w:rsidR="001B159C" w:rsidRPr="00611D3B" w:rsidRDefault="001B159C" w:rsidP="001B159C">
            <w:pPr>
              <w:rPr>
                <w:rFonts w:ascii="Segoe UI" w:hAnsi="Segoe UI" w:cs="Segoe UI"/>
                <w:sz w:val="20"/>
                <w:szCs w:val="20"/>
              </w:rPr>
            </w:pPr>
            <w:r w:rsidRPr="00611D3B">
              <w:rPr>
                <w:sz w:val="20"/>
                <w:szCs w:val="20"/>
              </w:rPr>
              <w:t>Página 1 — Vista Operacional</w:t>
            </w:r>
          </w:p>
        </w:tc>
        <w:tc>
          <w:tcPr>
            <w:tcW w:w="2832" w:type="dxa"/>
            <w:vAlign w:val="center"/>
          </w:tcPr>
          <w:p w14:paraId="2CD0D813" w14:textId="77777777" w:rsidR="001B159C" w:rsidRPr="00611D3B" w:rsidRDefault="001B159C" w:rsidP="001B159C">
            <w:pPr>
              <w:rPr>
                <w:sz w:val="20"/>
                <w:szCs w:val="20"/>
              </w:rPr>
            </w:pPr>
          </w:p>
          <w:p w14:paraId="67C0D389" w14:textId="6B801C76" w:rsidR="001B159C" w:rsidRPr="00611D3B" w:rsidRDefault="001B159C" w:rsidP="001B159C">
            <w:pPr>
              <w:rPr>
                <w:sz w:val="20"/>
                <w:szCs w:val="20"/>
              </w:rPr>
            </w:pPr>
            <w:r w:rsidRPr="00611D3B">
              <w:rPr>
                <w:sz w:val="20"/>
                <w:szCs w:val="20"/>
              </w:rPr>
              <w:t>¿Qué clientes debo revisar hoy?</w:t>
            </w:r>
          </w:p>
          <w:p w14:paraId="536908CB" w14:textId="2D3FCF1B" w:rsidR="001B159C" w:rsidRPr="00611D3B" w:rsidRDefault="001B159C" w:rsidP="001B159C">
            <w:pPr>
              <w:rPr>
                <w:rFonts w:ascii="Segoe UI" w:hAnsi="Segoe UI" w:cs="Segoe UI"/>
                <w:sz w:val="20"/>
                <w:szCs w:val="20"/>
              </w:rPr>
            </w:pPr>
          </w:p>
        </w:tc>
      </w:tr>
      <w:tr w:rsidR="001B159C" w14:paraId="1A9A8C8C" w14:textId="77777777" w:rsidTr="00BA6E07">
        <w:tc>
          <w:tcPr>
            <w:tcW w:w="2831" w:type="dxa"/>
            <w:vAlign w:val="center"/>
          </w:tcPr>
          <w:p w14:paraId="6A04FC4B" w14:textId="03F919B3" w:rsidR="001B159C" w:rsidRPr="00611D3B" w:rsidRDefault="001B159C" w:rsidP="001B159C">
            <w:pPr>
              <w:rPr>
                <w:rFonts w:ascii="Segoe UI" w:hAnsi="Segoe UI" w:cs="Segoe UI"/>
                <w:sz w:val="20"/>
                <w:szCs w:val="20"/>
              </w:rPr>
            </w:pPr>
            <w:r w:rsidRPr="00611D3B">
              <w:rPr>
                <w:sz w:val="20"/>
                <w:szCs w:val="20"/>
              </w:rPr>
              <w:t>Oficial de Cumplimiento</w:t>
            </w:r>
          </w:p>
        </w:tc>
        <w:tc>
          <w:tcPr>
            <w:tcW w:w="2831" w:type="dxa"/>
            <w:vAlign w:val="center"/>
          </w:tcPr>
          <w:p w14:paraId="5C4FCB3F" w14:textId="065BA82B" w:rsidR="001B159C" w:rsidRPr="00611D3B" w:rsidRDefault="001B159C" w:rsidP="001B159C">
            <w:pPr>
              <w:rPr>
                <w:rFonts w:ascii="Segoe UI" w:hAnsi="Segoe UI" w:cs="Segoe UI"/>
                <w:sz w:val="20"/>
                <w:szCs w:val="20"/>
              </w:rPr>
            </w:pPr>
            <w:r w:rsidRPr="00611D3B">
              <w:rPr>
                <w:sz w:val="20"/>
                <w:szCs w:val="20"/>
              </w:rPr>
              <w:t>Página 2 — Vista Gerencial</w:t>
            </w:r>
          </w:p>
        </w:tc>
        <w:tc>
          <w:tcPr>
            <w:tcW w:w="2832" w:type="dxa"/>
            <w:vAlign w:val="center"/>
          </w:tcPr>
          <w:p w14:paraId="48FD2C40" w14:textId="77777777" w:rsidR="001B159C" w:rsidRPr="00611D3B" w:rsidRDefault="001B159C" w:rsidP="001B159C">
            <w:pPr>
              <w:rPr>
                <w:sz w:val="20"/>
                <w:szCs w:val="20"/>
              </w:rPr>
            </w:pPr>
          </w:p>
          <w:p w14:paraId="54660FD6" w14:textId="77777777" w:rsidR="001B159C" w:rsidRPr="00611D3B" w:rsidRDefault="001B159C" w:rsidP="001B159C">
            <w:pPr>
              <w:rPr>
                <w:sz w:val="20"/>
                <w:szCs w:val="20"/>
              </w:rPr>
            </w:pPr>
            <w:r w:rsidRPr="00611D3B">
              <w:rPr>
                <w:sz w:val="20"/>
                <w:szCs w:val="20"/>
              </w:rPr>
              <w:t>¿Cuál es el estado de cumplimiento de nuestra cartera?</w:t>
            </w:r>
          </w:p>
          <w:p w14:paraId="7C350F58" w14:textId="62FE1875" w:rsidR="001B159C" w:rsidRPr="00611D3B" w:rsidRDefault="001B159C" w:rsidP="001B159C">
            <w:pPr>
              <w:rPr>
                <w:rFonts w:ascii="Segoe UI" w:hAnsi="Segoe UI" w:cs="Segoe UI"/>
                <w:sz w:val="20"/>
                <w:szCs w:val="20"/>
              </w:rPr>
            </w:pPr>
          </w:p>
        </w:tc>
      </w:tr>
      <w:tr w:rsidR="001B159C" w14:paraId="5D487862" w14:textId="77777777" w:rsidTr="00BA6E07">
        <w:tc>
          <w:tcPr>
            <w:tcW w:w="2831" w:type="dxa"/>
            <w:vAlign w:val="center"/>
          </w:tcPr>
          <w:p w14:paraId="360E87CA" w14:textId="4C4AC9AE" w:rsidR="001B159C" w:rsidRPr="00611D3B" w:rsidRDefault="001B159C" w:rsidP="001B159C">
            <w:pPr>
              <w:rPr>
                <w:rFonts w:ascii="Segoe UI" w:hAnsi="Segoe UI" w:cs="Segoe UI"/>
                <w:sz w:val="20"/>
                <w:szCs w:val="20"/>
              </w:rPr>
            </w:pPr>
            <w:r w:rsidRPr="00611D3B">
              <w:rPr>
                <w:sz w:val="20"/>
                <w:szCs w:val="20"/>
              </w:rPr>
              <w:t>Gerencia / Auditoría</w:t>
            </w:r>
          </w:p>
        </w:tc>
        <w:tc>
          <w:tcPr>
            <w:tcW w:w="2831" w:type="dxa"/>
            <w:vAlign w:val="center"/>
          </w:tcPr>
          <w:p w14:paraId="667C1B4F" w14:textId="6C27FF63" w:rsidR="001B159C" w:rsidRPr="00611D3B" w:rsidRDefault="001B159C" w:rsidP="001B159C">
            <w:pPr>
              <w:rPr>
                <w:rFonts w:ascii="Segoe UI" w:hAnsi="Segoe UI" w:cs="Segoe UI"/>
                <w:sz w:val="20"/>
                <w:szCs w:val="20"/>
              </w:rPr>
            </w:pPr>
            <w:r w:rsidRPr="00611D3B">
              <w:rPr>
                <w:sz w:val="20"/>
                <w:szCs w:val="20"/>
              </w:rPr>
              <w:t>Página 3 — Cumplimiento Regulatorio</w:t>
            </w:r>
          </w:p>
        </w:tc>
        <w:tc>
          <w:tcPr>
            <w:tcW w:w="2832" w:type="dxa"/>
            <w:vAlign w:val="center"/>
          </w:tcPr>
          <w:p w14:paraId="73B949BB" w14:textId="77777777" w:rsidR="001B159C" w:rsidRPr="00611D3B" w:rsidRDefault="001B159C" w:rsidP="001B159C">
            <w:pPr>
              <w:rPr>
                <w:sz w:val="20"/>
                <w:szCs w:val="20"/>
              </w:rPr>
            </w:pPr>
          </w:p>
          <w:p w14:paraId="2A097FD5" w14:textId="77777777" w:rsidR="001B159C" w:rsidRPr="00611D3B" w:rsidRDefault="001B159C" w:rsidP="001B159C">
            <w:pPr>
              <w:rPr>
                <w:sz w:val="20"/>
                <w:szCs w:val="20"/>
              </w:rPr>
            </w:pPr>
            <w:r w:rsidRPr="00611D3B">
              <w:rPr>
                <w:sz w:val="20"/>
                <w:szCs w:val="20"/>
              </w:rPr>
              <w:t>¿Estamos al día con nuestras obligaciones ante la UIF?</w:t>
            </w:r>
          </w:p>
          <w:p w14:paraId="4230981D" w14:textId="6A7A5FC7" w:rsidR="001B159C" w:rsidRPr="00611D3B" w:rsidRDefault="001B159C" w:rsidP="001B159C">
            <w:pPr>
              <w:rPr>
                <w:rFonts w:ascii="Segoe UI" w:hAnsi="Segoe UI" w:cs="Segoe UI"/>
                <w:sz w:val="20"/>
                <w:szCs w:val="20"/>
              </w:rPr>
            </w:pPr>
          </w:p>
        </w:tc>
      </w:tr>
    </w:tbl>
    <w:p w14:paraId="44E8639F" w14:textId="39FF8331" w:rsidR="001B159C" w:rsidRDefault="001B159C" w:rsidP="001B159C">
      <w:pPr>
        <w:pBdr>
          <w:bottom w:val="single" w:sz="6" w:space="1" w:color="auto"/>
        </w:pBdr>
        <w:rPr>
          <w:rFonts w:ascii="Segoe UI" w:hAnsi="Segoe UI" w:cs="Segoe UI"/>
        </w:rPr>
      </w:pPr>
    </w:p>
    <w:p w14:paraId="5FCF97CD" w14:textId="2A8AF83C" w:rsidR="001B159C" w:rsidRDefault="001B159C" w:rsidP="001B159C">
      <w:pPr>
        <w:rPr>
          <w:rFonts w:ascii="Segoe UI" w:hAnsi="Segoe UI" w:cs="Segoe UI"/>
          <w:b/>
          <w:bCs/>
          <w:sz w:val="28"/>
          <w:szCs w:val="28"/>
        </w:rPr>
      </w:pPr>
      <w:r w:rsidRPr="001B159C">
        <w:rPr>
          <w:rFonts w:ascii="Segoe UI" w:hAnsi="Segoe UI" w:cs="Segoe UI"/>
          <w:b/>
          <w:bCs/>
          <w:sz w:val="28"/>
          <w:szCs w:val="28"/>
        </w:rPr>
        <w:t>Fuente de datos y estructura</w:t>
      </w:r>
    </w:p>
    <w:p w14:paraId="2BE3015B" w14:textId="77777777" w:rsidR="001B159C" w:rsidRPr="001B159C" w:rsidRDefault="001B159C" w:rsidP="001B159C">
      <w:pPr>
        <w:rPr>
          <w:rFonts w:ascii="Segoe UI" w:hAnsi="Segoe UI" w:cs="Segoe UI"/>
        </w:rPr>
      </w:pPr>
      <w:r w:rsidRPr="001B159C">
        <w:rPr>
          <w:rFonts w:ascii="Segoe UI" w:hAnsi="Segoe UI" w:cs="Segoe UI"/>
        </w:rPr>
        <w:t>El dashboard consume un único archivo de datos en formato Microsoft Excel denominado DATOS_MONITOREO_KYC_FINPAGO.xlsx, estructurado en cuatro pestañas interrelacionadas:</w:t>
      </w:r>
    </w:p>
    <w:p w14:paraId="3EB7D4A7" w14:textId="77777777" w:rsidR="001B159C" w:rsidRPr="001B159C" w:rsidRDefault="001B159C" w:rsidP="001B159C">
      <w:pPr>
        <w:rPr>
          <w:rFonts w:ascii="Segoe UI" w:hAnsi="Segoe UI" w:cs="Segoe UI"/>
        </w:rPr>
      </w:pPr>
      <w:r w:rsidRPr="001B159C">
        <w:rPr>
          <w:rFonts w:ascii="Segoe UI" w:hAnsi="Segoe UI" w:cs="Segoe UI"/>
          <w:b/>
          <w:bCs/>
          <w:i/>
          <w:iCs/>
        </w:rPr>
        <w:t>CLIENTES_KYC</w:t>
      </w:r>
      <w:r w:rsidRPr="001B159C">
        <w:rPr>
          <w:rFonts w:ascii="Segoe UI" w:hAnsi="Segoe UI" w:cs="Segoe UI"/>
        </w:rPr>
        <w:t xml:space="preserve"> es la pestaña principal y contiene los registros de los 50 clientes simulados de FinPago S.A.S., con 21 columnas que cubren la identificación del cliente, el resultado de la evaluación de riesgo LA/FT/FP (heredado del Proyecto 1 — Matriz EBR), las fechas de alta y de última actualización KYC, las fórmulas de vencimiento calculadas dinámicamente mediante la función HOY() de Excel, el estado del cotejo de listas OFAC/ONU/FPADM, el registro de alertas activas y la prioridad de revisión asignada a cada analista.</w:t>
      </w:r>
    </w:p>
    <w:p w14:paraId="2D65E748" w14:textId="77777777" w:rsidR="001B159C" w:rsidRPr="001B159C" w:rsidRDefault="001B159C" w:rsidP="001B159C">
      <w:pPr>
        <w:rPr>
          <w:rFonts w:ascii="Segoe UI" w:hAnsi="Segoe UI" w:cs="Segoe UI"/>
        </w:rPr>
      </w:pPr>
      <w:r w:rsidRPr="001B159C">
        <w:rPr>
          <w:rFonts w:ascii="Segoe UI" w:hAnsi="Segoe UI" w:cs="Segoe UI"/>
          <w:b/>
          <w:bCs/>
          <w:i/>
          <w:iCs/>
        </w:rPr>
        <w:t>PARAMETROS</w:t>
      </w:r>
      <w:r w:rsidRPr="001B159C">
        <w:rPr>
          <w:rFonts w:ascii="Segoe UI" w:hAnsi="Segoe UI" w:cs="Segoe UI"/>
        </w:rPr>
        <w:t xml:space="preserve"> contiene las tablas de referencia que alimentan las fórmulas de </w:t>
      </w:r>
      <w:r w:rsidRPr="001B159C">
        <w:rPr>
          <w:rFonts w:ascii="Segoe UI" w:hAnsi="Segoe UI" w:cs="Segoe UI"/>
          <w:b/>
          <w:bCs/>
          <w:i/>
          <w:iCs/>
        </w:rPr>
        <w:t>CLIENTES_KYC</w:t>
      </w:r>
      <w:r w:rsidRPr="001B159C">
        <w:rPr>
          <w:rFonts w:ascii="Segoe UI" w:hAnsi="Segoe UI" w:cs="Segoe UI"/>
        </w:rPr>
        <w:t>: la política interna de frecuencia de actualización de legajo por nivel de riesgo (Anual para ALTO, Bianual para MEDIO, Trianual para BAJO), los umbrales del semáforo de vencimiento, y los plazos de los reportes sistemáticos obligatorios bajo la Res. UIF N° 200/2024.</w:t>
      </w:r>
    </w:p>
    <w:p w14:paraId="39667C1D" w14:textId="77777777" w:rsidR="001B159C" w:rsidRPr="001B159C" w:rsidRDefault="001B159C" w:rsidP="001B159C">
      <w:pPr>
        <w:rPr>
          <w:rFonts w:ascii="Segoe UI" w:hAnsi="Segoe UI" w:cs="Segoe UI"/>
        </w:rPr>
      </w:pPr>
      <w:r w:rsidRPr="001B159C">
        <w:rPr>
          <w:rFonts w:ascii="Segoe UI" w:hAnsi="Segoe UI" w:cs="Segoe UI"/>
          <w:b/>
          <w:bCs/>
          <w:i/>
          <w:iCs/>
        </w:rPr>
        <w:lastRenderedPageBreak/>
        <w:t>ALERTAS_ACTIVAS</w:t>
      </w:r>
      <w:r w:rsidRPr="001B159C">
        <w:rPr>
          <w:rFonts w:ascii="Segoe UI" w:hAnsi="Segoe UI" w:cs="Segoe UI"/>
        </w:rPr>
        <w:t xml:space="preserve"> registra los 15 casos de alerta abiertos vinculados a sus respectivos clientes mediante el campo ID_CLIENTE, con la descripción del tipo de alerta, la fecha de apertura y los días transcurridos desde la apertura calculados de forma dinámica.</w:t>
      </w:r>
    </w:p>
    <w:p w14:paraId="2BB43EE6" w14:textId="77777777" w:rsidR="001B159C" w:rsidRPr="001B159C" w:rsidRDefault="001B159C" w:rsidP="001B159C">
      <w:pPr>
        <w:rPr>
          <w:rFonts w:ascii="Segoe UI" w:hAnsi="Segoe UI" w:cs="Segoe UI"/>
        </w:rPr>
      </w:pPr>
      <w:r w:rsidRPr="001B159C">
        <w:rPr>
          <w:rFonts w:ascii="Segoe UI" w:hAnsi="Segoe UI" w:cs="Segoe UI"/>
          <w:b/>
          <w:bCs/>
          <w:i/>
          <w:iCs/>
        </w:rPr>
        <w:t>REPORTES_SISTEMATICOS</w:t>
      </w:r>
      <w:r w:rsidRPr="001B159C">
        <w:rPr>
          <w:rFonts w:ascii="Segoe UI" w:hAnsi="Segoe UI" w:cs="Segoe UI"/>
        </w:rPr>
        <w:t xml:space="preserve"> contiene el historial de cumplimiento de los reportes regulatorios obligatorios de FinPago S.A.S. ante la UIF: el Reporte Sistemático Anual (RSA) correspondiente al año 2025 y los Reportes de Transacciones con Efectivo (RTE) mensuales del primer trimestre de 2026.</w:t>
      </w:r>
    </w:p>
    <w:p w14:paraId="3CDDD9A4" w14:textId="77777777" w:rsidR="001B159C" w:rsidRDefault="001B159C" w:rsidP="001B159C">
      <w:pPr>
        <w:pBdr>
          <w:bottom w:val="single" w:sz="6" w:space="1" w:color="auto"/>
        </w:pBdr>
        <w:rPr>
          <w:rFonts w:ascii="Segoe UI" w:hAnsi="Segoe UI" w:cs="Segoe UI"/>
        </w:rPr>
      </w:pPr>
      <w:r w:rsidRPr="001B159C">
        <w:rPr>
          <w:rFonts w:ascii="Segoe UI" w:hAnsi="Segoe UI" w:cs="Segoe UI"/>
        </w:rPr>
        <w:t>Todos los datos contenidos en este archivo son ficticios y han sido generados exclusivamente para este ejercicio de portfolio. No representan información real de ningún cliente, operación ni entidad.</w:t>
      </w:r>
    </w:p>
    <w:p w14:paraId="070764CA" w14:textId="77777777" w:rsidR="001B159C" w:rsidRDefault="001B159C" w:rsidP="001B159C">
      <w:pPr>
        <w:rPr>
          <w:rFonts w:ascii="Segoe UI" w:hAnsi="Segoe UI" w:cs="Segoe UI"/>
          <w:b/>
          <w:bCs/>
          <w:sz w:val="28"/>
          <w:szCs w:val="28"/>
        </w:rPr>
      </w:pPr>
    </w:p>
    <w:p w14:paraId="040CC04C" w14:textId="38393DDF" w:rsidR="001B159C" w:rsidRDefault="001B159C" w:rsidP="001B159C">
      <w:pPr>
        <w:rPr>
          <w:rFonts w:ascii="Segoe UI" w:hAnsi="Segoe UI" w:cs="Segoe UI"/>
          <w:b/>
          <w:bCs/>
          <w:sz w:val="28"/>
          <w:szCs w:val="28"/>
        </w:rPr>
      </w:pPr>
      <w:r w:rsidRPr="001B159C">
        <w:rPr>
          <w:rFonts w:ascii="Segoe UI" w:hAnsi="Segoe UI" w:cs="Segoe UI"/>
          <w:b/>
          <w:bCs/>
          <w:sz w:val="28"/>
          <w:szCs w:val="28"/>
        </w:rPr>
        <w:t>Indicadores y lógica de cálculo</w:t>
      </w:r>
    </w:p>
    <w:p w14:paraId="6F21B244" w14:textId="4D09C14E" w:rsidR="001B159C" w:rsidRDefault="001B159C" w:rsidP="001B159C">
      <w:pPr>
        <w:rPr>
          <w:rFonts w:ascii="Segoe UI" w:hAnsi="Segoe UI" w:cs="Segoe UI"/>
        </w:rPr>
      </w:pPr>
      <w:r w:rsidRPr="001B159C">
        <w:rPr>
          <w:rFonts w:ascii="Segoe UI" w:hAnsi="Segoe UI" w:cs="Segoe UI"/>
        </w:rPr>
        <w:t>La tabla siguiente describe cada indicador del dashboard: la página en que aparece, la fórmula de cálculo aplicada en Power BI (medida DAX), la norma que justifica su inclusión como indicador de compliance, y la acción que debe disparar cuando el indicador se encuentra en estado crítico.</w:t>
      </w:r>
    </w:p>
    <w:p w14:paraId="1D114B24" w14:textId="77777777" w:rsidR="001B159C" w:rsidRDefault="001B159C" w:rsidP="001B159C">
      <w:pPr>
        <w:rPr>
          <w:rFonts w:ascii="Segoe UI" w:hAnsi="Segoe UI" w:cs="Segoe UI"/>
        </w:rPr>
      </w:pPr>
    </w:p>
    <w:tbl>
      <w:tblPr>
        <w:tblStyle w:val="TableGrid"/>
        <w:tblW w:w="0" w:type="auto"/>
        <w:tblLook w:val="04A0" w:firstRow="1" w:lastRow="0" w:firstColumn="1" w:lastColumn="0" w:noHBand="0" w:noVBand="1"/>
      </w:tblPr>
      <w:tblGrid>
        <w:gridCol w:w="1303"/>
        <w:gridCol w:w="824"/>
        <w:gridCol w:w="3577"/>
        <w:gridCol w:w="1321"/>
        <w:gridCol w:w="1469"/>
      </w:tblGrid>
      <w:tr w:rsidR="001B159C" w14:paraId="0718A584" w14:textId="77777777" w:rsidTr="001B159C">
        <w:tc>
          <w:tcPr>
            <w:tcW w:w="1698" w:type="dxa"/>
          </w:tcPr>
          <w:p w14:paraId="1C53B650" w14:textId="4BBA6F9B" w:rsidR="001B159C" w:rsidRPr="00611D3B" w:rsidRDefault="00184FB4" w:rsidP="001B159C">
            <w:pPr>
              <w:rPr>
                <w:rFonts w:ascii="Segoe UI" w:hAnsi="Segoe UI" w:cs="Segoe UI"/>
                <w:sz w:val="20"/>
                <w:szCs w:val="20"/>
              </w:rPr>
            </w:pPr>
            <w:r w:rsidRPr="00611D3B">
              <w:rPr>
                <w:rFonts w:ascii="Segoe UI" w:hAnsi="Segoe UI" w:cs="Segoe UI"/>
                <w:sz w:val="20"/>
                <w:szCs w:val="20"/>
              </w:rPr>
              <w:t>Indicador</w:t>
            </w:r>
          </w:p>
        </w:tc>
        <w:tc>
          <w:tcPr>
            <w:tcW w:w="1699" w:type="dxa"/>
          </w:tcPr>
          <w:p w14:paraId="5285DA9A" w14:textId="08068C93" w:rsidR="001B159C" w:rsidRPr="00611D3B" w:rsidRDefault="00184FB4" w:rsidP="001B159C">
            <w:pPr>
              <w:rPr>
                <w:rFonts w:ascii="Segoe UI" w:hAnsi="Segoe UI" w:cs="Segoe UI"/>
                <w:sz w:val="20"/>
                <w:szCs w:val="20"/>
              </w:rPr>
            </w:pPr>
            <w:r w:rsidRPr="00611D3B">
              <w:rPr>
                <w:rFonts w:ascii="Segoe UI" w:hAnsi="Segoe UI" w:cs="Segoe UI"/>
                <w:sz w:val="20"/>
                <w:szCs w:val="20"/>
              </w:rPr>
              <w:t>Página</w:t>
            </w:r>
          </w:p>
        </w:tc>
        <w:tc>
          <w:tcPr>
            <w:tcW w:w="1699" w:type="dxa"/>
          </w:tcPr>
          <w:p w14:paraId="742020FB" w14:textId="3E2A8A39" w:rsidR="001B159C" w:rsidRPr="00611D3B" w:rsidRDefault="00184FB4" w:rsidP="001B159C">
            <w:pPr>
              <w:rPr>
                <w:rFonts w:ascii="Segoe UI" w:hAnsi="Segoe UI" w:cs="Segoe UI"/>
                <w:sz w:val="20"/>
                <w:szCs w:val="20"/>
              </w:rPr>
            </w:pPr>
            <w:r w:rsidRPr="00611D3B">
              <w:rPr>
                <w:rFonts w:ascii="Segoe UI" w:hAnsi="Segoe UI" w:cs="Segoe UI"/>
                <w:sz w:val="20"/>
                <w:szCs w:val="20"/>
              </w:rPr>
              <w:t>Fórmula DAX (Power BI)</w:t>
            </w:r>
          </w:p>
        </w:tc>
        <w:tc>
          <w:tcPr>
            <w:tcW w:w="1699" w:type="dxa"/>
          </w:tcPr>
          <w:p w14:paraId="0F9E31A0" w14:textId="761EB3F1" w:rsidR="001B159C" w:rsidRPr="00611D3B" w:rsidRDefault="00184FB4" w:rsidP="001B159C">
            <w:pPr>
              <w:rPr>
                <w:rFonts w:ascii="Segoe UI" w:hAnsi="Segoe UI" w:cs="Segoe UI"/>
                <w:sz w:val="20"/>
                <w:szCs w:val="20"/>
              </w:rPr>
            </w:pPr>
            <w:r w:rsidRPr="00611D3B">
              <w:rPr>
                <w:rFonts w:ascii="Segoe UI" w:hAnsi="Segoe UI" w:cs="Segoe UI"/>
                <w:sz w:val="20"/>
                <w:szCs w:val="20"/>
              </w:rPr>
              <w:t>Norma</w:t>
            </w:r>
          </w:p>
        </w:tc>
        <w:tc>
          <w:tcPr>
            <w:tcW w:w="1699" w:type="dxa"/>
          </w:tcPr>
          <w:p w14:paraId="42E28517" w14:textId="7DBAF9C1" w:rsidR="001B159C" w:rsidRPr="00611D3B" w:rsidRDefault="00184FB4" w:rsidP="001B159C">
            <w:pPr>
              <w:rPr>
                <w:rFonts w:ascii="Segoe UI" w:hAnsi="Segoe UI" w:cs="Segoe UI"/>
                <w:sz w:val="20"/>
                <w:szCs w:val="20"/>
              </w:rPr>
            </w:pPr>
            <w:r w:rsidRPr="00611D3B">
              <w:rPr>
                <w:rFonts w:ascii="Segoe UI" w:hAnsi="Segoe UI" w:cs="Segoe UI"/>
                <w:sz w:val="20"/>
                <w:szCs w:val="20"/>
              </w:rPr>
              <w:t>Acción si crítico</w:t>
            </w:r>
          </w:p>
        </w:tc>
      </w:tr>
      <w:tr w:rsidR="001B159C" w14:paraId="3DEC5346" w14:textId="77777777" w:rsidTr="001B159C">
        <w:tc>
          <w:tcPr>
            <w:tcW w:w="1698" w:type="dxa"/>
          </w:tcPr>
          <w:p w14:paraId="57926A7B" w14:textId="6053D4E2" w:rsidR="001B159C" w:rsidRPr="00611D3B" w:rsidRDefault="00184FB4" w:rsidP="001B159C">
            <w:pPr>
              <w:rPr>
                <w:rFonts w:ascii="Segoe UI" w:hAnsi="Segoe UI" w:cs="Segoe UI"/>
                <w:sz w:val="20"/>
                <w:szCs w:val="20"/>
              </w:rPr>
            </w:pPr>
            <w:r w:rsidRPr="00611D3B">
              <w:rPr>
                <w:rFonts w:ascii="Segoe UI" w:hAnsi="Segoe UI" w:cs="Segoe UI"/>
                <w:sz w:val="20"/>
                <w:szCs w:val="20"/>
              </w:rPr>
              <w:t>Clientes con KYC vencido</w:t>
            </w:r>
          </w:p>
        </w:tc>
        <w:tc>
          <w:tcPr>
            <w:tcW w:w="1699" w:type="dxa"/>
          </w:tcPr>
          <w:p w14:paraId="270BCCFF" w14:textId="2368328A" w:rsidR="001B159C" w:rsidRPr="00611D3B" w:rsidRDefault="00184FB4" w:rsidP="001B159C">
            <w:pPr>
              <w:rPr>
                <w:rFonts w:ascii="Segoe UI" w:hAnsi="Segoe UI" w:cs="Segoe UI"/>
                <w:sz w:val="20"/>
                <w:szCs w:val="20"/>
              </w:rPr>
            </w:pPr>
            <w:r w:rsidRPr="00611D3B">
              <w:rPr>
                <w:rFonts w:ascii="Segoe UI" w:hAnsi="Segoe UI" w:cs="Segoe UI"/>
                <w:sz w:val="20"/>
                <w:szCs w:val="20"/>
              </w:rPr>
              <w:t>1 y 2</w:t>
            </w:r>
          </w:p>
        </w:tc>
        <w:tc>
          <w:tcPr>
            <w:tcW w:w="1699" w:type="dxa"/>
          </w:tcPr>
          <w:p w14:paraId="0AC42416" w14:textId="07198C14"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CALCULATE(COUNTROWS, ESTADO_VENCIMIENTO = "VENCIDO")</w:t>
            </w:r>
          </w:p>
        </w:tc>
        <w:tc>
          <w:tcPr>
            <w:tcW w:w="1699" w:type="dxa"/>
          </w:tcPr>
          <w:p w14:paraId="21A9247B" w14:textId="0C1D995B" w:rsidR="001B159C" w:rsidRPr="00611D3B" w:rsidRDefault="00184FB4" w:rsidP="001B159C">
            <w:pPr>
              <w:rPr>
                <w:rFonts w:ascii="Segoe UI" w:hAnsi="Segoe UI" w:cs="Segoe UI"/>
                <w:sz w:val="20"/>
                <w:szCs w:val="20"/>
              </w:rPr>
            </w:pPr>
            <w:r w:rsidRPr="00611D3B">
              <w:rPr>
                <w:rFonts w:ascii="Segoe UI" w:hAnsi="Segoe UI" w:cs="Segoe UI"/>
                <w:sz w:val="20"/>
                <w:szCs w:val="20"/>
              </w:rPr>
              <w:t>Res. UIF 200/2024 — Debida Diligencia Continuada</w:t>
            </w:r>
          </w:p>
        </w:tc>
        <w:tc>
          <w:tcPr>
            <w:tcW w:w="1699" w:type="dxa"/>
          </w:tcPr>
          <w:p w14:paraId="70E936E8" w14:textId="69CE31B0" w:rsidR="001B159C" w:rsidRPr="00611D3B" w:rsidRDefault="00184FB4" w:rsidP="001B159C">
            <w:pPr>
              <w:rPr>
                <w:rFonts w:ascii="Segoe UI" w:hAnsi="Segoe UI" w:cs="Segoe UI"/>
                <w:sz w:val="20"/>
                <w:szCs w:val="20"/>
              </w:rPr>
            </w:pPr>
            <w:r w:rsidRPr="00611D3B">
              <w:rPr>
                <w:rFonts w:ascii="Segoe UI" w:hAnsi="Segoe UI" w:cs="Segoe UI"/>
                <w:sz w:val="20"/>
                <w:szCs w:val="20"/>
              </w:rPr>
              <w:t>Revisión urgente del legajo. Evaluar suspensión de operaciones hasta renovación.</w:t>
            </w:r>
          </w:p>
        </w:tc>
      </w:tr>
      <w:tr w:rsidR="001B159C" w14:paraId="172B70E5" w14:textId="77777777" w:rsidTr="001B159C">
        <w:tc>
          <w:tcPr>
            <w:tcW w:w="1698" w:type="dxa"/>
          </w:tcPr>
          <w:p w14:paraId="2E437AF9" w14:textId="15DED70F" w:rsidR="001B159C" w:rsidRPr="00611D3B" w:rsidRDefault="00184FB4" w:rsidP="001B159C">
            <w:pPr>
              <w:rPr>
                <w:rFonts w:ascii="Segoe UI" w:hAnsi="Segoe UI" w:cs="Segoe UI"/>
                <w:sz w:val="20"/>
                <w:szCs w:val="20"/>
              </w:rPr>
            </w:pPr>
            <w:r w:rsidRPr="00611D3B">
              <w:rPr>
                <w:rFonts w:ascii="Segoe UI" w:hAnsi="Segoe UI" w:cs="Segoe UI"/>
                <w:sz w:val="20"/>
                <w:szCs w:val="20"/>
              </w:rPr>
              <w:t>% de cartera con KYC al día</w:t>
            </w:r>
          </w:p>
        </w:tc>
        <w:tc>
          <w:tcPr>
            <w:tcW w:w="1699" w:type="dxa"/>
          </w:tcPr>
          <w:p w14:paraId="6DD1746D" w14:textId="75162DC9" w:rsidR="001B159C" w:rsidRPr="00611D3B" w:rsidRDefault="00184FB4" w:rsidP="001B159C">
            <w:pPr>
              <w:rPr>
                <w:rFonts w:ascii="Segoe UI" w:hAnsi="Segoe UI" w:cs="Segoe UI"/>
                <w:sz w:val="20"/>
                <w:szCs w:val="20"/>
              </w:rPr>
            </w:pPr>
            <w:r w:rsidRPr="00611D3B">
              <w:rPr>
                <w:rFonts w:ascii="Segoe UI" w:hAnsi="Segoe UI" w:cs="Segoe UI"/>
                <w:sz w:val="20"/>
                <w:szCs w:val="20"/>
              </w:rPr>
              <w:t>2</w:t>
            </w:r>
          </w:p>
        </w:tc>
        <w:tc>
          <w:tcPr>
            <w:tcW w:w="1699" w:type="dxa"/>
          </w:tcPr>
          <w:p w14:paraId="176C6EDD" w14:textId="44E9AC0C"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(Clientes AL DÍA / 50) × 100</w:t>
            </w:r>
          </w:p>
        </w:tc>
        <w:tc>
          <w:tcPr>
            <w:tcW w:w="1699" w:type="dxa"/>
          </w:tcPr>
          <w:p w14:paraId="35E5D21A" w14:textId="68AF0A29" w:rsidR="001B159C" w:rsidRPr="00611D3B" w:rsidRDefault="00184FB4" w:rsidP="001B159C">
            <w:pPr>
              <w:rPr>
                <w:rFonts w:ascii="Segoe UI" w:hAnsi="Segoe UI" w:cs="Segoe UI"/>
                <w:sz w:val="20"/>
                <w:szCs w:val="20"/>
              </w:rPr>
            </w:pPr>
            <w:r w:rsidRPr="00611D3B">
              <w:rPr>
                <w:rFonts w:ascii="Segoe UI" w:hAnsi="Segoe UI" w:cs="Segoe UI"/>
                <w:sz w:val="20"/>
                <w:szCs w:val="20"/>
              </w:rPr>
              <w:t>Res. UIF 200/2024 — Debida Diligencia Continuada</w:t>
            </w:r>
          </w:p>
        </w:tc>
        <w:tc>
          <w:tcPr>
            <w:tcW w:w="1699" w:type="dxa"/>
          </w:tcPr>
          <w:p w14:paraId="4CBA03AA" w14:textId="0A918A1C" w:rsidR="001B159C" w:rsidRPr="00611D3B" w:rsidRDefault="00184FB4" w:rsidP="001B159C">
            <w:pPr>
              <w:rPr>
                <w:rFonts w:ascii="Segoe UI" w:hAnsi="Segoe UI" w:cs="Segoe UI"/>
                <w:sz w:val="20"/>
                <w:szCs w:val="20"/>
              </w:rPr>
            </w:pPr>
            <w:r w:rsidRPr="00611D3B">
              <w:rPr>
                <w:rFonts w:ascii="Segoe UI" w:hAnsi="Segoe UI" w:cs="Segoe UI"/>
                <w:sz w:val="20"/>
                <w:szCs w:val="20"/>
              </w:rPr>
              <w:t>Si el índice cae por debajo del 60%, escalar al Oficial de Cumplimiento para plan de acción.</w:t>
            </w:r>
          </w:p>
        </w:tc>
      </w:tr>
      <w:tr w:rsidR="001B159C" w14:paraId="69451E5D" w14:textId="77777777" w:rsidTr="001B159C">
        <w:tc>
          <w:tcPr>
            <w:tcW w:w="1698" w:type="dxa"/>
          </w:tcPr>
          <w:p w14:paraId="7896B663" w14:textId="5A3B3E53" w:rsidR="001B159C" w:rsidRPr="00611D3B" w:rsidRDefault="00184FB4" w:rsidP="001B159C">
            <w:pPr>
              <w:rPr>
                <w:rFonts w:ascii="Segoe UI" w:hAnsi="Segoe UI" w:cs="Segoe UI"/>
                <w:sz w:val="20"/>
                <w:szCs w:val="20"/>
              </w:rPr>
            </w:pPr>
            <w:r w:rsidRPr="00611D3B">
              <w:rPr>
                <w:rFonts w:ascii="Segoe UI" w:hAnsi="Segoe UI" w:cs="Segoe UI"/>
                <w:sz w:val="20"/>
                <w:szCs w:val="20"/>
              </w:rPr>
              <w:t>Clientes con alerta activa</w:t>
            </w:r>
          </w:p>
        </w:tc>
        <w:tc>
          <w:tcPr>
            <w:tcW w:w="1699" w:type="dxa"/>
          </w:tcPr>
          <w:p w14:paraId="48DFF2D1" w14:textId="3AC6A748" w:rsidR="001B159C" w:rsidRPr="00611D3B" w:rsidRDefault="00184FB4" w:rsidP="001B159C">
            <w:pPr>
              <w:rPr>
                <w:rFonts w:ascii="Segoe UI" w:hAnsi="Segoe UI" w:cs="Segoe UI"/>
                <w:sz w:val="20"/>
                <w:szCs w:val="20"/>
              </w:rPr>
            </w:pPr>
            <w:r w:rsidRPr="00611D3B">
              <w:rPr>
                <w:rFonts w:ascii="Segoe UI" w:hAnsi="Segoe UI" w:cs="Segoe UI"/>
                <w:sz w:val="20"/>
                <w:szCs w:val="20"/>
              </w:rPr>
              <w:t>1</w:t>
            </w:r>
          </w:p>
        </w:tc>
        <w:tc>
          <w:tcPr>
            <w:tcW w:w="1699" w:type="dxa"/>
          </w:tcPr>
          <w:p w14:paraId="527329B2" w14:textId="2970F595"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CALCULATE(COUNTROWS, ALERTA_ACTIVA = "Sí")</w:t>
            </w:r>
          </w:p>
        </w:tc>
        <w:tc>
          <w:tcPr>
            <w:tcW w:w="1699" w:type="dxa"/>
          </w:tcPr>
          <w:p w14:paraId="27136F7A" w14:textId="7DDB619C" w:rsidR="001B159C" w:rsidRPr="00611D3B" w:rsidRDefault="00184FB4" w:rsidP="001B159C">
            <w:pPr>
              <w:rPr>
                <w:rFonts w:ascii="Segoe UI" w:hAnsi="Segoe UI" w:cs="Segoe UI"/>
                <w:sz w:val="20"/>
                <w:szCs w:val="20"/>
              </w:rPr>
            </w:pPr>
            <w:r w:rsidRPr="00611D3B">
              <w:rPr>
                <w:rFonts w:ascii="Segoe UI" w:hAnsi="Segoe UI" w:cs="Segoe UI"/>
                <w:sz w:val="20"/>
                <w:szCs w:val="20"/>
              </w:rPr>
              <w:t>Res. UIF 200/2024 — Monitoreo continuo</w:t>
            </w:r>
          </w:p>
        </w:tc>
        <w:tc>
          <w:tcPr>
            <w:tcW w:w="1699" w:type="dxa"/>
          </w:tcPr>
          <w:p w14:paraId="2FA85EAF" w14:textId="2C62523B" w:rsidR="001B159C" w:rsidRPr="00611D3B" w:rsidRDefault="00184FB4" w:rsidP="001B159C">
            <w:pPr>
              <w:rPr>
                <w:rFonts w:ascii="Segoe UI" w:hAnsi="Segoe UI" w:cs="Segoe UI"/>
                <w:sz w:val="20"/>
                <w:szCs w:val="20"/>
              </w:rPr>
            </w:pPr>
            <w:r w:rsidRPr="00611D3B">
              <w:rPr>
                <w:rFonts w:ascii="Segoe UI" w:hAnsi="Segoe UI" w:cs="Segoe UI"/>
                <w:sz w:val="20"/>
                <w:szCs w:val="20"/>
              </w:rPr>
              <w:t>Priorizar en la cola de trabajo diaria del analista. Actualizar estado de cada caso.</w:t>
            </w:r>
          </w:p>
        </w:tc>
      </w:tr>
      <w:tr w:rsidR="001B159C" w14:paraId="5C5135BA" w14:textId="77777777" w:rsidTr="001B159C">
        <w:tc>
          <w:tcPr>
            <w:tcW w:w="1698" w:type="dxa"/>
          </w:tcPr>
          <w:p w14:paraId="1BAAB7DE" w14:textId="2594DBFF" w:rsidR="001B159C" w:rsidRPr="00611D3B" w:rsidRDefault="00184FB4" w:rsidP="001B159C">
            <w:pPr>
              <w:rPr>
                <w:rFonts w:ascii="Segoe UI" w:hAnsi="Segoe UI" w:cs="Segoe UI"/>
                <w:sz w:val="20"/>
                <w:szCs w:val="20"/>
              </w:rPr>
            </w:pPr>
            <w:r w:rsidRPr="00611D3B">
              <w:rPr>
                <w:rFonts w:ascii="Segoe UI" w:hAnsi="Segoe UI" w:cs="Segoe UI"/>
                <w:sz w:val="20"/>
                <w:szCs w:val="20"/>
              </w:rPr>
              <w:lastRenderedPageBreak/>
              <w:t>Cotejo FPADM con resultado pendiente</w:t>
            </w:r>
          </w:p>
        </w:tc>
        <w:tc>
          <w:tcPr>
            <w:tcW w:w="1699" w:type="dxa"/>
          </w:tcPr>
          <w:p w14:paraId="7F5C9091" w14:textId="31531707" w:rsidR="001B159C" w:rsidRPr="00611D3B" w:rsidRDefault="00184FB4" w:rsidP="001B159C">
            <w:pPr>
              <w:rPr>
                <w:rFonts w:ascii="Segoe UI" w:hAnsi="Segoe UI" w:cs="Segoe UI"/>
                <w:sz w:val="20"/>
                <w:szCs w:val="20"/>
              </w:rPr>
            </w:pPr>
            <w:r w:rsidRPr="00611D3B">
              <w:rPr>
                <w:rFonts w:ascii="Segoe UI" w:hAnsi="Segoe UI" w:cs="Segoe UI"/>
                <w:sz w:val="20"/>
                <w:szCs w:val="20"/>
              </w:rPr>
              <w:t>2</w:t>
            </w:r>
          </w:p>
        </w:tc>
        <w:tc>
          <w:tcPr>
            <w:tcW w:w="1699" w:type="dxa"/>
          </w:tcPr>
          <w:p w14:paraId="1D231179" w14:textId="332567FC"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CALCULATE(COUNTROWS, COTEJO_LISTAS_RESULTADO = "Coincidencia parcial")</w:t>
            </w:r>
          </w:p>
        </w:tc>
        <w:tc>
          <w:tcPr>
            <w:tcW w:w="1699" w:type="dxa"/>
          </w:tcPr>
          <w:p w14:paraId="6562201A" w14:textId="29CDC468" w:rsidR="001B159C" w:rsidRPr="00611D3B" w:rsidRDefault="00184FB4" w:rsidP="001B159C">
            <w:pPr>
              <w:rPr>
                <w:rFonts w:ascii="Segoe UI" w:hAnsi="Segoe UI" w:cs="Segoe UI"/>
                <w:sz w:val="20"/>
                <w:szCs w:val="20"/>
              </w:rPr>
            </w:pPr>
            <w:r w:rsidRPr="00611D3B">
              <w:rPr>
                <w:rFonts w:ascii="Segoe UI" w:hAnsi="Segoe UI" w:cs="Segoe UI"/>
                <w:sz w:val="20"/>
                <w:szCs w:val="20"/>
              </w:rPr>
              <w:t>Res. UIF 3/2026 — Listas FPADM</w:t>
            </w:r>
          </w:p>
        </w:tc>
        <w:tc>
          <w:tcPr>
            <w:tcW w:w="1699" w:type="dxa"/>
          </w:tcPr>
          <w:p w14:paraId="00767ACA" w14:textId="208E24BD" w:rsidR="001B159C" w:rsidRPr="00611D3B" w:rsidRDefault="00184FB4" w:rsidP="001B159C">
            <w:pPr>
              <w:rPr>
                <w:rFonts w:ascii="Segoe UI" w:hAnsi="Segoe UI" w:cs="Segoe UI"/>
                <w:sz w:val="20"/>
                <w:szCs w:val="20"/>
              </w:rPr>
            </w:pPr>
            <w:r w:rsidRPr="00611D3B">
              <w:rPr>
                <w:rFonts w:ascii="Segoe UI" w:hAnsi="Segoe UI" w:cs="Segoe UI"/>
                <w:sz w:val="20"/>
                <w:szCs w:val="20"/>
              </w:rPr>
              <w:t>Ejecutar verificación inmediata. Reportar al Oficial si la coincidencia se confirma.</w:t>
            </w:r>
          </w:p>
        </w:tc>
      </w:tr>
      <w:tr w:rsidR="001B159C" w14:paraId="55993FEA" w14:textId="77777777" w:rsidTr="001B159C">
        <w:tc>
          <w:tcPr>
            <w:tcW w:w="1698" w:type="dxa"/>
          </w:tcPr>
          <w:p w14:paraId="32871011" w14:textId="0FD24ECB" w:rsidR="001B159C" w:rsidRPr="00611D3B" w:rsidRDefault="00184FB4" w:rsidP="001B159C">
            <w:pPr>
              <w:rPr>
                <w:rFonts w:ascii="Segoe UI" w:hAnsi="Segoe UI" w:cs="Segoe UI"/>
                <w:sz w:val="20"/>
                <w:szCs w:val="20"/>
              </w:rPr>
            </w:pPr>
            <w:r w:rsidRPr="00611D3B">
              <w:rPr>
                <w:rFonts w:ascii="Segoe UI" w:hAnsi="Segoe UI" w:cs="Segoe UI"/>
                <w:sz w:val="20"/>
                <w:szCs w:val="20"/>
              </w:rPr>
              <w:t>RSA presentado en plazo</w:t>
            </w:r>
          </w:p>
        </w:tc>
        <w:tc>
          <w:tcPr>
            <w:tcW w:w="1699" w:type="dxa"/>
          </w:tcPr>
          <w:p w14:paraId="028025E9" w14:textId="0A1E6BCC" w:rsidR="001B159C" w:rsidRPr="00611D3B" w:rsidRDefault="00184FB4" w:rsidP="001B159C">
            <w:pPr>
              <w:rPr>
                <w:rFonts w:ascii="Segoe UI" w:hAnsi="Segoe UI" w:cs="Segoe UI"/>
                <w:sz w:val="20"/>
                <w:szCs w:val="20"/>
              </w:rPr>
            </w:pPr>
            <w:r w:rsidRPr="00611D3B">
              <w:rPr>
                <w:rFonts w:ascii="Segoe UI" w:hAnsi="Segoe UI" w:cs="Segoe UI"/>
                <w:sz w:val="20"/>
                <w:szCs w:val="20"/>
              </w:rPr>
              <w:t>3</w:t>
            </w:r>
          </w:p>
        </w:tc>
        <w:tc>
          <w:tcPr>
            <w:tcW w:w="1699" w:type="dxa"/>
          </w:tcPr>
          <w:p w14:paraId="093B04EF" w14:textId="565177C0"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DATEDIFF(FECHA_PRESENTACION, FECHA_LIMITE, DAY) ≥ 0</w:t>
            </w:r>
          </w:p>
        </w:tc>
        <w:tc>
          <w:tcPr>
            <w:tcW w:w="1699" w:type="dxa"/>
          </w:tcPr>
          <w:p w14:paraId="3838FB86" w14:textId="3CE0FD75" w:rsidR="001B159C" w:rsidRPr="00611D3B" w:rsidRDefault="00184FB4" w:rsidP="001B159C">
            <w:pPr>
              <w:rPr>
                <w:rFonts w:ascii="Segoe UI" w:hAnsi="Segoe UI" w:cs="Segoe UI"/>
                <w:sz w:val="20"/>
                <w:szCs w:val="20"/>
              </w:rPr>
            </w:pPr>
            <w:r w:rsidRPr="00611D3B">
              <w:rPr>
                <w:rFonts w:ascii="Segoe UI" w:hAnsi="Segoe UI" w:cs="Segoe UI"/>
                <w:sz w:val="20"/>
                <w:szCs w:val="20"/>
              </w:rPr>
              <w:t>Res. UIF 200/2024 — Reportes Sistemáticos</w:t>
            </w:r>
          </w:p>
        </w:tc>
        <w:tc>
          <w:tcPr>
            <w:tcW w:w="1699" w:type="dxa"/>
          </w:tcPr>
          <w:p w14:paraId="7D162513" w14:textId="01970402" w:rsidR="001B159C" w:rsidRPr="00611D3B" w:rsidRDefault="00184FB4" w:rsidP="001B159C">
            <w:pPr>
              <w:rPr>
                <w:rFonts w:ascii="Segoe UI" w:hAnsi="Segoe UI" w:cs="Segoe UI"/>
                <w:sz w:val="20"/>
                <w:szCs w:val="20"/>
              </w:rPr>
            </w:pPr>
            <w:r w:rsidRPr="00611D3B">
              <w:rPr>
                <w:rFonts w:ascii="Segoe UI" w:hAnsi="Segoe UI" w:cs="Segoe UI"/>
                <w:sz w:val="20"/>
                <w:szCs w:val="20"/>
              </w:rPr>
              <w:t>Si el RSA está vencido, escalar al Oficial de Cumplimiento con carácter urgente.</w:t>
            </w:r>
          </w:p>
        </w:tc>
      </w:tr>
      <w:tr w:rsidR="001B159C" w14:paraId="72476D13" w14:textId="77777777" w:rsidTr="001B159C">
        <w:tc>
          <w:tcPr>
            <w:tcW w:w="1698" w:type="dxa"/>
          </w:tcPr>
          <w:p w14:paraId="7335D124" w14:textId="79FCD044" w:rsidR="001B159C" w:rsidRPr="00611D3B" w:rsidRDefault="00184FB4" w:rsidP="001B159C">
            <w:pPr>
              <w:rPr>
                <w:rFonts w:ascii="Segoe UI" w:hAnsi="Segoe UI" w:cs="Segoe UI"/>
                <w:sz w:val="20"/>
                <w:szCs w:val="20"/>
              </w:rPr>
            </w:pPr>
            <w:r w:rsidRPr="00611D3B">
              <w:rPr>
                <w:rFonts w:ascii="Segoe UI" w:hAnsi="Segoe UI" w:cs="Segoe UI"/>
                <w:sz w:val="20"/>
                <w:szCs w:val="20"/>
              </w:rPr>
              <w:t>Próximo vencimiento regulatorio</w:t>
            </w:r>
          </w:p>
        </w:tc>
        <w:tc>
          <w:tcPr>
            <w:tcW w:w="1699" w:type="dxa"/>
          </w:tcPr>
          <w:p w14:paraId="72A549D0" w14:textId="6C1265E4" w:rsidR="001B159C" w:rsidRPr="00611D3B" w:rsidRDefault="00184FB4" w:rsidP="001B159C">
            <w:pPr>
              <w:rPr>
                <w:rFonts w:ascii="Segoe UI" w:hAnsi="Segoe UI" w:cs="Segoe UI"/>
                <w:sz w:val="20"/>
                <w:szCs w:val="20"/>
              </w:rPr>
            </w:pPr>
            <w:r w:rsidRPr="00611D3B">
              <w:rPr>
                <w:rFonts w:ascii="Segoe UI" w:hAnsi="Segoe UI" w:cs="Segoe UI"/>
                <w:sz w:val="20"/>
                <w:szCs w:val="20"/>
              </w:rPr>
              <w:t>3</w:t>
            </w:r>
          </w:p>
        </w:tc>
        <w:tc>
          <w:tcPr>
            <w:tcW w:w="1699" w:type="dxa"/>
          </w:tcPr>
          <w:p w14:paraId="4A0D9497" w14:textId="7C0A2FAB" w:rsidR="001B159C" w:rsidRPr="00611D3B" w:rsidRDefault="00184FB4" w:rsidP="001B159C">
            <w:pPr>
              <w:rPr>
                <w:rFonts w:ascii="Courier New" w:hAnsi="Courier New" w:cs="Courier New"/>
                <w:sz w:val="20"/>
                <w:szCs w:val="20"/>
              </w:rPr>
            </w:pPr>
            <w:r w:rsidRPr="00611D3B">
              <w:rPr>
                <w:rFonts w:ascii="Courier New" w:hAnsi="Courier New" w:cs="Courier New"/>
                <w:sz w:val="20"/>
                <w:szCs w:val="20"/>
              </w:rPr>
              <w:t>MIN(FECHA_LIMITE) donde ESTADO = "Pendiente"</w:t>
            </w:r>
          </w:p>
        </w:tc>
        <w:tc>
          <w:tcPr>
            <w:tcW w:w="1699" w:type="dxa"/>
          </w:tcPr>
          <w:p w14:paraId="060A5195" w14:textId="682D142D" w:rsidR="001B159C" w:rsidRPr="00611D3B" w:rsidRDefault="00184FB4" w:rsidP="001B159C">
            <w:pPr>
              <w:rPr>
                <w:rFonts w:ascii="Segoe UI" w:hAnsi="Segoe UI" w:cs="Segoe UI"/>
                <w:sz w:val="20"/>
                <w:szCs w:val="20"/>
              </w:rPr>
            </w:pPr>
            <w:r w:rsidRPr="00611D3B">
              <w:rPr>
                <w:rFonts w:ascii="Segoe UI" w:hAnsi="Segoe UI" w:cs="Segoe UI"/>
                <w:sz w:val="20"/>
                <w:szCs w:val="20"/>
              </w:rPr>
              <w:t>Res. UIF 200/2024 — Reportes Sistemáticos</w:t>
            </w:r>
          </w:p>
        </w:tc>
        <w:tc>
          <w:tcPr>
            <w:tcW w:w="1699" w:type="dxa"/>
          </w:tcPr>
          <w:p w14:paraId="54E863BF" w14:textId="40970F27" w:rsidR="001B159C" w:rsidRPr="00611D3B" w:rsidRDefault="00184FB4" w:rsidP="001B159C">
            <w:pPr>
              <w:rPr>
                <w:rFonts w:ascii="Segoe UI" w:hAnsi="Segoe UI" w:cs="Segoe UI"/>
                <w:sz w:val="20"/>
                <w:szCs w:val="20"/>
              </w:rPr>
            </w:pPr>
            <w:r w:rsidRPr="00611D3B">
              <w:rPr>
                <w:rFonts w:ascii="Segoe UI" w:hAnsi="Segoe UI" w:cs="Segoe UI"/>
                <w:sz w:val="20"/>
                <w:szCs w:val="20"/>
              </w:rPr>
              <w:t>Activar el proceso interno de preparación del reporte con al menos 15 días de anticipación.</w:t>
            </w:r>
          </w:p>
        </w:tc>
      </w:tr>
    </w:tbl>
    <w:p w14:paraId="2C93B01F" w14:textId="3E06C1FA" w:rsidR="001B159C" w:rsidRDefault="001B159C" w:rsidP="001B159C">
      <w:pPr>
        <w:pBdr>
          <w:bottom w:val="single" w:sz="6" w:space="1" w:color="auto"/>
        </w:pBdr>
        <w:rPr>
          <w:rFonts w:ascii="Segoe UI" w:hAnsi="Segoe UI" w:cs="Segoe UI"/>
        </w:rPr>
      </w:pPr>
    </w:p>
    <w:p w14:paraId="1921BAC4" w14:textId="0D246CCD" w:rsidR="00184FB4" w:rsidRDefault="00184FB4" w:rsidP="001B159C">
      <w:pPr>
        <w:rPr>
          <w:rFonts w:ascii="Segoe UI" w:hAnsi="Segoe UI" w:cs="Segoe UI"/>
        </w:rPr>
      </w:pPr>
      <w:r w:rsidRPr="00184FB4">
        <w:rPr>
          <w:rFonts w:ascii="Segoe UI" w:hAnsi="Segoe UI" w:cs="Segoe UI"/>
        </w:rPr>
        <w:t>Índice de Cumplimiento KYC</w:t>
      </w:r>
    </w:p>
    <w:p w14:paraId="5F4E3D0D" w14:textId="6A0CF7D7" w:rsidR="00184FB4" w:rsidRDefault="00184FB4" w:rsidP="001B159C">
      <w:pPr>
        <w:rPr>
          <w:rFonts w:ascii="Segoe UI" w:hAnsi="Segoe UI" w:cs="Segoe UI"/>
        </w:rPr>
      </w:pPr>
      <w:r w:rsidRPr="00184FB4">
        <w:rPr>
          <w:rFonts w:ascii="Segoe UI" w:hAnsi="Segoe UI" w:cs="Segoe UI"/>
        </w:rPr>
        <w:t>El indicador principal de la Página 2 se calcula mediante la siguiente fórmula:</w:t>
      </w:r>
    </w:p>
    <w:p w14:paraId="6BBE8D17" w14:textId="36FBE33B" w:rsidR="00184FB4" w:rsidRDefault="00184FB4" w:rsidP="00184FB4">
      <w:pPr>
        <w:jc w:val="center"/>
        <w:rPr>
          <w:rFonts w:ascii="Segoe UI" w:hAnsi="Segoe UI" w:cs="Segoe UI"/>
          <w:b/>
          <w:bCs/>
          <w:i/>
          <w:iCs/>
          <w:sz w:val="20"/>
          <w:szCs w:val="20"/>
        </w:rPr>
      </w:pPr>
      <w:r w:rsidRPr="00184FB4">
        <w:rPr>
          <w:rFonts w:ascii="Segoe UI" w:hAnsi="Segoe UI" w:cs="Segoe UI"/>
          <w:b/>
          <w:bCs/>
          <w:i/>
          <w:iCs/>
          <w:sz w:val="20"/>
          <w:szCs w:val="20"/>
        </w:rPr>
        <w:t>Índice de Cumplimiento KYC = (Clientes con ESTADO_VENCIMIENTO = "AL DÍA" / Total de clientes) × 100</w:t>
      </w:r>
    </w:p>
    <w:p w14:paraId="5B4B72B3" w14:textId="77777777" w:rsidR="00184FB4" w:rsidRPr="00184FB4" w:rsidRDefault="00184FB4" w:rsidP="00184FB4">
      <w:pPr>
        <w:rPr>
          <w:rFonts w:ascii="Segoe UI" w:hAnsi="Segoe UI" w:cs="Segoe UI"/>
        </w:rPr>
      </w:pPr>
      <w:r w:rsidRPr="00184FB4">
        <w:rPr>
          <w:rFonts w:ascii="Segoe UI" w:hAnsi="Segoe UI" w:cs="Segoe UI"/>
        </w:rPr>
        <w:t>El semáforo del indicador opera con los siguientes umbrales, definidos como política interna de FinPago S.A.S.:</w:t>
      </w:r>
    </w:p>
    <w:p w14:paraId="787C2493" w14:textId="77777777" w:rsidR="00184FB4" w:rsidRPr="00184FB4" w:rsidRDefault="00184FB4" w:rsidP="00184FB4">
      <w:pPr>
        <w:numPr>
          <w:ilvl w:val="0"/>
          <w:numId w:val="1"/>
        </w:numPr>
        <w:rPr>
          <w:rFonts w:ascii="Segoe UI" w:hAnsi="Segoe UI" w:cs="Segoe UI"/>
          <w:sz w:val="20"/>
          <w:szCs w:val="20"/>
        </w:rPr>
      </w:pPr>
      <w:r w:rsidRPr="00184FB4">
        <w:rPr>
          <w:rFonts w:ascii="Segoe UI" w:hAnsi="Segoe UI" w:cs="Segoe UI"/>
          <w:sz w:val="20"/>
          <w:szCs w:val="20"/>
        </w:rPr>
        <w:t>Verde (cumplimiento satisfactorio): índice igual o superior al 80%</w:t>
      </w:r>
    </w:p>
    <w:p w14:paraId="4D941CA7" w14:textId="77777777" w:rsidR="00184FB4" w:rsidRPr="00184FB4" w:rsidRDefault="00184FB4" w:rsidP="00184FB4">
      <w:pPr>
        <w:numPr>
          <w:ilvl w:val="0"/>
          <w:numId w:val="1"/>
        </w:numPr>
        <w:rPr>
          <w:rFonts w:ascii="Segoe UI" w:hAnsi="Segoe UI" w:cs="Segoe UI"/>
          <w:sz w:val="20"/>
          <w:szCs w:val="20"/>
        </w:rPr>
      </w:pPr>
      <w:r w:rsidRPr="00184FB4">
        <w:rPr>
          <w:rFonts w:ascii="Segoe UI" w:hAnsi="Segoe UI" w:cs="Segoe UI"/>
          <w:sz w:val="20"/>
          <w:szCs w:val="20"/>
        </w:rPr>
        <w:t>Amarillo (atención requerida): índice entre el 60% y el 79%</w:t>
      </w:r>
    </w:p>
    <w:p w14:paraId="461C193F" w14:textId="77777777" w:rsidR="00184FB4" w:rsidRPr="00184FB4" w:rsidRDefault="00184FB4" w:rsidP="00184FB4">
      <w:pPr>
        <w:numPr>
          <w:ilvl w:val="0"/>
          <w:numId w:val="1"/>
        </w:numPr>
        <w:rPr>
          <w:rFonts w:ascii="Segoe UI" w:hAnsi="Segoe UI" w:cs="Segoe UI"/>
          <w:sz w:val="20"/>
          <w:szCs w:val="20"/>
        </w:rPr>
      </w:pPr>
      <w:r w:rsidRPr="00184FB4">
        <w:rPr>
          <w:rFonts w:ascii="Segoe UI" w:hAnsi="Segoe UI" w:cs="Segoe UI"/>
          <w:sz w:val="20"/>
          <w:szCs w:val="20"/>
        </w:rPr>
        <w:t>Rojo (situación crítica): índice inferior al 60%</w:t>
      </w:r>
    </w:p>
    <w:p w14:paraId="01851BBE" w14:textId="77777777" w:rsidR="00184FB4" w:rsidRDefault="00184FB4" w:rsidP="00184FB4">
      <w:pPr>
        <w:rPr>
          <w:rFonts w:ascii="Segoe UI" w:hAnsi="Segoe UI" w:cs="Segoe UI"/>
          <w:b/>
          <w:bCs/>
          <w:i/>
          <w:iCs/>
          <w:sz w:val="20"/>
          <w:szCs w:val="20"/>
        </w:rPr>
      </w:pPr>
    </w:p>
    <w:p w14:paraId="7DE10143" w14:textId="77777777" w:rsidR="00184FB4" w:rsidRPr="00184FB4" w:rsidRDefault="00184FB4" w:rsidP="00184FB4">
      <w:pPr>
        <w:rPr>
          <w:rFonts w:ascii="Segoe UI" w:hAnsi="Segoe UI" w:cs="Segoe UI"/>
          <w:b/>
          <w:bCs/>
        </w:rPr>
      </w:pPr>
      <w:r w:rsidRPr="00184FB4">
        <w:rPr>
          <w:rFonts w:ascii="Segoe UI" w:hAnsi="Segoe UI" w:cs="Segoe UI"/>
          <w:b/>
          <w:bCs/>
        </w:rPr>
        <w:t>Política de actualización del legajo KYC por nivel de riesgo</w:t>
      </w:r>
    </w:p>
    <w:p w14:paraId="3BFA5A6E" w14:textId="77777777" w:rsidR="00184FB4" w:rsidRDefault="00184FB4" w:rsidP="00184FB4">
      <w:pPr>
        <w:rPr>
          <w:rFonts w:ascii="Segoe UI" w:hAnsi="Segoe UI" w:cs="Segoe UI"/>
        </w:rPr>
      </w:pPr>
      <w:r w:rsidRPr="00184FB4">
        <w:rPr>
          <w:rFonts w:ascii="Segoe UI" w:hAnsi="Segoe UI" w:cs="Segoe UI"/>
        </w:rPr>
        <w:t>La frecuencia de actualización del legajo KYC que alimenta las fórmulas de vencimiento del dashboard fue establecida como política interna de FinPago S.A.S. en la pestaña PARAMETROS del archivo de datos. La Res. UIF N° 200/2024 establece la obligación de Debida Diligencia Continuada y actualización del legajo según el nivel de riesgo asignado a cada cliente, sin fijar frecuencias universales. Las frecuencias adoptadas son las siguientes:</w:t>
      </w:r>
    </w:p>
    <w:tbl>
      <w:tblPr>
        <w:tblStyle w:val="TableGrid"/>
        <w:tblW w:w="0" w:type="auto"/>
        <w:tblLook w:val="04A0" w:firstRow="1" w:lastRow="0" w:firstColumn="1" w:lastColumn="0" w:noHBand="0" w:noVBand="1"/>
      </w:tblPr>
      <w:tblGrid>
        <w:gridCol w:w="2831"/>
        <w:gridCol w:w="2831"/>
        <w:gridCol w:w="2832"/>
      </w:tblGrid>
      <w:tr w:rsidR="00184FB4" w14:paraId="67888C05" w14:textId="77777777" w:rsidTr="00F866F3">
        <w:tc>
          <w:tcPr>
            <w:tcW w:w="2831" w:type="dxa"/>
            <w:vAlign w:val="center"/>
          </w:tcPr>
          <w:p w14:paraId="11FBC62C" w14:textId="33740009" w:rsidR="00184FB4" w:rsidRPr="00611D3B" w:rsidRDefault="00184FB4" w:rsidP="00184FB4">
            <w:pPr>
              <w:rPr>
                <w:rFonts w:ascii="Segoe UI" w:hAnsi="Segoe UI" w:cs="Segoe UI"/>
                <w:sz w:val="20"/>
                <w:szCs w:val="20"/>
              </w:rPr>
            </w:pPr>
            <w:r w:rsidRPr="00611D3B">
              <w:rPr>
                <w:b/>
                <w:bCs/>
                <w:sz w:val="20"/>
                <w:szCs w:val="20"/>
              </w:rPr>
              <w:t>Nivel de riesgo</w:t>
            </w:r>
          </w:p>
        </w:tc>
        <w:tc>
          <w:tcPr>
            <w:tcW w:w="2831" w:type="dxa"/>
            <w:vAlign w:val="center"/>
          </w:tcPr>
          <w:p w14:paraId="02EE3711" w14:textId="043226F9" w:rsidR="00184FB4" w:rsidRPr="00611D3B" w:rsidRDefault="00184FB4" w:rsidP="00184FB4">
            <w:pPr>
              <w:rPr>
                <w:rFonts w:ascii="Segoe UI" w:hAnsi="Segoe UI" w:cs="Segoe UI"/>
                <w:sz w:val="20"/>
                <w:szCs w:val="20"/>
              </w:rPr>
            </w:pPr>
            <w:r w:rsidRPr="00611D3B">
              <w:rPr>
                <w:b/>
                <w:bCs/>
                <w:sz w:val="20"/>
                <w:szCs w:val="20"/>
              </w:rPr>
              <w:t>Frecuencia de actualización</w:t>
            </w:r>
          </w:p>
        </w:tc>
        <w:tc>
          <w:tcPr>
            <w:tcW w:w="2832" w:type="dxa"/>
            <w:vAlign w:val="center"/>
          </w:tcPr>
          <w:p w14:paraId="07C339AE" w14:textId="130DDFCC" w:rsidR="00184FB4" w:rsidRPr="00611D3B" w:rsidRDefault="00184FB4" w:rsidP="00184FB4">
            <w:pPr>
              <w:rPr>
                <w:rFonts w:ascii="Segoe UI" w:hAnsi="Segoe UI" w:cs="Segoe UI"/>
                <w:sz w:val="20"/>
                <w:szCs w:val="20"/>
              </w:rPr>
            </w:pPr>
            <w:r w:rsidRPr="00611D3B">
              <w:rPr>
                <w:b/>
                <w:bCs/>
                <w:sz w:val="20"/>
                <w:szCs w:val="20"/>
              </w:rPr>
              <w:t>Días entre actualizaciones</w:t>
            </w:r>
          </w:p>
        </w:tc>
      </w:tr>
      <w:tr w:rsidR="00184FB4" w14:paraId="7E427C14" w14:textId="77777777" w:rsidTr="00F866F3">
        <w:tc>
          <w:tcPr>
            <w:tcW w:w="2831" w:type="dxa"/>
            <w:vAlign w:val="center"/>
          </w:tcPr>
          <w:p w14:paraId="7C709B68" w14:textId="164F5793" w:rsidR="00184FB4" w:rsidRPr="00611D3B" w:rsidRDefault="00184FB4" w:rsidP="00184FB4">
            <w:pPr>
              <w:rPr>
                <w:rFonts w:ascii="Segoe UI" w:hAnsi="Segoe UI" w:cs="Segoe UI"/>
                <w:sz w:val="20"/>
                <w:szCs w:val="20"/>
              </w:rPr>
            </w:pPr>
            <w:r w:rsidRPr="00611D3B">
              <w:rPr>
                <w:sz w:val="20"/>
                <w:szCs w:val="20"/>
              </w:rPr>
              <w:t>ALTO</w:t>
            </w:r>
          </w:p>
        </w:tc>
        <w:tc>
          <w:tcPr>
            <w:tcW w:w="2831" w:type="dxa"/>
            <w:vAlign w:val="center"/>
          </w:tcPr>
          <w:p w14:paraId="0706E284" w14:textId="7CDF5A4C" w:rsidR="00184FB4" w:rsidRPr="00611D3B" w:rsidRDefault="00184FB4" w:rsidP="00184FB4">
            <w:pPr>
              <w:rPr>
                <w:rFonts w:ascii="Segoe UI" w:hAnsi="Segoe UI" w:cs="Segoe UI"/>
                <w:sz w:val="20"/>
                <w:szCs w:val="20"/>
              </w:rPr>
            </w:pPr>
            <w:r w:rsidRPr="00611D3B">
              <w:rPr>
                <w:sz w:val="20"/>
                <w:szCs w:val="20"/>
              </w:rPr>
              <w:t>Anual</w:t>
            </w:r>
          </w:p>
        </w:tc>
        <w:tc>
          <w:tcPr>
            <w:tcW w:w="2832" w:type="dxa"/>
            <w:vAlign w:val="center"/>
          </w:tcPr>
          <w:p w14:paraId="2E2C8DA3" w14:textId="1F9802C8" w:rsidR="00184FB4" w:rsidRPr="00611D3B" w:rsidRDefault="00184FB4" w:rsidP="00184FB4">
            <w:pPr>
              <w:rPr>
                <w:rFonts w:ascii="Segoe UI" w:hAnsi="Segoe UI" w:cs="Segoe UI"/>
                <w:sz w:val="20"/>
                <w:szCs w:val="20"/>
              </w:rPr>
            </w:pPr>
            <w:r w:rsidRPr="00611D3B">
              <w:rPr>
                <w:sz w:val="20"/>
                <w:szCs w:val="20"/>
              </w:rPr>
              <w:t>365 días</w:t>
            </w:r>
          </w:p>
        </w:tc>
      </w:tr>
      <w:tr w:rsidR="00184FB4" w14:paraId="5DDE4F76" w14:textId="77777777" w:rsidTr="00F866F3">
        <w:tc>
          <w:tcPr>
            <w:tcW w:w="2831" w:type="dxa"/>
            <w:vAlign w:val="center"/>
          </w:tcPr>
          <w:p w14:paraId="579F119C" w14:textId="25AF7F29" w:rsidR="00184FB4" w:rsidRPr="00611D3B" w:rsidRDefault="00184FB4" w:rsidP="00184FB4">
            <w:pPr>
              <w:rPr>
                <w:rFonts w:ascii="Segoe UI" w:hAnsi="Segoe UI" w:cs="Segoe UI"/>
                <w:sz w:val="20"/>
                <w:szCs w:val="20"/>
              </w:rPr>
            </w:pPr>
            <w:r w:rsidRPr="00611D3B">
              <w:rPr>
                <w:sz w:val="20"/>
                <w:szCs w:val="20"/>
              </w:rPr>
              <w:t>MEDIO</w:t>
            </w:r>
          </w:p>
        </w:tc>
        <w:tc>
          <w:tcPr>
            <w:tcW w:w="2831" w:type="dxa"/>
            <w:vAlign w:val="center"/>
          </w:tcPr>
          <w:p w14:paraId="0C7381BD" w14:textId="58AE0CD4" w:rsidR="00184FB4" w:rsidRPr="00611D3B" w:rsidRDefault="00184FB4" w:rsidP="00184FB4">
            <w:pPr>
              <w:rPr>
                <w:rFonts w:ascii="Segoe UI" w:hAnsi="Segoe UI" w:cs="Segoe UI"/>
                <w:sz w:val="20"/>
                <w:szCs w:val="20"/>
              </w:rPr>
            </w:pPr>
            <w:r w:rsidRPr="00611D3B">
              <w:rPr>
                <w:sz w:val="20"/>
                <w:szCs w:val="20"/>
              </w:rPr>
              <w:t>Bianual</w:t>
            </w:r>
          </w:p>
        </w:tc>
        <w:tc>
          <w:tcPr>
            <w:tcW w:w="2832" w:type="dxa"/>
            <w:vAlign w:val="center"/>
          </w:tcPr>
          <w:p w14:paraId="4644F0FF" w14:textId="282EFF0D" w:rsidR="00184FB4" w:rsidRPr="00611D3B" w:rsidRDefault="00184FB4" w:rsidP="00184FB4">
            <w:pPr>
              <w:rPr>
                <w:rFonts w:ascii="Segoe UI" w:hAnsi="Segoe UI" w:cs="Segoe UI"/>
                <w:sz w:val="20"/>
                <w:szCs w:val="20"/>
              </w:rPr>
            </w:pPr>
            <w:r w:rsidRPr="00611D3B">
              <w:rPr>
                <w:sz w:val="20"/>
                <w:szCs w:val="20"/>
              </w:rPr>
              <w:t>730 días</w:t>
            </w:r>
          </w:p>
        </w:tc>
      </w:tr>
      <w:tr w:rsidR="00184FB4" w14:paraId="18A04A1A" w14:textId="77777777" w:rsidTr="00F866F3">
        <w:tc>
          <w:tcPr>
            <w:tcW w:w="2831" w:type="dxa"/>
            <w:vAlign w:val="center"/>
          </w:tcPr>
          <w:p w14:paraId="349B4021" w14:textId="2DFB6DFD" w:rsidR="00184FB4" w:rsidRPr="00611D3B" w:rsidRDefault="00184FB4" w:rsidP="00184FB4">
            <w:pPr>
              <w:rPr>
                <w:rFonts w:ascii="Segoe UI" w:hAnsi="Segoe UI" w:cs="Segoe UI"/>
                <w:sz w:val="20"/>
                <w:szCs w:val="20"/>
              </w:rPr>
            </w:pPr>
            <w:r w:rsidRPr="00611D3B">
              <w:rPr>
                <w:sz w:val="20"/>
                <w:szCs w:val="20"/>
              </w:rPr>
              <w:lastRenderedPageBreak/>
              <w:t>BAJO</w:t>
            </w:r>
          </w:p>
        </w:tc>
        <w:tc>
          <w:tcPr>
            <w:tcW w:w="2831" w:type="dxa"/>
            <w:vAlign w:val="center"/>
          </w:tcPr>
          <w:p w14:paraId="42F7F8CC" w14:textId="21B75BB4" w:rsidR="00184FB4" w:rsidRPr="00611D3B" w:rsidRDefault="00184FB4" w:rsidP="00184FB4">
            <w:pPr>
              <w:rPr>
                <w:rFonts w:ascii="Segoe UI" w:hAnsi="Segoe UI" w:cs="Segoe UI"/>
                <w:sz w:val="20"/>
                <w:szCs w:val="20"/>
              </w:rPr>
            </w:pPr>
            <w:r w:rsidRPr="00611D3B">
              <w:rPr>
                <w:sz w:val="20"/>
                <w:szCs w:val="20"/>
              </w:rPr>
              <w:t>Trianual</w:t>
            </w:r>
          </w:p>
        </w:tc>
        <w:tc>
          <w:tcPr>
            <w:tcW w:w="2832" w:type="dxa"/>
            <w:vAlign w:val="center"/>
          </w:tcPr>
          <w:p w14:paraId="3E107689" w14:textId="1245C53C" w:rsidR="00184FB4" w:rsidRPr="00611D3B" w:rsidRDefault="00184FB4" w:rsidP="00184FB4">
            <w:pPr>
              <w:rPr>
                <w:rFonts w:ascii="Segoe UI" w:hAnsi="Segoe UI" w:cs="Segoe UI"/>
                <w:sz w:val="20"/>
                <w:szCs w:val="20"/>
              </w:rPr>
            </w:pPr>
            <w:r w:rsidRPr="00611D3B">
              <w:rPr>
                <w:sz w:val="20"/>
                <w:szCs w:val="20"/>
              </w:rPr>
              <w:t>1.095 días</w:t>
            </w:r>
          </w:p>
        </w:tc>
      </w:tr>
    </w:tbl>
    <w:p w14:paraId="5C908D3E" w14:textId="528825C3" w:rsidR="001B159C" w:rsidRDefault="001B159C" w:rsidP="001B159C">
      <w:pPr>
        <w:pBdr>
          <w:bottom w:val="single" w:sz="6" w:space="1" w:color="auto"/>
        </w:pBdr>
        <w:rPr>
          <w:rFonts w:ascii="Segoe UI" w:hAnsi="Segoe UI" w:cs="Segoe UI"/>
          <w:b/>
          <w:bCs/>
          <w:sz w:val="28"/>
          <w:szCs w:val="28"/>
        </w:rPr>
      </w:pPr>
    </w:p>
    <w:p w14:paraId="518ABD2C" w14:textId="3AAE4210" w:rsidR="00184FB4" w:rsidRDefault="00184FB4" w:rsidP="001B159C">
      <w:pPr>
        <w:rPr>
          <w:rFonts w:ascii="Segoe UI" w:hAnsi="Segoe UI" w:cs="Segoe UI"/>
          <w:b/>
          <w:bCs/>
          <w:sz w:val="28"/>
          <w:szCs w:val="28"/>
        </w:rPr>
      </w:pPr>
      <w:r w:rsidRPr="00184FB4">
        <w:rPr>
          <w:rFonts w:ascii="Segoe UI" w:hAnsi="Segoe UI" w:cs="Segoe UI"/>
          <w:b/>
          <w:bCs/>
          <w:sz w:val="28"/>
          <w:szCs w:val="28"/>
        </w:rPr>
        <w:t>Política de actualización del dashboard</w:t>
      </w:r>
    </w:p>
    <w:p w14:paraId="28D52184" w14:textId="27257E41" w:rsidR="00184FB4" w:rsidRDefault="00184FB4" w:rsidP="001B159C">
      <w:pPr>
        <w:rPr>
          <w:rFonts w:ascii="Segoe UI" w:hAnsi="Segoe UI" w:cs="Segoe UI"/>
          <w:i/>
          <w:iCs/>
          <w:sz w:val="20"/>
          <w:szCs w:val="20"/>
        </w:rPr>
      </w:pPr>
      <w:r w:rsidRPr="00184FB4">
        <w:rPr>
          <w:rFonts w:ascii="Segoe UI" w:hAnsi="Segoe UI" w:cs="Segoe UI"/>
          <w:i/>
          <w:iCs/>
          <w:sz w:val="20"/>
          <w:szCs w:val="20"/>
        </w:rPr>
        <w:t xml:space="preserve">Actualización en el entorno del </w:t>
      </w:r>
      <w:proofErr w:type="gramStart"/>
      <w:r w:rsidRPr="00184FB4">
        <w:rPr>
          <w:rFonts w:ascii="Segoe UI" w:hAnsi="Segoe UI" w:cs="Segoe UI"/>
          <w:i/>
          <w:iCs/>
          <w:sz w:val="20"/>
          <w:szCs w:val="20"/>
        </w:rPr>
        <w:t>portfolio</w:t>
      </w:r>
      <w:proofErr w:type="gramEnd"/>
    </w:p>
    <w:p w14:paraId="39F10D77" w14:textId="77777777" w:rsidR="00184FB4" w:rsidRPr="00184FB4" w:rsidRDefault="00184FB4" w:rsidP="00184FB4">
      <w:pPr>
        <w:rPr>
          <w:rFonts w:ascii="Segoe UI" w:hAnsi="Segoe UI" w:cs="Segoe UI"/>
        </w:rPr>
      </w:pPr>
      <w:r w:rsidRPr="00184FB4">
        <w:rPr>
          <w:rFonts w:ascii="Segoe UI" w:hAnsi="Segoe UI" w:cs="Segoe UI"/>
        </w:rPr>
        <w:t xml:space="preserve">En el entorno actual del </w:t>
      </w:r>
      <w:proofErr w:type="gramStart"/>
      <w:r w:rsidRPr="00184FB4">
        <w:rPr>
          <w:rFonts w:ascii="Segoe UI" w:hAnsi="Segoe UI" w:cs="Segoe UI"/>
        </w:rPr>
        <w:t>portfolio</w:t>
      </w:r>
      <w:proofErr w:type="gramEnd"/>
      <w:r w:rsidRPr="00184FB4">
        <w:rPr>
          <w:rFonts w:ascii="Segoe UI" w:hAnsi="Segoe UI" w:cs="Segoe UI"/>
        </w:rPr>
        <w:t>, el archivo DATOS_MONITOREO_KYC_FINPAGO.xlsx opera como fuente de datos estática que se actualiza manualmente. El proceso de actualización diaria consiste en las siguientes tareas, a cargo del analista de compliance designado al inicio de cada jornada laboral:</w:t>
      </w:r>
    </w:p>
    <w:p w14:paraId="6F9E5496" w14:textId="77777777" w:rsidR="00184FB4" w:rsidRPr="00184FB4" w:rsidRDefault="00184FB4" w:rsidP="00184FB4">
      <w:pPr>
        <w:rPr>
          <w:rFonts w:ascii="Segoe UI" w:hAnsi="Segoe UI" w:cs="Segoe UI"/>
        </w:rPr>
      </w:pPr>
      <w:r w:rsidRPr="00184FB4">
        <w:rPr>
          <w:rFonts w:ascii="Segoe UI" w:hAnsi="Segoe UI" w:cs="Segoe UI"/>
        </w:rPr>
        <w:t xml:space="preserve">Primero, revisar la columna FECHA_ULTIMO_KYC en la pestaña CLIENTES_KYC y registrar la fecha actual para aquellos clientes que completaron su proceso de actualización de legajo durante la jornada anterior. Esta acción recalcula automáticamente las columnas de vencimiento (FECHA_PROX_VENCIMIENTO, DIAS_HASTA_VENCIMIENTO, ESTADO_VENCIMIENTO y PRIORIDAD_REVISION) mediante las fórmulas dinámicas basadas en </w:t>
      </w:r>
      <w:proofErr w:type="gramStart"/>
      <w:r w:rsidRPr="00184FB4">
        <w:rPr>
          <w:rFonts w:ascii="Segoe UI" w:hAnsi="Segoe UI" w:cs="Segoe UI"/>
        </w:rPr>
        <w:t>HOY(</w:t>
      </w:r>
      <w:proofErr w:type="gramEnd"/>
      <w:r w:rsidRPr="00184FB4">
        <w:rPr>
          <w:rFonts w:ascii="Segoe UI" w:hAnsi="Segoe UI" w:cs="Segoe UI"/>
        </w:rPr>
        <w:t>).</w:t>
      </w:r>
    </w:p>
    <w:p w14:paraId="281FEDD6" w14:textId="77777777" w:rsidR="00184FB4" w:rsidRPr="00184FB4" w:rsidRDefault="00184FB4" w:rsidP="00184FB4">
      <w:pPr>
        <w:rPr>
          <w:rFonts w:ascii="Segoe UI" w:hAnsi="Segoe UI" w:cs="Segoe UI"/>
        </w:rPr>
      </w:pPr>
      <w:r w:rsidRPr="00184FB4">
        <w:rPr>
          <w:rFonts w:ascii="Segoe UI" w:hAnsi="Segoe UI" w:cs="Segoe UI"/>
        </w:rPr>
        <w:t>Segundo, revisar la pestaña ALERTAS_ACTIVAS y actualizar el estado de cada caso abierto: cambiar el estado a "Cerrado" cuando la situación ha sido resuelta, o agregar nuevas filas para alertas generadas durante la jornada anterior.</w:t>
      </w:r>
    </w:p>
    <w:p w14:paraId="6BF40195" w14:textId="77777777" w:rsidR="00184FB4" w:rsidRPr="00184FB4" w:rsidRDefault="00184FB4" w:rsidP="00184FB4">
      <w:pPr>
        <w:rPr>
          <w:rFonts w:ascii="Segoe UI" w:hAnsi="Segoe UI" w:cs="Segoe UI"/>
        </w:rPr>
      </w:pPr>
      <w:r w:rsidRPr="00184FB4">
        <w:rPr>
          <w:rFonts w:ascii="Segoe UI" w:hAnsi="Segoe UI" w:cs="Segoe UI"/>
        </w:rPr>
        <w:t>Tercero, registrar en la pestaña REPORTES_SISTEMATICOS la fecha de presentación de cualquier reporte sistemático enviado a la UIF durante el mes en curso, actualizando el campo FECHA_PRESENTACION y el campo ESTADO del reporte correspondiente.</w:t>
      </w:r>
    </w:p>
    <w:p w14:paraId="0AED9EFA" w14:textId="77777777" w:rsidR="00184FB4" w:rsidRDefault="00184FB4" w:rsidP="00184FB4">
      <w:pPr>
        <w:pBdr>
          <w:bottom w:val="single" w:sz="6" w:space="1" w:color="auto"/>
        </w:pBdr>
        <w:rPr>
          <w:rFonts w:ascii="Segoe UI" w:hAnsi="Segoe UI" w:cs="Segoe UI"/>
        </w:rPr>
      </w:pPr>
      <w:r w:rsidRPr="00184FB4">
        <w:rPr>
          <w:rFonts w:ascii="Segoe UI" w:hAnsi="Segoe UI" w:cs="Segoe UI"/>
        </w:rPr>
        <w:t>Una vez actualizado el archivo Excel, el analista debe refrescar la conexión de datos en Power BI Desktop mediante la opción Inicio → Actualizar para que los cambios se reflejen en el dashboard.</w:t>
      </w:r>
    </w:p>
    <w:p w14:paraId="072EA288" w14:textId="77777777" w:rsidR="00184FB4" w:rsidRPr="00184FB4" w:rsidRDefault="00184FB4" w:rsidP="00184FB4">
      <w:pPr>
        <w:rPr>
          <w:rFonts w:ascii="Segoe UI" w:hAnsi="Segoe UI" w:cs="Segoe UI"/>
        </w:rPr>
      </w:pPr>
    </w:p>
    <w:p w14:paraId="550A00CB" w14:textId="265F2442" w:rsidR="00184FB4" w:rsidRDefault="00184FB4" w:rsidP="001B159C">
      <w:pPr>
        <w:rPr>
          <w:rFonts w:ascii="Segoe UI" w:hAnsi="Segoe UI" w:cs="Segoe UI"/>
          <w:b/>
          <w:bCs/>
          <w:sz w:val="28"/>
          <w:szCs w:val="28"/>
        </w:rPr>
      </w:pPr>
      <w:r w:rsidRPr="00184FB4">
        <w:rPr>
          <w:rFonts w:ascii="Segoe UI" w:hAnsi="Segoe UI" w:cs="Segoe UI"/>
          <w:b/>
          <w:bCs/>
          <w:sz w:val="28"/>
          <w:szCs w:val="28"/>
        </w:rPr>
        <w:t>Implementación real</w:t>
      </w:r>
    </w:p>
    <w:p w14:paraId="686AAC09" w14:textId="3C93DD9F" w:rsidR="00184FB4" w:rsidRDefault="00184FB4" w:rsidP="001B159C">
      <w:pPr>
        <w:pBdr>
          <w:bottom w:val="single" w:sz="6" w:space="1" w:color="auto"/>
        </w:pBdr>
        <w:rPr>
          <w:rFonts w:ascii="Segoe UI" w:hAnsi="Segoe UI" w:cs="Segoe UI"/>
        </w:rPr>
      </w:pPr>
      <w:r w:rsidRPr="00184FB4">
        <w:rPr>
          <w:rFonts w:ascii="Segoe UI" w:hAnsi="Segoe UI" w:cs="Segoe UI"/>
        </w:rPr>
        <w:t>En una implementación productiva, la fuente de datos del dashboard no sería un archivo Excel estático sino el sistema de core bancario o el sistema de gestión de compliance de la entidad, conectado directamente a Power BI mediante una puerta de enlace de datos (Power BI Gateway) o mediante una conexión directa a base de datos. Esto permitiría la actualización automática programada del dashboard, eliminando la intervención manual y garantizando que los datos reflejen en todo momento el estado real de la cartera. El modelo de datos, las medidas DAX y la estructura de las tres páginas del dashboard permanecerían sin cambios.</w:t>
      </w:r>
    </w:p>
    <w:p w14:paraId="47F3EC1A" w14:textId="77777777" w:rsidR="00611D3B" w:rsidRDefault="00611D3B" w:rsidP="001B159C">
      <w:pPr>
        <w:rPr>
          <w:rFonts w:ascii="Segoe UI" w:hAnsi="Segoe UI" w:cs="Segoe UI"/>
          <w:b/>
          <w:bCs/>
          <w:sz w:val="28"/>
          <w:szCs w:val="28"/>
        </w:rPr>
      </w:pPr>
    </w:p>
    <w:p w14:paraId="13BD7767" w14:textId="77777777" w:rsidR="00611D3B" w:rsidRDefault="00611D3B" w:rsidP="001B159C">
      <w:pPr>
        <w:rPr>
          <w:rFonts w:ascii="Segoe UI" w:hAnsi="Segoe UI" w:cs="Segoe UI"/>
          <w:b/>
          <w:bCs/>
          <w:sz w:val="28"/>
          <w:szCs w:val="28"/>
        </w:rPr>
      </w:pPr>
    </w:p>
    <w:p w14:paraId="0C2A46D1" w14:textId="73B577AF" w:rsidR="00184FB4" w:rsidRDefault="00184FB4" w:rsidP="001B159C">
      <w:pPr>
        <w:rPr>
          <w:rFonts w:ascii="Segoe UI" w:hAnsi="Segoe UI" w:cs="Segoe UI"/>
          <w:b/>
          <w:bCs/>
          <w:sz w:val="28"/>
          <w:szCs w:val="28"/>
        </w:rPr>
      </w:pPr>
      <w:r w:rsidRPr="00184FB4">
        <w:rPr>
          <w:rFonts w:ascii="Segoe UI" w:hAnsi="Segoe UI" w:cs="Segoe UI"/>
          <w:b/>
          <w:bCs/>
          <w:sz w:val="28"/>
          <w:szCs w:val="28"/>
        </w:rPr>
        <w:t>Referencias normativas</w:t>
      </w:r>
    </w:p>
    <w:tbl>
      <w:tblPr>
        <w:tblStyle w:val="TableGrid"/>
        <w:tblW w:w="0" w:type="auto"/>
        <w:tblLook w:val="04A0" w:firstRow="1" w:lastRow="0" w:firstColumn="1" w:lastColumn="0" w:noHBand="0" w:noVBand="1"/>
      </w:tblPr>
      <w:tblGrid>
        <w:gridCol w:w="2831"/>
        <w:gridCol w:w="2831"/>
        <w:gridCol w:w="2832"/>
      </w:tblGrid>
      <w:tr w:rsidR="00184FB4" w14:paraId="4242EBA7" w14:textId="77777777" w:rsidTr="00184FB4">
        <w:tc>
          <w:tcPr>
            <w:tcW w:w="2831" w:type="dxa"/>
          </w:tcPr>
          <w:p w14:paraId="766F2204" w14:textId="49BDF1DF" w:rsidR="00184FB4" w:rsidRPr="00184FB4" w:rsidRDefault="00184FB4" w:rsidP="001B159C">
            <w:pPr>
              <w:rPr>
                <w:rFonts w:ascii="Segoe UI" w:hAnsi="Segoe UI" w:cs="Segoe UI"/>
                <w:b/>
                <w:bCs/>
                <w:sz w:val="20"/>
                <w:szCs w:val="20"/>
              </w:rPr>
            </w:pPr>
            <w:r w:rsidRPr="00184FB4">
              <w:rPr>
                <w:rFonts w:ascii="Segoe UI" w:hAnsi="Segoe UI" w:cs="Segoe UI"/>
                <w:b/>
                <w:bCs/>
                <w:sz w:val="20"/>
                <w:szCs w:val="20"/>
              </w:rPr>
              <w:lastRenderedPageBreak/>
              <w:t>Norma</w:t>
            </w:r>
          </w:p>
        </w:tc>
        <w:tc>
          <w:tcPr>
            <w:tcW w:w="2831" w:type="dxa"/>
          </w:tcPr>
          <w:p w14:paraId="2078F53C" w14:textId="70CEEB16" w:rsidR="00184FB4" w:rsidRPr="00184FB4" w:rsidRDefault="00184FB4" w:rsidP="001B159C">
            <w:pPr>
              <w:rPr>
                <w:rFonts w:ascii="Segoe UI" w:hAnsi="Segoe UI" w:cs="Segoe UI"/>
                <w:b/>
                <w:bCs/>
                <w:sz w:val="20"/>
                <w:szCs w:val="20"/>
              </w:rPr>
            </w:pPr>
            <w:r w:rsidRPr="00184FB4">
              <w:rPr>
                <w:rFonts w:ascii="Segoe UI" w:hAnsi="Segoe UI" w:cs="Segoe UI"/>
                <w:b/>
                <w:bCs/>
                <w:sz w:val="20"/>
                <w:szCs w:val="20"/>
              </w:rPr>
              <w:t>Artículos relevantes para este dashboard</w:t>
            </w:r>
          </w:p>
        </w:tc>
        <w:tc>
          <w:tcPr>
            <w:tcW w:w="2832" w:type="dxa"/>
          </w:tcPr>
          <w:p w14:paraId="5B64BA10" w14:textId="72E30F80" w:rsidR="00184FB4" w:rsidRPr="00184FB4" w:rsidRDefault="00184FB4" w:rsidP="001B159C">
            <w:pPr>
              <w:rPr>
                <w:rFonts w:ascii="Segoe UI" w:hAnsi="Segoe UI" w:cs="Segoe UI"/>
                <w:b/>
                <w:bCs/>
                <w:sz w:val="20"/>
                <w:szCs w:val="20"/>
              </w:rPr>
            </w:pPr>
            <w:r w:rsidRPr="00184FB4">
              <w:rPr>
                <w:rFonts w:ascii="Segoe UI" w:hAnsi="Segoe UI" w:cs="Segoe UI"/>
                <w:b/>
                <w:bCs/>
                <w:sz w:val="20"/>
                <w:szCs w:val="20"/>
              </w:rPr>
              <w:t>Referencia</w:t>
            </w:r>
          </w:p>
        </w:tc>
      </w:tr>
      <w:tr w:rsidR="00184FB4" w14:paraId="479F9614" w14:textId="77777777" w:rsidTr="00184FB4">
        <w:tc>
          <w:tcPr>
            <w:tcW w:w="2831" w:type="dxa"/>
          </w:tcPr>
          <w:p w14:paraId="1C573877" w14:textId="08E927A9" w:rsidR="00184FB4" w:rsidRPr="00184FB4" w:rsidRDefault="00184FB4" w:rsidP="001B159C">
            <w:pPr>
              <w:rPr>
                <w:rFonts w:ascii="Segoe UI" w:hAnsi="Segoe UI" w:cs="Segoe UI"/>
                <w:sz w:val="20"/>
                <w:szCs w:val="20"/>
              </w:rPr>
            </w:pPr>
            <w:r w:rsidRPr="00184FB4">
              <w:rPr>
                <w:rFonts w:ascii="Segoe UI" w:hAnsi="Segoe UI" w:cs="Segoe UI"/>
                <w:sz w:val="20"/>
                <w:szCs w:val="20"/>
              </w:rPr>
              <w:t>Resolución UIF N° 200/2024</w:t>
            </w:r>
          </w:p>
        </w:tc>
        <w:tc>
          <w:tcPr>
            <w:tcW w:w="2831" w:type="dxa"/>
          </w:tcPr>
          <w:p w14:paraId="591DFC0E" w14:textId="2EF60704" w:rsidR="00184FB4" w:rsidRPr="00184FB4" w:rsidRDefault="00184FB4" w:rsidP="001B159C">
            <w:pPr>
              <w:rPr>
                <w:rFonts w:ascii="Segoe UI" w:hAnsi="Segoe UI" w:cs="Segoe UI"/>
                <w:sz w:val="20"/>
                <w:szCs w:val="20"/>
              </w:rPr>
            </w:pPr>
            <w:r w:rsidRPr="00184FB4">
              <w:rPr>
                <w:rFonts w:ascii="Segoe UI" w:hAnsi="Segoe UI" w:cs="Segoe UI"/>
                <w:sz w:val="20"/>
                <w:szCs w:val="20"/>
              </w:rPr>
              <w:t xml:space="preserve">Debida Diligencia Continuada, Perfil Transaccional, Monitoreo y Alertas, Reportes Sistemáticos (RSA y RTE). Normativa principal aplicable a </w:t>
            </w:r>
            <w:proofErr w:type="spellStart"/>
            <w:r w:rsidRPr="00184FB4">
              <w:rPr>
                <w:rFonts w:ascii="Segoe UI" w:hAnsi="Segoe UI" w:cs="Segoe UI"/>
                <w:sz w:val="20"/>
                <w:szCs w:val="20"/>
              </w:rPr>
              <w:t>PSPCPs</w:t>
            </w:r>
            <w:proofErr w:type="spellEnd"/>
            <w:r w:rsidRPr="00184FB4">
              <w:rPr>
                <w:rFonts w:ascii="Segoe UI" w:hAnsi="Segoe UI" w:cs="Segoe UI"/>
                <w:sz w:val="20"/>
                <w:szCs w:val="20"/>
              </w:rPr>
              <w:t xml:space="preserve"> como FinPago S.A.S.</w:t>
            </w:r>
          </w:p>
        </w:tc>
        <w:tc>
          <w:tcPr>
            <w:tcW w:w="2832" w:type="dxa"/>
          </w:tcPr>
          <w:p w14:paraId="6E5B8238" w14:textId="5FB0567A" w:rsidR="00184FB4" w:rsidRPr="00184FB4" w:rsidRDefault="00184FB4" w:rsidP="001B159C">
            <w:pPr>
              <w:rPr>
                <w:rFonts w:ascii="Segoe UI" w:hAnsi="Segoe UI" w:cs="Segoe UI"/>
                <w:sz w:val="20"/>
                <w:szCs w:val="20"/>
              </w:rPr>
            </w:pPr>
            <w:r w:rsidRPr="00184FB4">
              <w:rPr>
                <w:rFonts w:ascii="Segoe UI" w:hAnsi="Segoe UI" w:cs="Segoe UI"/>
                <w:sz w:val="20"/>
                <w:szCs w:val="20"/>
              </w:rPr>
              <w:t>boletinoficial.gob.ar</w:t>
            </w:r>
          </w:p>
        </w:tc>
      </w:tr>
      <w:tr w:rsidR="00184FB4" w14:paraId="2388A2B5" w14:textId="77777777" w:rsidTr="00184FB4">
        <w:tc>
          <w:tcPr>
            <w:tcW w:w="2831" w:type="dxa"/>
          </w:tcPr>
          <w:p w14:paraId="504D614B" w14:textId="24C79546" w:rsidR="00184FB4" w:rsidRPr="00184FB4" w:rsidRDefault="00184FB4" w:rsidP="001B159C">
            <w:pPr>
              <w:rPr>
                <w:rFonts w:ascii="Segoe UI" w:hAnsi="Segoe UI" w:cs="Segoe UI"/>
                <w:sz w:val="20"/>
                <w:szCs w:val="20"/>
              </w:rPr>
            </w:pPr>
            <w:r w:rsidRPr="00184FB4">
              <w:rPr>
                <w:rFonts w:ascii="Segoe UI" w:hAnsi="Segoe UI" w:cs="Segoe UI"/>
                <w:sz w:val="20"/>
                <w:szCs w:val="20"/>
              </w:rPr>
              <w:t>Resolución UIF N° 3/2026</w:t>
            </w:r>
          </w:p>
        </w:tc>
        <w:tc>
          <w:tcPr>
            <w:tcW w:w="2831" w:type="dxa"/>
          </w:tcPr>
          <w:p w14:paraId="439A66E4" w14:textId="7D19FF8F" w:rsidR="00184FB4" w:rsidRPr="00184FB4" w:rsidRDefault="00184FB4" w:rsidP="001B159C">
            <w:pPr>
              <w:rPr>
                <w:rFonts w:ascii="Segoe UI" w:hAnsi="Segoe UI" w:cs="Segoe UI"/>
                <w:sz w:val="20"/>
                <w:szCs w:val="20"/>
              </w:rPr>
            </w:pPr>
            <w:r w:rsidRPr="00184FB4">
              <w:rPr>
                <w:rFonts w:ascii="Segoe UI" w:hAnsi="Segoe UI" w:cs="Segoe UI"/>
                <w:sz w:val="20"/>
                <w:szCs w:val="20"/>
              </w:rPr>
              <w:t>Régimen de cotejo de listas de personas físicas y jurídicas con prohibición de activos FPADM. Reemplaza a la Res. UIF N° 29/2013. Vigente desde enero de 2026.</w:t>
            </w:r>
          </w:p>
        </w:tc>
        <w:tc>
          <w:tcPr>
            <w:tcW w:w="2832" w:type="dxa"/>
          </w:tcPr>
          <w:p w14:paraId="156A2135" w14:textId="5310EC73" w:rsidR="00184FB4" w:rsidRPr="00184FB4" w:rsidRDefault="00184FB4" w:rsidP="001B159C">
            <w:pPr>
              <w:rPr>
                <w:rFonts w:ascii="Segoe UI" w:hAnsi="Segoe UI" w:cs="Segoe UI"/>
                <w:sz w:val="20"/>
                <w:szCs w:val="20"/>
              </w:rPr>
            </w:pPr>
            <w:r w:rsidRPr="00184FB4">
              <w:rPr>
                <w:rFonts w:ascii="Segoe UI" w:hAnsi="Segoe UI" w:cs="Segoe UI"/>
                <w:sz w:val="20"/>
                <w:szCs w:val="20"/>
              </w:rPr>
              <w:t>boletinoficial.gob.ar</w:t>
            </w:r>
          </w:p>
        </w:tc>
      </w:tr>
      <w:tr w:rsidR="00184FB4" w14:paraId="0EFD852B" w14:textId="77777777" w:rsidTr="00184FB4">
        <w:tc>
          <w:tcPr>
            <w:tcW w:w="2831" w:type="dxa"/>
          </w:tcPr>
          <w:p w14:paraId="4BD6B2EC" w14:textId="06F156E8" w:rsidR="00184FB4" w:rsidRPr="00184FB4" w:rsidRDefault="00184FB4" w:rsidP="001B159C">
            <w:pPr>
              <w:rPr>
                <w:rFonts w:ascii="Segoe UI" w:hAnsi="Segoe UI" w:cs="Segoe UI"/>
                <w:sz w:val="20"/>
                <w:szCs w:val="20"/>
              </w:rPr>
            </w:pPr>
            <w:r w:rsidRPr="00184FB4">
              <w:rPr>
                <w:rFonts w:ascii="Segoe UI" w:hAnsi="Segoe UI" w:cs="Segoe UI"/>
                <w:sz w:val="20"/>
                <w:szCs w:val="20"/>
              </w:rPr>
              <w:t>Resolución UIF N° 207/2025</w:t>
            </w:r>
          </w:p>
        </w:tc>
        <w:tc>
          <w:tcPr>
            <w:tcW w:w="2831" w:type="dxa"/>
          </w:tcPr>
          <w:p w14:paraId="069AF848" w14:textId="3AB02E31" w:rsidR="00184FB4" w:rsidRPr="00184FB4" w:rsidRDefault="00184FB4" w:rsidP="001B159C">
            <w:pPr>
              <w:rPr>
                <w:rFonts w:ascii="Segoe UI" w:hAnsi="Segoe UI" w:cs="Segoe UI"/>
                <w:sz w:val="20"/>
                <w:szCs w:val="20"/>
              </w:rPr>
            </w:pPr>
            <w:r w:rsidRPr="00184FB4">
              <w:rPr>
                <w:rFonts w:ascii="Segoe UI" w:hAnsi="Segoe UI" w:cs="Segoe UI"/>
                <w:sz w:val="20"/>
                <w:szCs w:val="20"/>
              </w:rPr>
              <w:t>Régimen de Reporte de Financiamiento del Terrorismo (RFT). Obligación de congelamiento inmediato de activos ante coincidencia confirmada en listas RFT/OFAC/ONU.</w:t>
            </w:r>
          </w:p>
        </w:tc>
        <w:tc>
          <w:tcPr>
            <w:tcW w:w="2832" w:type="dxa"/>
          </w:tcPr>
          <w:p w14:paraId="02338EE4" w14:textId="120251AE" w:rsidR="00184FB4" w:rsidRPr="00184FB4" w:rsidRDefault="00611D3B" w:rsidP="001B159C">
            <w:pPr>
              <w:rPr>
                <w:rFonts w:ascii="Segoe UI" w:hAnsi="Segoe UI" w:cs="Segoe UI"/>
                <w:sz w:val="20"/>
                <w:szCs w:val="20"/>
              </w:rPr>
            </w:pPr>
            <w:r w:rsidRPr="00611D3B">
              <w:rPr>
                <w:rFonts w:ascii="Segoe UI" w:hAnsi="Segoe UI" w:cs="Segoe UI"/>
                <w:sz w:val="20"/>
                <w:szCs w:val="20"/>
              </w:rPr>
              <w:t>boletinoficial.gob.ar</w:t>
            </w:r>
          </w:p>
        </w:tc>
      </w:tr>
      <w:tr w:rsidR="00184FB4" w14:paraId="6999EAD5" w14:textId="77777777" w:rsidTr="00184FB4">
        <w:tc>
          <w:tcPr>
            <w:tcW w:w="2831" w:type="dxa"/>
          </w:tcPr>
          <w:p w14:paraId="2EEA68EA" w14:textId="0303B63F" w:rsidR="00184FB4" w:rsidRPr="00184FB4" w:rsidRDefault="00184FB4" w:rsidP="001B159C">
            <w:pPr>
              <w:rPr>
                <w:rFonts w:ascii="Segoe UI" w:hAnsi="Segoe UI" w:cs="Segoe UI"/>
                <w:sz w:val="20"/>
                <w:szCs w:val="20"/>
              </w:rPr>
            </w:pPr>
            <w:r w:rsidRPr="00184FB4">
              <w:rPr>
                <w:rFonts w:ascii="Segoe UI" w:hAnsi="Segoe UI" w:cs="Segoe UI"/>
                <w:sz w:val="20"/>
                <w:szCs w:val="20"/>
              </w:rPr>
              <w:t>Resolución UIF N° 233/2025</w:t>
            </w:r>
          </w:p>
        </w:tc>
        <w:tc>
          <w:tcPr>
            <w:tcW w:w="2831" w:type="dxa"/>
          </w:tcPr>
          <w:p w14:paraId="71C79C84" w14:textId="335F9384" w:rsidR="00184FB4" w:rsidRPr="00184FB4" w:rsidRDefault="00184FB4" w:rsidP="001B159C">
            <w:pPr>
              <w:rPr>
                <w:rFonts w:ascii="Segoe UI" w:hAnsi="Segoe UI" w:cs="Segoe UI"/>
                <w:sz w:val="20"/>
                <w:szCs w:val="20"/>
              </w:rPr>
            </w:pPr>
            <w:r w:rsidRPr="00184FB4">
              <w:rPr>
                <w:rFonts w:ascii="Segoe UI" w:hAnsi="Segoe UI" w:cs="Segoe UI"/>
                <w:sz w:val="20"/>
                <w:szCs w:val="20"/>
              </w:rPr>
              <w:t>Intercambio de información entre organismos de supervisión y control. Relevante para el tratamiento de coincidencias en cotejo de listas.</w:t>
            </w:r>
          </w:p>
        </w:tc>
        <w:tc>
          <w:tcPr>
            <w:tcW w:w="2832" w:type="dxa"/>
          </w:tcPr>
          <w:p w14:paraId="11CC670C" w14:textId="5E747483" w:rsidR="00184FB4" w:rsidRPr="00184FB4" w:rsidRDefault="00611D3B" w:rsidP="001B159C">
            <w:pPr>
              <w:rPr>
                <w:rFonts w:ascii="Segoe UI" w:hAnsi="Segoe UI" w:cs="Segoe UI"/>
                <w:sz w:val="20"/>
                <w:szCs w:val="20"/>
              </w:rPr>
            </w:pPr>
            <w:r w:rsidRPr="00611D3B">
              <w:rPr>
                <w:rFonts w:ascii="Segoe UI" w:hAnsi="Segoe UI" w:cs="Segoe UI"/>
                <w:sz w:val="20"/>
                <w:szCs w:val="20"/>
              </w:rPr>
              <w:t>boletinoficial.gob.ar</w:t>
            </w:r>
          </w:p>
        </w:tc>
      </w:tr>
      <w:tr w:rsidR="00184FB4" w14:paraId="1A392169" w14:textId="77777777" w:rsidTr="00184FB4">
        <w:tc>
          <w:tcPr>
            <w:tcW w:w="2831" w:type="dxa"/>
          </w:tcPr>
          <w:p w14:paraId="50D2E56A" w14:textId="5AF8A948" w:rsidR="00184FB4" w:rsidRPr="00184FB4" w:rsidRDefault="00184FB4" w:rsidP="001B159C">
            <w:pPr>
              <w:rPr>
                <w:rFonts w:ascii="Segoe UI" w:hAnsi="Segoe UI" w:cs="Segoe UI"/>
                <w:sz w:val="20"/>
                <w:szCs w:val="20"/>
              </w:rPr>
            </w:pPr>
            <w:r w:rsidRPr="00184FB4">
              <w:rPr>
                <w:rFonts w:ascii="Segoe UI" w:hAnsi="Segoe UI" w:cs="Segoe UI"/>
                <w:sz w:val="20"/>
                <w:szCs w:val="20"/>
              </w:rPr>
              <w:t>Comunicación BCRA "A" 7462/2022</w:t>
            </w:r>
          </w:p>
        </w:tc>
        <w:tc>
          <w:tcPr>
            <w:tcW w:w="2831" w:type="dxa"/>
          </w:tcPr>
          <w:p w14:paraId="45B7ECE6" w14:textId="0514941B" w:rsidR="00184FB4" w:rsidRPr="00184FB4" w:rsidRDefault="00184FB4" w:rsidP="001B159C">
            <w:pPr>
              <w:rPr>
                <w:rFonts w:ascii="Segoe UI" w:hAnsi="Segoe UI" w:cs="Segoe UI"/>
                <w:sz w:val="20"/>
                <w:szCs w:val="20"/>
              </w:rPr>
            </w:pPr>
            <w:r w:rsidRPr="00184FB4">
              <w:rPr>
                <w:rFonts w:ascii="Segoe UI" w:hAnsi="Segoe UI" w:cs="Segoe UI"/>
                <w:sz w:val="20"/>
                <w:szCs w:val="20"/>
              </w:rPr>
              <w:t xml:space="preserve">Trazabilidad de operaciones y requisitos de auditoría para </w:t>
            </w:r>
            <w:proofErr w:type="spellStart"/>
            <w:r w:rsidRPr="00184FB4">
              <w:rPr>
                <w:rFonts w:ascii="Segoe UI" w:hAnsi="Segoe UI" w:cs="Segoe UI"/>
                <w:sz w:val="20"/>
                <w:szCs w:val="20"/>
              </w:rPr>
              <w:t>PSPs</w:t>
            </w:r>
            <w:proofErr w:type="spellEnd"/>
            <w:r w:rsidRPr="00184FB4">
              <w:rPr>
                <w:rFonts w:ascii="Segoe UI" w:hAnsi="Segoe UI" w:cs="Segoe UI"/>
                <w:sz w:val="20"/>
                <w:szCs w:val="20"/>
              </w:rPr>
              <w:t>. Complementa las obligaciones de monitoreo establecidas en la Res. UIF N° 200/2024.</w:t>
            </w:r>
          </w:p>
        </w:tc>
        <w:tc>
          <w:tcPr>
            <w:tcW w:w="2832" w:type="dxa"/>
          </w:tcPr>
          <w:p w14:paraId="3C0801C8" w14:textId="586CF55A" w:rsidR="00184FB4" w:rsidRPr="00184FB4" w:rsidRDefault="00611D3B" w:rsidP="001B159C">
            <w:pPr>
              <w:rPr>
                <w:rFonts w:ascii="Segoe UI" w:hAnsi="Segoe UI" w:cs="Segoe UI"/>
                <w:sz w:val="20"/>
                <w:szCs w:val="20"/>
              </w:rPr>
            </w:pPr>
            <w:r w:rsidRPr="00611D3B">
              <w:rPr>
                <w:rFonts w:ascii="Segoe UI" w:hAnsi="Segoe UI" w:cs="Segoe UI"/>
                <w:sz w:val="20"/>
                <w:szCs w:val="20"/>
              </w:rPr>
              <w:t>bcra.gob.ar</w:t>
            </w:r>
          </w:p>
        </w:tc>
      </w:tr>
    </w:tbl>
    <w:p w14:paraId="4FA65B06" w14:textId="653809D8" w:rsidR="00184FB4" w:rsidRDefault="00184FB4" w:rsidP="001B159C">
      <w:pPr>
        <w:pBdr>
          <w:bottom w:val="single" w:sz="6" w:space="1" w:color="auto"/>
        </w:pBdr>
        <w:rPr>
          <w:rFonts w:ascii="Segoe UI" w:hAnsi="Segoe UI" w:cs="Segoe UI"/>
          <w:b/>
          <w:bCs/>
          <w:sz w:val="28"/>
          <w:szCs w:val="28"/>
        </w:rPr>
      </w:pPr>
    </w:p>
    <w:p w14:paraId="79E870B0" w14:textId="43C7FA43" w:rsidR="00611D3B" w:rsidRDefault="00611D3B" w:rsidP="001B159C">
      <w:pPr>
        <w:rPr>
          <w:rFonts w:ascii="Segoe UI" w:hAnsi="Segoe UI" w:cs="Segoe UI"/>
          <w:i/>
          <w:iCs/>
          <w:sz w:val="18"/>
          <w:szCs w:val="18"/>
        </w:rPr>
      </w:pPr>
      <w:r w:rsidRPr="00611D3B">
        <w:rPr>
          <w:rFonts w:ascii="Segoe UI" w:hAnsi="Segoe UI" w:cs="Segoe UI"/>
          <w:i/>
          <w:iCs/>
          <w:sz w:val="18"/>
          <w:szCs w:val="18"/>
        </w:rPr>
        <w:t xml:space="preserve">Este documento ha sido elaborado con fines exclusivamente educativos y de portfolio profesional. Todos los datos, nombres de clientes, operaciones, fechas y situaciones descritas son completamente ficticios y no representan información real de ninguna entidad financiera, persona física o jurídica. Las referencias normativas corresponden a normativa pública de la República Argentina. FinPago S.A.S. es una entidad </w:t>
      </w:r>
      <w:r w:rsidRPr="00611D3B">
        <w:rPr>
          <w:rFonts w:ascii="Segoe UI" w:hAnsi="Segoe UI" w:cs="Segoe UI"/>
          <w:b/>
          <w:bCs/>
          <w:i/>
          <w:iCs/>
          <w:sz w:val="18"/>
          <w:szCs w:val="18"/>
        </w:rPr>
        <w:t>ficticia</w:t>
      </w:r>
      <w:r w:rsidRPr="00611D3B">
        <w:rPr>
          <w:rFonts w:ascii="Segoe UI" w:hAnsi="Segoe UI" w:cs="Segoe UI"/>
          <w:i/>
          <w:iCs/>
          <w:sz w:val="18"/>
          <w:szCs w:val="18"/>
        </w:rPr>
        <w:t xml:space="preserve"> creada exclusivamente para este ejercicio.</w:t>
      </w:r>
    </w:p>
    <w:p w14:paraId="501D9AD5" w14:textId="77777777" w:rsidR="00611D3B" w:rsidRPr="00611D3B" w:rsidRDefault="00611D3B" w:rsidP="001B159C">
      <w:pPr>
        <w:rPr>
          <w:rFonts w:ascii="Segoe UI" w:hAnsi="Segoe UI" w:cs="Segoe UI"/>
          <w:i/>
          <w:iCs/>
          <w:sz w:val="18"/>
          <w:szCs w:val="18"/>
        </w:rPr>
      </w:pPr>
    </w:p>
    <w:p w14:paraId="0C3E5480" w14:textId="77777777" w:rsidR="001B159C" w:rsidRPr="001B159C" w:rsidRDefault="001B159C" w:rsidP="001B159C">
      <w:pPr>
        <w:rPr>
          <w:rFonts w:ascii="Segoe UI" w:hAnsi="Segoe UI" w:cs="Segoe UI"/>
          <w:b/>
          <w:bCs/>
          <w:sz w:val="28"/>
          <w:szCs w:val="28"/>
        </w:rPr>
      </w:pPr>
    </w:p>
    <w:sectPr w:rsidR="001B159C" w:rsidRPr="001B15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71456"/>
    <w:multiLevelType w:val="multilevel"/>
    <w:tmpl w:val="DB7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5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9C"/>
    <w:rsid w:val="00184FB4"/>
    <w:rsid w:val="001B159C"/>
    <w:rsid w:val="00611D3B"/>
    <w:rsid w:val="00616441"/>
    <w:rsid w:val="00C871F4"/>
    <w:rsid w:val="00F718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E1E5"/>
  <w15:chartTrackingRefBased/>
  <w15:docId w15:val="{D7648498-E11F-49F5-8CC5-7655F197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59C"/>
    <w:rPr>
      <w:rFonts w:eastAsiaTheme="majorEastAsia" w:cstheme="majorBidi"/>
      <w:color w:val="272727" w:themeColor="text1" w:themeTint="D8"/>
    </w:rPr>
  </w:style>
  <w:style w:type="paragraph" w:styleId="Title">
    <w:name w:val="Title"/>
    <w:basedOn w:val="Normal"/>
    <w:next w:val="Normal"/>
    <w:link w:val="TitleChar"/>
    <w:uiPriority w:val="10"/>
    <w:qFormat/>
    <w:rsid w:val="001B1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59C"/>
    <w:pPr>
      <w:spacing w:before="160"/>
      <w:jc w:val="center"/>
    </w:pPr>
    <w:rPr>
      <w:i/>
      <w:iCs/>
      <w:color w:val="404040" w:themeColor="text1" w:themeTint="BF"/>
    </w:rPr>
  </w:style>
  <w:style w:type="character" w:customStyle="1" w:styleId="QuoteChar">
    <w:name w:val="Quote Char"/>
    <w:basedOn w:val="DefaultParagraphFont"/>
    <w:link w:val="Quote"/>
    <w:uiPriority w:val="29"/>
    <w:rsid w:val="001B159C"/>
    <w:rPr>
      <w:i/>
      <w:iCs/>
      <w:color w:val="404040" w:themeColor="text1" w:themeTint="BF"/>
    </w:rPr>
  </w:style>
  <w:style w:type="paragraph" w:styleId="ListParagraph">
    <w:name w:val="List Paragraph"/>
    <w:basedOn w:val="Normal"/>
    <w:uiPriority w:val="34"/>
    <w:qFormat/>
    <w:rsid w:val="001B159C"/>
    <w:pPr>
      <w:ind w:left="720"/>
      <w:contextualSpacing/>
    </w:pPr>
  </w:style>
  <w:style w:type="character" w:styleId="IntenseEmphasis">
    <w:name w:val="Intense Emphasis"/>
    <w:basedOn w:val="DefaultParagraphFont"/>
    <w:uiPriority w:val="21"/>
    <w:qFormat/>
    <w:rsid w:val="001B159C"/>
    <w:rPr>
      <w:i/>
      <w:iCs/>
      <w:color w:val="2F5496" w:themeColor="accent1" w:themeShade="BF"/>
    </w:rPr>
  </w:style>
  <w:style w:type="paragraph" w:styleId="IntenseQuote">
    <w:name w:val="Intense Quote"/>
    <w:basedOn w:val="Normal"/>
    <w:next w:val="Normal"/>
    <w:link w:val="IntenseQuoteChar"/>
    <w:uiPriority w:val="30"/>
    <w:qFormat/>
    <w:rsid w:val="001B1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59C"/>
    <w:rPr>
      <w:i/>
      <w:iCs/>
      <w:color w:val="2F5496" w:themeColor="accent1" w:themeShade="BF"/>
    </w:rPr>
  </w:style>
  <w:style w:type="character" w:styleId="IntenseReference">
    <w:name w:val="Intense Reference"/>
    <w:basedOn w:val="DefaultParagraphFont"/>
    <w:uiPriority w:val="32"/>
    <w:qFormat/>
    <w:rsid w:val="001B159C"/>
    <w:rPr>
      <w:b/>
      <w:bCs/>
      <w:smallCaps/>
      <w:color w:val="2F5496" w:themeColor="accent1" w:themeShade="BF"/>
      <w:spacing w:val="5"/>
    </w:rPr>
  </w:style>
  <w:style w:type="table" w:styleId="TableGrid">
    <w:name w:val="Table Grid"/>
    <w:basedOn w:val="TableNormal"/>
    <w:uiPriority w:val="39"/>
    <w:rsid w:val="001B1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211C5-FFFA-4C99-8367-E064CCBEC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1522</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2026-03-20T14:08:00Z</dcterms:created>
  <dcterms:modified xsi:type="dcterms:W3CDTF">2026-03-20T14:35:00Z</dcterms:modified>
</cp:coreProperties>
</file>