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C8102E"/>
          <w:sz w:val="32"/>
          <w:szCs w:val="32"/>
        </w:rPr>
        <w:t xml:space="preserve">Definiciones administrativas (ampliación 2)</w:t>
      </w:r>
    </w:p>
    <w:p>
      <w:pPr>
        <w:spacing w:after="60"/>
        <w:jc w:val="center"/>
      </w:pPr>
      <w:r>
        <w:rPr>
          <w:color w:val="1F3864"/>
          <w:sz w:val="24"/>
          <w:szCs w:val="24"/>
        </w:rPr>
        <w:t xml:space="preserve">Marco conceptual para comprender el negocio — Sistema Disensa Prioridad</w:t>
      </w:r>
    </w:p>
    <w:p>
      <w:pPr>
        <w:spacing w:after="130"/>
        <w:jc w:val="both"/>
      </w:pPr>
      <w:r>
        <w:rPr>
          <w:sz w:val="22"/>
          <w:szCs w:val="22"/>
        </w:rPr>
        <w:t xml:space="preserve">Nuevos conceptos, distintos a los anteriores, redactados con palabras propias (paráfrasis) a partir de fuentes académicas de acceso abierto y con su cita en el texto (APA, 7.ª edición). Cada término incluye dos párrafos listos para copiar y pegar; al final se listan las Referencias con los enlaces de consulta gratuita.</w:t>
      </w:r>
    </w:p>
    <w:p>
      <w:pPr>
        <w:pStyle w:val="Heading1"/>
        <w:spacing w:after="120" w:before="280"/>
      </w:pPr>
      <w:r>
        <w:rPr>
          <w:b/>
          <w:bCs/>
          <w:color w:val="1F3864"/>
          <w:sz w:val="28"/>
          <w:szCs w:val="28"/>
        </w:rPr>
        <w:t xml:space="preserve">Definiciones</w:t>
      </w:r>
    </w:p>
    <w:p>
      <w:pPr>
        <w:spacing w:after="80" w:before="220"/>
      </w:pPr>
      <w:r>
        <w:rPr>
          <w:b/>
          <w:bCs/>
          <w:color w:val="2E4C7E"/>
          <w:sz w:val="24"/>
          <w:szCs w:val="24"/>
        </w:rPr>
        <w:t xml:space="preserve">Efecto látigo (bullwhip)</w:t>
      </w:r>
    </w:p>
    <w:p>
      <w:pPr>
        <w:spacing w:after="130"/>
        <w:jc w:val="both"/>
      </w:pPr>
      <w:r>
        <w:rPr>
          <w:sz w:val="22"/>
          <w:szCs w:val="22"/>
        </w:rPr>
        <w:t xml:space="preserve">El efecto látigo es un fenómeno que dificulta la administración de la cadena de suministro y que consiste en la distorsión creciente de la demanda a medida que la información se aleja del mercado y sube por la cadena, de un eslabón a otro. En términos sencillos, pequeñas variaciones en los pedidos del cliente final se van amplificando en cada nivel, lo que genera fluctuaciones cada vez mayores en las órdenes que se transmiten hacia atrás (Mejía Villamizar et al., 2013).</w:t>
      </w:r>
    </w:p>
    <w:p>
      <w:pPr>
        <w:spacing w:after="130"/>
        <w:jc w:val="both"/>
      </w:pPr>
      <w:r>
        <w:rPr>
          <w:sz w:val="22"/>
          <w:szCs w:val="22"/>
        </w:rPr>
        <w:t xml:space="preserve">Su origen está en la falta de coordinación y sincronización entre los actores de la cadena, y sus consecuencias recaen sobre la planeación: obliga a mantener más inventario de seguridad, eleva los costos logísticos y alarga los tiempos de respuesta. Por ello, una de las maneras de atenuarlo es compartir la información y apoyarse en un sistema de información sincronizado que permita a los agentes trabajar de forma cooperativa (Mejía Villamizar et al., 2013).</w:t>
      </w:r>
    </w:p>
    <w:p>
      <w:pPr>
        <w:spacing w:after="80" w:before="220"/>
      </w:pPr>
      <w:r>
        <w:rPr>
          <w:b/>
          <w:bCs/>
          <w:color w:val="2E4C7E"/>
          <w:sz w:val="24"/>
          <w:szCs w:val="24"/>
        </w:rPr>
        <w:t xml:space="preserve">Sistema de información gerencial</w:t>
      </w:r>
    </w:p>
    <w:p>
      <w:pPr>
        <w:spacing w:after="130"/>
        <w:jc w:val="both"/>
      </w:pPr>
      <w:r>
        <w:rPr>
          <w:sz w:val="22"/>
          <w:szCs w:val="22"/>
        </w:rPr>
        <w:t xml:space="preserve">Un sistema de información gerencial es el conjunto organizado de personas, procesos y tecnología que recopila, procesa y entrega información oportuna y clasificada dentro de una organización. Su propósito no se limita a almacenar datos, sino a convertirlos en información útil que respalde la gestión en los distintos niveles de la empresa (Mata de Buonaffina, 2018).</w:t>
      </w:r>
    </w:p>
    <w:p>
      <w:pPr>
        <w:spacing w:after="130"/>
        <w:jc w:val="both"/>
      </w:pPr>
      <w:r>
        <w:rPr>
          <w:sz w:val="22"/>
          <w:szCs w:val="22"/>
        </w:rPr>
        <w:t xml:space="preserve">La relevancia de estos sistemas radica en su papel dentro de la toma de decisiones: al ofrecer información confiable y a tiempo, permiten a los directivos plantear soluciones de corto, mediano y largo plazo y responder mejor a un entorno competitivo. En esa medida, se convierten en una herramienta estratégica para el éxito de la organización (Mata de Buonaffina, 2018).</w:t>
      </w:r>
    </w:p>
    <w:p>
      <w:pPr>
        <w:spacing w:after="80" w:before="220"/>
      </w:pPr>
      <w:r>
        <w:rPr>
          <w:b/>
          <w:bCs/>
          <w:color w:val="2E4C7E"/>
          <w:sz w:val="24"/>
          <w:szCs w:val="24"/>
        </w:rPr>
        <w:t xml:space="preserve">Stock de seguridad</w:t>
      </w:r>
    </w:p>
    <w:p>
      <w:pPr>
        <w:spacing w:after="130"/>
        <w:jc w:val="both"/>
      </w:pPr>
      <w:r>
        <w:rPr>
          <w:sz w:val="22"/>
          <w:szCs w:val="22"/>
        </w:rPr>
        <w:t xml:space="preserve">El stock de seguridad es una cantidad adicional de inventario que se conserva como reserva para protegerse ante situaciones imprevistas, como un aumento inesperado de la demanda o un retraso del proveedor durante el tiempo de entrega. Actúa como un colchón que ayuda a evitar los faltantes y la pérdida de ventas cuando el consumo real supera lo que se había planificado (Izar Landeta et al., 2015).</w:t>
      </w:r>
    </w:p>
    <w:p>
      <w:pPr>
        <w:spacing w:after="130"/>
        <w:jc w:val="both"/>
      </w:pPr>
      <w:r>
        <w:rPr>
          <w:sz w:val="22"/>
          <w:szCs w:val="22"/>
        </w:rPr>
        <w:t xml:space="preserve">Definir su tamaño supone un equilibrio: si es demasiado bajo, la empresa queda expuesta a quedarse sin producto; si es demasiado alto, inmoviliza capital y encarece el almacenamiento. Por eso su cálculo se relaciona con la variabilidad de la demanda, el tiempo de entrega y el nivel de servicio que la organización quiere ofrecer a sus clientes (Izar Landeta et al., 2015).</w:t>
      </w:r>
    </w:p>
    <w:p>
      <w:pPr>
        <w:spacing w:after="80" w:before="220"/>
      </w:pPr>
      <w:r>
        <w:rPr>
          <w:b/>
          <w:bCs/>
          <w:color w:val="2E4C7E"/>
          <w:sz w:val="24"/>
          <w:szCs w:val="24"/>
        </w:rPr>
        <w:t xml:space="preserve">Clasificación ABC de inventarios</w:t>
      </w:r>
    </w:p>
    <w:p>
      <w:pPr>
        <w:spacing w:after="130"/>
        <w:jc w:val="both"/>
      </w:pPr>
      <w:r>
        <w:rPr>
          <w:sz w:val="22"/>
          <w:szCs w:val="22"/>
        </w:rPr>
        <w:t xml:space="preserve">La clasificación ABC (Always Better Control) es una herramienta que ordena los productos de un inventario según su importancia, con el fin de concentrar los esfuerzos de control donde generan mayor impacto. Se apoya en el principio de Pareto: unos pocos artículos concentran la mayor parte del valor o del consumo, mientras que muchos otros aportan poco (Méndez Giraldo y López Santana, 2014).</w:t>
      </w:r>
    </w:p>
    <w:p>
      <w:pPr>
        <w:spacing w:after="130"/>
        <w:jc w:val="both"/>
      </w:pPr>
      <w:r>
        <w:rPr>
          <w:sz w:val="22"/>
          <w:szCs w:val="22"/>
        </w:rPr>
        <w:t xml:space="preserve">Bajo este criterio, los artículos se agrupan en tres categorías de prioridad: A, los más importantes, sobre los que se ejerce el mayor control; B, de importancia intermedia; y C, los menos relevantes. De esta forma, la empresa destina la mayor parte de sus recursos de planeación y seguimiento a los productos de clase A y mantiene un control más ligero sobre los de menor valor (Méndez Giraldo y López Santana, 2014).</w:t>
      </w:r>
    </w:p>
    <w:p>
      <w:pPr>
        <w:spacing w:after="80" w:before="220"/>
      </w:pPr>
      <w:r>
        <w:rPr>
          <w:b/>
          <w:bCs/>
          <w:color w:val="2E4C7E"/>
          <w:sz w:val="24"/>
          <w:szCs w:val="24"/>
        </w:rPr>
        <w:t xml:space="preserve">Rotación de inventarios</w:t>
      </w:r>
    </w:p>
    <w:p>
      <w:pPr>
        <w:spacing w:after="130"/>
        <w:jc w:val="both"/>
      </w:pPr>
      <w:r>
        <w:rPr>
          <w:sz w:val="22"/>
          <w:szCs w:val="22"/>
        </w:rPr>
        <w:t xml:space="preserve">La rotación de inventarios es un indicador que muestra cuántas veces —o en cuántos días— una empresa renueva sus existencias durante un período determinado. Refleja la rapidez con la que la mercancía almacenada se convierte en ventas y, por lo tanto, en efectivo o cuentas por cobrar (Murillo Villegas y Ochoa Hidalgo, 2019).</w:t>
      </w:r>
    </w:p>
    <w:p>
      <w:pPr>
        <w:spacing w:after="130"/>
        <w:jc w:val="both"/>
      </w:pPr>
      <w:r>
        <w:rPr>
          <w:sz w:val="22"/>
          <w:szCs w:val="22"/>
        </w:rPr>
        <w:t xml:space="preserve">Este indicador es clave para la salud financiera del negocio: una rotación alta suele asociarse a un manejo eficiente, con menos capital inmovilizado y menores costos de almacenamiento, mientras que una rotación baja advierte sobre exceso de stock, productos de lento movimiento y riesgo de pérdida de valor. Por eso su seguimiento apoya las decisiones sobre compras y niveles de inventario (Murillo Villegas y Ochoa Hidalgo, 2019).</w:t>
      </w:r>
    </w:p>
    <w:p>
      <w:pPr>
        <w:spacing w:after="80" w:before="220"/>
      </w:pPr>
      <w:r>
        <w:rPr>
          <w:b/>
          <w:bCs/>
          <w:color w:val="2E4C7E"/>
          <w:sz w:val="24"/>
          <w:szCs w:val="24"/>
        </w:rPr>
        <w:t xml:space="preserve">Proceso administrativo</w:t>
      </w:r>
    </w:p>
    <w:p>
      <w:pPr>
        <w:spacing w:after="130"/>
        <w:jc w:val="both"/>
      </w:pPr>
      <w:r>
        <w:rPr>
          <w:sz w:val="22"/>
          <w:szCs w:val="22"/>
        </w:rPr>
        <w:t xml:space="preserve">El proceso administrativo es el conjunto de fases sucesivas e interrelacionadas mediante las cuales se lleva a cabo la administración de una organización, que en conjunto forman un todo integral. Tradicionalmente se compone de cuatro etapas —planeación, organización, dirección y control— que se aplican de manera secuencial para transformar los objetivos de la empresa en acciones concretas (Muñoz Jaime et al., 2020).</w:t>
      </w:r>
    </w:p>
    <w:p>
      <w:pPr>
        <w:spacing w:after="130"/>
        <w:jc w:val="both"/>
      </w:pPr>
      <w:r>
        <w:rPr>
          <w:sz w:val="22"/>
          <w:szCs w:val="22"/>
        </w:rPr>
        <w:t xml:space="preserve">Su valor está en que ordena la gestión y evita la improvisación: la planeación define hacia dónde ir, la organización dispone los recursos y las tareas, la dirección guía y motiva a las personas, y el control verifica que los resultados coincidan con lo planificado. Aplicado de forma continua, este proceso facilita la toma de decisiones y el logro de los objetivos empresariales (Muñoz Jaime et al., 2020).</w:t>
      </w:r>
    </w:p>
    <w:p>
      <w:pPr>
        <w:pStyle w:val="Heading1"/>
        <w:spacing w:after="120" w:before="280"/>
      </w:pPr>
      <w:r>
        <w:rPr>
          <w:b/>
          <w:bCs/>
          <w:color w:val="1F3864"/>
          <w:sz w:val="28"/>
          <w:szCs w:val="28"/>
        </w:rPr>
        <w:t xml:space="preserve">Referencias</w:t>
      </w:r>
    </w:p>
    <w:p>
      <w:pPr>
        <w:spacing w:after="120"/>
        <w:ind w:left="720" w:hanging="720"/>
      </w:pPr>
      <w:r>
        <w:rPr>
          <w:b w:val="false"/>
          <w:bCs w:val="false"/>
          <w:i w:val="false"/>
          <w:iCs w:val="false"/>
          <w:sz w:val="20"/>
          <w:szCs w:val="20"/>
        </w:rPr>
        <w:t xml:space="preserve">Izar Landeta, J. M., Ynzunza Cortés, C. B., y Zermeño Pérez, E. (2015). Cálculo del punto de reorden cuando el tiempo de entrega y la demanda están correlacionados. </w:t>
      </w:r>
      <w:r>
        <w:rPr>
          <w:b w:val="false"/>
          <w:bCs w:val="false"/>
          <w:i/>
          <w:iCs/>
          <w:sz w:val="20"/>
          <w:szCs w:val="20"/>
        </w:rPr>
        <w:t xml:space="preserve">Contaduría y Administración, 60</w:t>
      </w:r>
      <w:r>
        <w:rPr>
          <w:b w:val="false"/>
          <w:bCs w:val="false"/>
          <w:i w:val="false"/>
          <w:iCs w:val="false"/>
          <w:sz w:val="20"/>
          <w:szCs w:val="20"/>
        </w:rPr>
        <w:t xml:space="preserve">(4), 864-873. </w:t>
      </w:r>
      <w:hyperlink w:history="1" r:id="rIdwbse1vach2jky6fuzmdvz">
        <w:r>
          <w:rPr>
            <w:color w:val="0563C1"/>
            <w:sz w:val="20"/>
            <w:szCs w:val="20"/>
            <w:u w:val="single"/>
          </w:rPr>
          <w:t xml:space="preserve">https://www.scielo.org.mx/scielo.php?script=sci_arttext&amp;pid=S0186-10422015000400864</w:t>
        </w:r>
      </w:hyperlink>
    </w:p>
    <w:p>
      <w:pPr>
        <w:spacing w:after="120"/>
        <w:ind w:left="720" w:hanging="720"/>
      </w:pPr>
      <w:r>
        <w:rPr>
          <w:b w:val="false"/>
          <w:bCs w:val="false"/>
          <w:i w:val="false"/>
          <w:iCs w:val="false"/>
          <w:sz w:val="20"/>
          <w:szCs w:val="20"/>
        </w:rPr>
        <w:t xml:space="preserve">Mata de Buonaffina, Y. V. (2018). Necesidad de los sistemas de información gerencial para la toma de decisiones en las organizaciones. </w:t>
      </w:r>
      <w:r>
        <w:rPr>
          <w:b w:val="false"/>
          <w:bCs w:val="false"/>
          <w:i/>
          <w:iCs/>
          <w:sz w:val="20"/>
          <w:szCs w:val="20"/>
        </w:rPr>
        <w:t xml:space="preserve">InterSedes, 19</w:t>
      </w:r>
      <w:r>
        <w:rPr>
          <w:b w:val="false"/>
          <w:bCs w:val="false"/>
          <w:i w:val="false"/>
          <w:iCs w:val="false"/>
          <w:sz w:val="20"/>
          <w:szCs w:val="20"/>
        </w:rPr>
        <w:t xml:space="preserve">(39), 17-31. </w:t>
      </w:r>
      <w:hyperlink w:history="1" r:id="rIdrjchxzt8ti8lbgjv-soqn">
        <w:r>
          <w:rPr>
            <w:color w:val="0563C1"/>
            <w:sz w:val="20"/>
            <w:szCs w:val="20"/>
            <w:u w:val="single"/>
          </w:rPr>
          <w:t xml:space="preserve">https://www.scielo.sa.cr/scielo.php?script=sci_arttext&amp;pid=S2215-24582018000100017</w:t>
        </w:r>
      </w:hyperlink>
    </w:p>
    <w:p>
      <w:pPr>
        <w:spacing w:after="120"/>
        <w:ind w:left="720" w:hanging="720"/>
      </w:pPr>
      <w:r>
        <w:rPr>
          <w:b w:val="false"/>
          <w:bCs w:val="false"/>
          <w:i w:val="false"/>
          <w:iCs w:val="false"/>
          <w:sz w:val="20"/>
          <w:szCs w:val="20"/>
        </w:rPr>
        <w:t xml:space="preserve">Méndez Giraldo, G. A., y López Santana, E. R. (2014). Metodología para el pronóstico de la demanda en ambientes multiproducto y de alta variabilidad. </w:t>
      </w:r>
      <w:r>
        <w:rPr>
          <w:b w:val="false"/>
          <w:bCs w:val="false"/>
          <w:i/>
          <w:iCs/>
          <w:sz w:val="20"/>
          <w:szCs w:val="20"/>
        </w:rPr>
        <w:t xml:space="preserve">Tecnura, 18</w:t>
      </w:r>
      <w:r>
        <w:rPr>
          <w:b w:val="false"/>
          <w:bCs w:val="false"/>
          <w:i w:val="false"/>
          <w:iCs w:val="false"/>
          <w:sz w:val="20"/>
          <w:szCs w:val="20"/>
        </w:rPr>
        <w:t xml:space="preserve">(40), 89-102. </w:t>
      </w:r>
      <w:hyperlink w:history="1" r:id="rIdqhl_b6o30e3attqtcosr7">
        <w:r>
          <w:rPr>
            <w:color w:val="0563C1"/>
            <w:sz w:val="20"/>
            <w:szCs w:val="20"/>
            <w:u w:val="single"/>
          </w:rPr>
          <w:t xml:space="preserve">http://www.scielo.org.co/scielo.php?script=sci_arttext&amp;pid=S0123-921X2014000200008</w:t>
        </w:r>
      </w:hyperlink>
    </w:p>
    <w:p>
      <w:pPr>
        <w:spacing w:after="120"/>
        <w:ind w:left="720" w:hanging="720"/>
      </w:pPr>
      <w:r>
        <w:rPr>
          <w:b w:val="false"/>
          <w:bCs w:val="false"/>
          <w:i w:val="false"/>
          <w:iCs w:val="false"/>
          <w:sz w:val="20"/>
          <w:szCs w:val="20"/>
        </w:rPr>
        <w:t xml:space="preserve">Mejía Villamizar, J. C., Palacio León, Ó., y Adarme Jaimes, W. (2013). Efecto látigo en la planeación de la cadena de abastecimiento, medición y control. </w:t>
      </w:r>
      <w:r>
        <w:rPr>
          <w:b w:val="false"/>
          <w:bCs w:val="false"/>
          <w:i/>
          <w:iCs/>
          <w:sz w:val="20"/>
          <w:szCs w:val="20"/>
        </w:rPr>
        <w:t xml:space="preserve">Ciencia e Ingeniería Neogranadina, 23</w:t>
      </w:r>
      <w:r>
        <w:rPr>
          <w:b w:val="false"/>
          <w:bCs w:val="false"/>
          <w:i w:val="false"/>
          <w:iCs w:val="false"/>
          <w:sz w:val="20"/>
          <w:szCs w:val="20"/>
        </w:rPr>
        <w:t xml:space="preserve">(2), 37-54. </w:t>
      </w:r>
      <w:hyperlink w:history="1" r:id="rIdmzemfnxibpga9by8amlkg">
        <w:r>
          <w:rPr>
            <w:color w:val="0563C1"/>
            <w:sz w:val="20"/>
            <w:szCs w:val="20"/>
            <w:u w:val="single"/>
          </w:rPr>
          <w:t xml:space="preserve">http://www.scielo.org.co/scielo.php?script=sci_arttext&amp;pid=S0124-81702013000200003</w:t>
        </w:r>
      </w:hyperlink>
    </w:p>
    <w:p>
      <w:pPr>
        <w:spacing w:after="120"/>
        <w:ind w:left="720" w:hanging="720"/>
      </w:pPr>
      <w:r>
        <w:rPr>
          <w:b w:val="false"/>
          <w:bCs w:val="false"/>
          <w:i w:val="false"/>
          <w:iCs w:val="false"/>
          <w:sz w:val="20"/>
          <w:szCs w:val="20"/>
        </w:rPr>
        <w:t xml:space="preserve">Muñoz Jaime, L. P., Napa Molina, Y. M., Pazmiño Barragán, W. M., y Posligua Pérez, M. L. (2020). Procesos administrativos: un estudio al desarrollo empresarial de las Pymes. </w:t>
      </w:r>
      <w:r>
        <w:rPr>
          <w:b w:val="false"/>
          <w:bCs w:val="false"/>
          <w:i/>
          <w:iCs/>
          <w:sz w:val="20"/>
          <w:szCs w:val="20"/>
        </w:rPr>
        <w:t xml:space="preserve">UNESUM-Ciencias, 4</w:t>
      </w:r>
      <w:r>
        <w:rPr>
          <w:b w:val="false"/>
          <w:bCs w:val="false"/>
          <w:i w:val="false"/>
          <w:iCs w:val="false"/>
          <w:sz w:val="20"/>
          <w:szCs w:val="20"/>
        </w:rPr>
        <w:t xml:space="preserve">(4), 29-40. </w:t>
      </w:r>
      <w:hyperlink w:history="1" r:id="rId0onro9zj-y-vfisxskvr2">
        <w:r>
          <w:rPr>
            <w:color w:val="0563C1"/>
            <w:sz w:val="20"/>
            <w:szCs w:val="20"/>
            <w:u w:val="single"/>
          </w:rPr>
          <w:t xml:space="preserve">https://revistas.unesum.edu.ec/index.php/unesumciencias/article/view/334</w:t>
        </w:r>
      </w:hyperlink>
    </w:p>
    <w:p>
      <w:pPr>
        <w:spacing w:after="120"/>
        <w:ind w:left="720" w:hanging="720"/>
      </w:pPr>
      <w:r>
        <w:rPr>
          <w:b w:val="false"/>
          <w:bCs w:val="false"/>
          <w:i w:val="false"/>
          <w:iCs w:val="false"/>
          <w:sz w:val="20"/>
          <w:szCs w:val="20"/>
        </w:rPr>
        <w:t xml:space="preserve">Murillo Villegas, E. J., y Ochoa Hidalgo, V. E. (2019). Rotación de los inventarios y su incidencia en los estados financieros. </w:t>
      </w:r>
      <w:r>
        <w:rPr>
          <w:b w:val="false"/>
          <w:bCs w:val="false"/>
          <w:i/>
          <w:iCs/>
          <w:sz w:val="20"/>
          <w:szCs w:val="20"/>
        </w:rPr>
        <w:t xml:space="preserve">Revista Observatorio de la Economía Latinoamericana</w:t>
      </w:r>
      <w:r>
        <w:rPr>
          <w:b w:val="false"/>
          <w:bCs w:val="false"/>
          <w:i w:val="false"/>
          <w:iCs w:val="false"/>
          <w:sz w:val="20"/>
          <w:szCs w:val="20"/>
        </w:rPr>
        <w:t xml:space="preserve">. </w:t>
      </w:r>
      <w:hyperlink w:history="1" r:id="rId3lhpsqd3mijssru7ldhml">
        <w:r>
          <w:rPr>
            <w:color w:val="0563C1"/>
            <w:sz w:val="20"/>
            <w:szCs w:val="20"/>
            <w:u w:val="single"/>
          </w:rPr>
          <w:t xml:space="preserve">https://www.eumed.net/rev/oel/2019/04/inventarios-estados-financieros.html</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bse1vach2jky6fuzmdvz" Type="http://schemas.openxmlformats.org/officeDocument/2006/relationships/hyperlink" Target="https://www.scielo.org.mx/scielo.php?script=sci_arttext&amp;pid=S0186-10422015000400864" TargetMode="External"/><Relationship Id="rIdrjchxzt8ti8lbgjv-soqn" Type="http://schemas.openxmlformats.org/officeDocument/2006/relationships/hyperlink" Target="https://www.scielo.sa.cr/scielo.php?script=sci_arttext&amp;pid=S2215-24582018000100017" TargetMode="External"/><Relationship Id="rIdqhl_b6o30e3attqtcosr7" Type="http://schemas.openxmlformats.org/officeDocument/2006/relationships/hyperlink" Target="http://www.scielo.org.co/scielo.php?script=sci_arttext&amp;pid=S0123-921X2014000200008" TargetMode="External"/><Relationship Id="rIdmzemfnxibpga9by8amlkg" Type="http://schemas.openxmlformats.org/officeDocument/2006/relationships/hyperlink" Target="http://www.scielo.org.co/scielo.php?script=sci_arttext&amp;pid=S0124-81702013000200003" TargetMode="External"/><Relationship Id="rId0onro9zj-y-vfisxskvr2" Type="http://schemas.openxmlformats.org/officeDocument/2006/relationships/hyperlink" Target="https://revistas.unesum.edu.ec/index.php/unesumciencias/article/view/334" TargetMode="External"/><Relationship Id="rId3lhpsqd3mijssru7ldhml" Type="http://schemas.openxmlformats.org/officeDocument/2006/relationships/hyperlink" Target="https://www.eumed.net/rev/oel/2019/04/inventarios-estados-financieros.htm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2026-07-16T05:37:46.114Z</dcterms:created>
  <dcterms:modified xsi:type="dcterms:W3CDTF">2026-07-16T05:37:46.114Z</dcterms:modified>
</cp:coreProperties>
</file>

<file path=docProps/custom.xml><?xml version="1.0" encoding="utf-8"?>
<Properties xmlns="http://schemas.openxmlformats.org/officeDocument/2006/custom-properties" xmlns:vt="http://schemas.openxmlformats.org/officeDocument/2006/docPropsVTypes"/>
</file>