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C8102E"/>
          <w:sz w:val="32"/>
          <w:szCs w:val="32"/>
        </w:rPr>
        <w:t xml:space="preserve">Definiciones administrativas (ampliación 3)</w:t>
      </w:r>
    </w:p>
    <w:p>
      <w:pPr>
        <w:spacing w:after="60"/>
        <w:jc w:val="center"/>
      </w:pPr>
      <w:r>
        <w:rPr>
          <w:color w:val="1F3864"/>
          <w:sz w:val="24"/>
          <w:szCs w:val="24"/>
        </w:rPr>
        <w:t xml:space="preserve">Marco conceptual para comprender el negocio — Sistema Disensa Prioridad</w:t>
      </w:r>
    </w:p>
    <w:p>
      <w:pPr>
        <w:spacing w:after="130"/>
        <w:jc w:val="both"/>
      </w:pPr>
      <w:r>
        <w:rPr>
          <w:sz w:val="22"/>
          <w:szCs w:val="22"/>
        </w:rPr>
        <w:t xml:space="preserve">Conceptos directamente relacionados con el objeto de la tesis (gestión y priorización de pedidos mediante una aplicación web), redactados con palabras propias (paráfrasis) a partir de fuentes académicas de acceso abierto y con su cita en el texto (APA, 7.ª edición). Cada término incluye dos párrafos listos para copiar y pegar; al final se listan las Referencias con sus enlaces de consulta gratuita.</w:t>
      </w:r>
    </w:p>
    <w:p>
      <w:pPr>
        <w:pStyle w:val="Heading1"/>
        <w:spacing w:after="120" w:before="280"/>
      </w:pPr>
      <w:r>
        <w:rPr>
          <w:b/>
          <w:bCs/>
          <w:color w:val="1F3864"/>
          <w:sz w:val="28"/>
          <w:szCs w:val="28"/>
        </w:rPr>
        <w:t xml:space="preserve">Definiciones</w:t>
      </w:r>
    </w:p>
    <w:p>
      <w:pPr>
        <w:spacing w:after="80" w:before="220"/>
      </w:pPr>
      <w:r>
        <w:rPr>
          <w:b/>
          <w:bCs/>
          <w:color w:val="2E4C7E"/>
          <w:sz w:val="24"/>
          <w:szCs w:val="24"/>
        </w:rPr>
        <w:t xml:space="preserve">Gestión de pedidos</w:t>
      </w:r>
    </w:p>
    <w:p>
      <w:pPr>
        <w:spacing w:after="130"/>
        <w:jc w:val="both"/>
      </w:pPr>
      <w:r>
        <w:rPr>
          <w:sz w:val="22"/>
          <w:szCs w:val="22"/>
        </w:rPr>
        <w:t xml:space="preserve">La gestión de pedidos es el proceso que abarca todas las tareas relacionadas con la recepción, aceptación, procesamiento, consulta y seguimiento de un pedido a lo largo de su ciclo de vida. Es, además, un punto de contacto directo con el cliente: cada vez que se manipula un pedido se está atendiendo —o desatendiendo— a quien lo hizo, por lo que su buen manejo incide de lleno en la satisfacción (Medinilla Sarduy et al., 2018).</w:t>
      </w:r>
    </w:p>
    <w:p>
      <w:pPr>
        <w:spacing w:after="130"/>
        <w:jc w:val="both"/>
      </w:pPr>
      <w:r>
        <w:rPr>
          <w:sz w:val="22"/>
          <w:szCs w:val="22"/>
        </w:rPr>
        <w:t xml:space="preserve">El ciclo del pedido se compone de cuatro etapas: la transmisión (cuando el cliente lo comunica por algún medio), el procesamiento (verificación de datos, inventario y facturación), la preparación (despacho, embalaje y consolidación) y la entrega en los términos acordados. Administrar con cuidado estas etapas es esencial, pues concentran la mayor parte del tiempo total del ciclo y determinan el cumplimiento de los plazos prometidos (Medinilla Sarduy et al., 2018).</w:t>
      </w:r>
    </w:p>
    <w:p>
      <w:pPr>
        <w:spacing w:after="80" w:before="220"/>
      </w:pPr>
      <w:r>
        <w:rPr>
          <w:b/>
          <w:bCs/>
          <w:color w:val="2E4C7E"/>
          <w:sz w:val="24"/>
          <w:szCs w:val="24"/>
        </w:rPr>
        <w:t xml:space="preserve">Priorización de despachos</w:t>
      </w:r>
    </w:p>
    <w:p>
      <w:pPr>
        <w:spacing w:after="130"/>
        <w:jc w:val="both"/>
      </w:pPr>
      <w:r>
        <w:rPr>
          <w:sz w:val="22"/>
          <w:szCs w:val="22"/>
        </w:rPr>
        <w:t xml:space="preserve">La priorización de despachos consiste en decidir el orden en que se atienden y envían los pedidos cuando los recursos disponibles no alcanzan para servirlos todos al mismo tiempo. En lugar de despachar por simple orden de llegada, se combinan varios criterios de naturaleza logística —como la urgencia, la importancia del cliente o el nivel de inventario en el punto de venta— para asignar a cada despacho una prioridad (Bravo Bastidas et al., 2009).</w:t>
      </w:r>
    </w:p>
    <w:p>
      <w:pPr>
        <w:spacing w:after="130"/>
        <w:jc w:val="both"/>
      </w:pPr>
      <w:r>
        <w:rPr>
          <w:sz w:val="22"/>
          <w:szCs w:val="22"/>
        </w:rPr>
        <w:t xml:space="preserve">Este enfoque adquiere un carácter dinámico cuando las prioridades se recalculan a medida que cambian las condiciones, de modo que el orden de atención siempre refleje la situación real de la operación. Con ello se busca aprovechar mejor los recursos de transporte y bodega y reducir el impacto de los faltantes sobre los clientes más críticos (Bravo Bastidas et al., 2009).</w:t>
      </w:r>
    </w:p>
    <w:p>
      <w:pPr>
        <w:spacing w:after="80" w:before="220"/>
      </w:pPr>
      <w:r>
        <w:rPr>
          <w:b/>
          <w:bCs/>
          <w:color w:val="2E4C7E"/>
          <w:sz w:val="24"/>
          <w:szCs w:val="24"/>
        </w:rPr>
        <w:t xml:space="preserve">Distribución física</w:t>
      </w:r>
    </w:p>
    <w:p>
      <w:pPr>
        <w:spacing w:after="130"/>
        <w:jc w:val="both"/>
      </w:pPr>
      <w:r>
        <w:rPr>
          <w:sz w:val="22"/>
          <w:szCs w:val="22"/>
        </w:rPr>
        <w:t xml:space="preserve">La distribución física es el proceso logístico orientado a situar un producto en su mercado de destino, cumpliendo las condiciones pactadas entre el vendedor y el comprador. Involucra un conjunto de actividades encadenadas —preparación y embalaje de la carga, unitarización, transporte y entrega— cuya correcta ejecución garantiza que la mercancía llegue en óptimas condiciones a su destino (Guisao Giraldo y Zuluaga Mazo, 2011).</w:t>
      </w:r>
    </w:p>
    <w:p>
      <w:pPr>
        <w:spacing w:after="130"/>
        <w:jc w:val="both"/>
      </w:pPr>
      <w:r>
        <w:rPr>
          <w:sz w:val="22"/>
          <w:szCs w:val="22"/>
        </w:rPr>
        <w:t xml:space="preserve">Una planificación acertada de la distribución se traduce en reducción de costos, optimización de los inventarios, mejores niveles de servicio al cliente y una selección adecuada de rutas y medios de transporte. Para lograrlo deben integrarse dos flujos: el de materiales, que mueve físicamente el producto, y el de información, que coordina a todos los actores involucrados (Guisao Giraldo y Zuluaga Mazo, 2011).</w:t>
      </w:r>
    </w:p>
    <w:p>
      <w:pPr>
        <w:spacing w:after="80" w:before="220"/>
      </w:pPr>
      <w:r>
        <w:rPr>
          <w:b/>
          <w:bCs/>
          <w:color w:val="2E4C7E"/>
          <w:sz w:val="24"/>
          <w:szCs w:val="24"/>
        </w:rPr>
        <w:t xml:space="preserve">Servicio al cliente</w:t>
      </w:r>
    </w:p>
    <w:p>
      <w:pPr>
        <w:spacing w:after="130"/>
        <w:jc w:val="both"/>
      </w:pPr>
      <w:r>
        <w:rPr>
          <w:sz w:val="22"/>
          <w:szCs w:val="22"/>
        </w:rPr>
        <w:t xml:space="preserve">El servicio al cliente es el resultado de la interacción de múltiples factores y, en las empresas comercializadoras, depende en gran medida del ciclo de gestión del pedido: prestar el servicio en los tiempos convenidos y completarlo dentro del plazo que cada cliente espera es una condición básica para satisfacerlo (Medinilla Sarduy et al., 2018).</w:t>
      </w:r>
    </w:p>
    <w:p>
      <w:pPr>
        <w:spacing w:after="130"/>
        <w:jc w:val="both"/>
      </w:pPr>
      <w:r>
        <w:rPr>
          <w:sz w:val="22"/>
          <w:szCs w:val="22"/>
        </w:rPr>
        <w:t xml:space="preserve">Por esa razón, el tiempo requerido para completar las actividades del ciclo del pedido está en el núcleo del servicio: cuando los plazos se alargan o los pedidos llegan incompletos, la percepción del cliente se deteriora, mientras que un ciclo corto y consistente eleva su confianza. Medir indicadores como el pedido perfecto permite monitorear ese desempeño y orientar las mejoras (Medinilla Sarduy et al., 2018).</w:t>
      </w:r>
    </w:p>
    <w:p>
      <w:pPr>
        <w:spacing w:after="80" w:before="220"/>
      </w:pPr>
      <w:r>
        <w:rPr>
          <w:b/>
          <w:bCs/>
          <w:color w:val="2E4C7E"/>
          <w:sz w:val="24"/>
          <w:szCs w:val="24"/>
        </w:rPr>
        <w:t xml:space="preserve">Aplicación web</w:t>
      </w:r>
    </w:p>
    <w:p>
      <w:pPr>
        <w:spacing w:after="130"/>
        <w:jc w:val="both"/>
      </w:pPr>
      <w:r>
        <w:rPr>
          <w:sz w:val="22"/>
          <w:szCs w:val="22"/>
        </w:rPr>
        <w:t xml:space="preserve">Una aplicación web es una solución de software a la que los usuarios acceden a través de un navegador de internet, sin necesidad de instalar programas en su equipo. Su construcción sigue una metodología de desarrollo que abarca el levantamiento de requerimientos (por ejemplo, mediante historias de usuario), el análisis y diseño de las interfaces, la codificación y las pruebas que aseguran la calidad de la solución (Álvarez Salazar, 2018).</w:t>
      </w:r>
    </w:p>
    <w:p>
      <w:pPr>
        <w:spacing w:after="130"/>
        <w:jc w:val="both"/>
      </w:pPr>
      <w:r>
        <w:rPr>
          <w:sz w:val="22"/>
          <w:szCs w:val="22"/>
        </w:rPr>
        <w:t xml:space="preserve">En su desarrollo se recomienda adoptar buenas prácticas y patrones como el Modelo-Vista-Controlador (MVC), que separa los elementos del código según su función: el modelo interactúa con la base de datos, el controlador gestiona las peticiones y la vista presenta las interfaces al usuario. El uso de frameworks y de software libre agiliza el proceso, reduce costos y aporta conceptos avanzados de ingeniería y seguridad ya probados (Álvarez Salazar, 2018).</w:t>
      </w:r>
    </w:p>
    <w:p>
      <w:pPr>
        <w:pStyle w:val="Heading1"/>
        <w:spacing w:after="120" w:before="280"/>
      </w:pPr>
      <w:r>
        <w:rPr>
          <w:b/>
          <w:bCs/>
          <w:color w:val="1F3864"/>
          <w:sz w:val="28"/>
          <w:szCs w:val="28"/>
        </w:rPr>
        <w:t xml:space="preserve">Referencias</w:t>
      </w:r>
    </w:p>
    <w:p>
      <w:pPr>
        <w:spacing w:after="120"/>
        <w:ind w:left="720" w:hanging="720"/>
      </w:pPr>
      <w:r>
        <w:rPr>
          <w:b w:val="false"/>
          <w:bCs w:val="false"/>
          <w:i w:val="false"/>
          <w:iCs w:val="false"/>
          <w:sz w:val="20"/>
          <w:szCs w:val="20"/>
        </w:rPr>
        <w:t xml:space="preserve">Álvarez Salazar, J. E. (2018). Metodología para el desarrollo de aplicaciones web ajustada al contexto de los Productos Mínimos Viables. </w:t>
      </w:r>
      <w:r>
        <w:rPr>
          <w:b w:val="false"/>
          <w:bCs w:val="false"/>
          <w:i/>
          <w:iCs/>
          <w:sz w:val="20"/>
          <w:szCs w:val="20"/>
        </w:rPr>
        <w:t xml:space="preserve">Scientia et Technica, 23</w:t>
      </w:r>
      <w:r>
        <w:rPr>
          <w:b w:val="false"/>
          <w:bCs w:val="false"/>
          <w:i w:val="false"/>
          <w:iCs w:val="false"/>
          <w:sz w:val="20"/>
          <w:szCs w:val="20"/>
        </w:rPr>
        <w:t xml:space="preserve">(3), 355-358. </w:t>
      </w:r>
      <w:hyperlink w:history="1" r:id="rIdkg_g85l3ddx-z5aj8xffm">
        <w:r>
          <w:rPr>
            <w:color w:val="0563C1"/>
            <w:sz w:val="20"/>
            <w:szCs w:val="20"/>
            <w:u w:val="single"/>
          </w:rPr>
          <w:t xml:space="preserve">https://www.redalyc.org/journal/849/84959041007/html/</w:t>
        </w:r>
      </w:hyperlink>
    </w:p>
    <w:p>
      <w:pPr>
        <w:spacing w:after="120"/>
        <w:ind w:left="720" w:hanging="720"/>
      </w:pPr>
      <w:r>
        <w:rPr>
          <w:b w:val="false"/>
          <w:bCs w:val="false"/>
          <w:i w:val="false"/>
          <w:iCs w:val="false"/>
          <w:sz w:val="20"/>
          <w:szCs w:val="20"/>
        </w:rPr>
        <w:t xml:space="preserve">Bravo Bastidas, J. J., Osorio Gómez, J. C., y Orejuela Cabrera, J. P. (2009). Modelo para la priorización dinámica de despachos de vehículos utilizando el proceso analítico jerárquico. </w:t>
      </w:r>
      <w:r>
        <w:rPr>
          <w:b w:val="false"/>
          <w:bCs w:val="false"/>
          <w:i/>
          <w:iCs/>
          <w:sz w:val="20"/>
          <w:szCs w:val="20"/>
        </w:rPr>
        <w:t xml:space="preserve">Revista Facultad de Ingeniería Universidad de Antioquia</w:t>
      </w:r>
      <w:r>
        <w:rPr>
          <w:b w:val="false"/>
          <w:bCs w:val="false"/>
          <w:i w:val="false"/>
          <w:iCs w:val="false"/>
          <w:sz w:val="20"/>
          <w:szCs w:val="20"/>
        </w:rPr>
        <w:t xml:space="preserve">, (48), 201-215. </w:t>
      </w:r>
      <w:hyperlink w:history="1" r:id="rIda2wacr6dk93bqeaisgcjl">
        <w:r>
          <w:rPr>
            <w:color w:val="0563C1"/>
            <w:sz w:val="20"/>
            <w:szCs w:val="20"/>
            <w:u w:val="single"/>
          </w:rPr>
          <w:t xml:space="preserve">https://www.redalyc.org/articulo.oa?id=43016337019</w:t>
        </w:r>
      </w:hyperlink>
    </w:p>
    <w:p>
      <w:pPr>
        <w:spacing w:after="120"/>
        <w:ind w:left="720" w:hanging="720"/>
      </w:pPr>
      <w:r>
        <w:rPr>
          <w:b w:val="false"/>
          <w:bCs w:val="false"/>
          <w:i w:val="false"/>
          <w:iCs w:val="false"/>
          <w:sz w:val="20"/>
          <w:szCs w:val="20"/>
        </w:rPr>
        <w:t xml:space="preserve">Guisao Giraldo, E. Y., y Zuluaga Mazo, A. (2011). Distribución física internacional (DFI). Caso de aplicación a productos de panela pulverizada - Biopanela. </w:t>
      </w:r>
      <w:r>
        <w:rPr>
          <w:b w:val="false"/>
          <w:bCs w:val="false"/>
          <w:i/>
          <w:iCs/>
          <w:sz w:val="20"/>
          <w:szCs w:val="20"/>
        </w:rPr>
        <w:t xml:space="preserve">Revista Escuela de Administración de Negocios</w:t>
      </w:r>
      <w:r>
        <w:rPr>
          <w:b w:val="false"/>
          <w:bCs w:val="false"/>
          <w:i w:val="false"/>
          <w:iCs w:val="false"/>
          <w:sz w:val="20"/>
          <w:szCs w:val="20"/>
        </w:rPr>
        <w:t xml:space="preserve">, (70), 157-165. </w:t>
      </w:r>
      <w:hyperlink w:history="1" r:id="rIdf8cbssvwxgghwvsg3oocn">
        <w:r>
          <w:rPr>
            <w:color w:val="0563C1"/>
            <w:sz w:val="20"/>
            <w:szCs w:val="20"/>
            <w:u w:val="single"/>
          </w:rPr>
          <w:t xml:space="preserve">https://www.redalyc.org/articulo.oa?id=20620709013</w:t>
        </w:r>
      </w:hyperlink>
    </w:p>
    <w:p>
      <w:pPr>
        <w:spacing w:after="120"/>
        <w:ind w:left="720" w:hanging="720"/>
      </w:pPr>
      <w:r>
        <w:rPr>
          <w:b w:val="false"/>
          <w:bCs w:val="false"/>
          <w:i w:val="false"/>
          <w:iCs w:val="false"/>
          <w:sz w:val="20"/>
          <w:szCs w:val="20"/>
        </w:rPr>
        <w:t xml:space="preserve">Medinilla Sarduy, A., Martínez Curbelo, G., Covas Varela, D., González Yanes, A., y Velasteguí López, E. (2018). Procedimiento de mejora del proceso de gestión del pedido. </w:t>
      </w:r>
      <w:r>
        <w:rPr>
          <w:b w:val="false"/>
          <w:bCs w:val="false"/>
          <w:i/>
          <w:iCs/>
          <w:sz w:val="20"/>
          <w:szCs w:val="20"/>
        </w:rPr>
        <w:t xml:space="preserve">Ciencia Digital, 2</w:t>
      </w:r>
      <w:r>
        <w:rPr>
          <w:b w:val="false"/>
          <w:bCs w:val="false"/>
          <w:i w:val="false"/>
          <w:iCs w:val="false"/>
          <w:sz w:val="20"/>
          <w:szCs w:val="20"/>
        </w:rPr>
        <w:t xml:space="preserve">(3), 130-147. </w:t>
      </w:r>
      <w:hyperlink w:history="1" r:id="rIdmfwwi0ifigy0rx_zb2cym">
        <w:r>
          <w:rPr>
            <w:color w:val="0563C1"/>
            <w:sz w:val="20"/>
            <w:szCs w:val="20"/>
            <w:u w:val="single"/>
          </w:rPr>
          <w:t xml:space="preserve">https://doi.org/10.33262/cienciadigital.v2i3.142</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g_g85l3ddx-z5aj8xffm" Type="http://schemas.openxmlformats.org/officeDocument/2006/relationships/hyperlink" Target="https://www.redalyc.org/journal/849/84959041007/html/" TargetMode="External"/><Relationship Id="rIda2wacr6dk93bqeaisgcjl" Type="http://schemas.openxmlformats.org/officeDocument/2006/relationships/hyperlink" Target="https://www.redalyc.org/articulo.oa?id=43016337019" TargetMode="External"/><Relationship Id="rIdf8cbssvwxgghwvsg3oocn" Type="http://schemas.openxmlformats.org/officeDocument/2006/relationships/hyperlink" Target="https://www.redalyc.org/articulo.oa?id=20620709013" TargetMode="External"/><Relationship Id="rIdmfwwi0ifigy0rx_zb2cym" Type="http://schemas.openxmlformats.org/officeDocument/2006/relationships/hyperlink" Target="https://doi.org/10.33262/cienciadigital.v2i3.142"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2026-07-16T05:42:03.839Z</dcterms:created>
  <dcterms:modified xsi:type="dcterms:W3CDTF">2026-07-16T05:42:03.839Z</dcterms:modified>
</cp:coreProperties>
</file>

<file path=docProps/custom.xml><?xml version="1.0" encoding="utf-8"?>
<Properties xmlns="http://schemas.openxmlformats.org/officeDocument/2006/custom-properties" xmlns:vt="http://schemas.openxmlformats.org/officeDocument/2006/docPropsVTypes"/>
</file>