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8102E"/>
          <w:sz w:val="34"/>
          <w:szCs w:val="34"/>
        </w:rPr>
        <w:t xml:space="preserve">Definiciones administrativas (ampliación)</w:t>
      </w:r>
    </w:p>
    <w:p>
      <w:pPr>
        <w:spacing w:after="60"/>
        <w:jc w:val="center"/>
      </w:pPr>
      <w:r>
        <w:rPr>
          <w:color w:val="1F3864"/>
          <w:sz w:val="24"/>
          <w:szCs w:val="24"/>
        </w:rPr>
        <w:t xml:space="preserve">Marco conceptual para comprender el negocio — Sistema Disensa Prioridad</w:t>
      </w:r>
    </w:p>
    <w:p>
      <w:pPr>
        <w:spacing w:after="150"/>
        <w:jc w:val="both"/>
      </w:pPr>
      <w:r>
        <w:rPr>
          <w:sz w:val="22"/>
          <w:szCs w:val="22"/>
        </w:rPr>
        <w:t xml:space="preserve">Conceptos adicionales redactados con palabras propias (paráfrasis) a partir de fuentes académicas de acceso abierto y con su cita en el texto (APA, 7.ª edición). Cada término incluye dos párrafos listos para copiar y pegar; al final se listan las Referencias con los enlaces de consulta gratuita.</w:t>
      </w:r>
    </w:p>
    <w:p>
      <w:pPr>
        <w:pStyle w:val="Heading1"/>
        <w:spacing w:after="120" w:before="280"/>
      </w:pPr>
      <w:r>
        <w:rPr>
          <w:b/>
          <w:bCs/>
          <w:color w:val="1F3864"/>
          <w:sz w:val="28"/>
          <w:szCs w:val="28"/>
        </w:rPr>
        <w:t xml:space="preserve">Definiciones</w:t>
      </w:r>
    </w:p>
    <w:p>
      <w:pPr>
        <w:spacing w:after="80" w:before="220"/>
      </w:pPr>
      <w:r>
        <w:rPr>
          <w:b/>
          <w:bCs/>
          <w:color w:val="2E4C7E"/>
          <w:sz w:val="24"/>
          <w:szCs w:val="24"/>
        </w:rPr>
        <w:t xml:space="preserve">Gestión de almacenes</w:t>
      </w:r>
    </w:p>
    <w:p>
      <w:pPr>
        <w:spacing w:after="130"/>
        <w:jc w:val="both"/>
      </w:pPr>
      <w:r>
        <w:rPr>
          <w:sz w:val="22"/>
          <w:szCs w:val="22"/>
        </w:rPr>
        <w:t xml:space="preserve">El almacén es mucho más que un espacio para guardar mercancías; dentro de la logística cumple la función de conservar y resguardar los productos para que estén disponibles cuando la producción o los clientes los requieran. Bajo esa mirada, la gestión de almacenes se encarga de organizar la recepción, ubicación, custodia y salida de los artículos, cuidando que se mantengan en buen estado y que puedan localizarse con rapidez (Calzado-Girón, 2020).</w:t>
      </w:r>
    </w:p>
    <w:p>
      <w:pPr>
        <w:spacing w:after="130"/>
        <w:jc w:val="both"/>
      </w:pPr>
      <w:r>
        <w:rPr>
          <w:sz w:val="22"/>
          <w:szCs w:val="22"/>
        </w:rPr>
        <w:t xml:space="preserve">Para un negocio que distribuye materiales, administrar bien el almacén repercute de forma directa en el servicio: si las existencias están ordenadas y controladas, los despachos se preparan más rápido y con menos errores, lo que disminuye demoras y costos. Por eso esta actividad no se entiende como una tarea aislada, sino como un eslabón que enlaza el abastecimiento con la entrega final al cliente (Calzado-Girón, 2020).</w:t>
      </w:r>
    </w:p>
    <w:p>
      <w:pPr>
        <w:spacing w:after="80" w:before="220"/>
      </w:pPr>
      <w:r>
        <w:rPr>
          <w:b/>
          <w:bCs/>
          <w:color w:val="2E4C7E"/>
          <w:sz w:val="24"/>
          <w:szCs w:val="24"/>
        </w:rPr>
        <w:t xml:space="preserve">Pronóstico de la demanda</w:t>
      </w:r>
    </w:p>
    <w:p>
      <w:pPr>
        <w:spacing w:after="130"/>
        <w:jc w:val="both"/>
      </w:pPr>
      <w:r>
        <w:rPr>
          <w:sz w:val="22"/>
          <w:szCs w:val="22"/>
        </w:rPr>
        <w:t xml:space="preserve">Pronosticar la demanda consiste en estimar, con la mayor aproximación posible, cuánto se necesitará de un producto en el futuro. Es una combinación de técnica y criterio: por un lado se apoya en datos históricos y en modelos matemáticos, y por otro admite el juicio de quien administra, ya que ninguna técnica ofrece los mismos resultados en todos los casos (Méndez Giraldo y López Santana, 2014).</w:t>
      </w:r>
    </w:p>
    <w:p>
      <w:pPr>
        <w:spacing w:after="130"/>
        <w:jc w:val="both"/>
      </w:pPr>
      <w:r>
        <w:rPr>
          <w:sz w:val="22"/>
          <w:szCs w:val="22"/>
        </w:rPr>
        <w:t xml:space="preserve">La utilidad de un buen pronóstico radica en que sirve de punto de partida para casi todas las decisiones de la operación: cuánto inventario mantener, cuándo reponerlo y qué recursos preparar. Como los factores que mueven la demanda cambian de manera constante, las estimaciones deben revisarse y actualizarse con frecuencia para no perder precisión, sobre todo en el corto plazo (Méndez Giraldo y López Santana, 2014).</w:t>
      </w:r>
    </w:p>
    <w:p>
      <w:pPr>
        <w:spacing w:after="80" w:before="220"/>
      </w:pPr>
      <w:r>
        <w:rPr>
          <w:b/>
          <w:bCs/>
          <w:color w:val="2E4C7E"/>
          <w:sz w:val="24"/>
          <w:szCs w:val="24"/>
        </w:rPr>
        <w:t xml:space="preserve">Trazabilidad</w:t>
      </w:r>
    </w:p>
    <w:p>
      <w:pPr>
        <w:spacing w:after="130"/>
        <w:jc w:val="both"/>
      </w:pPr>
      <w:r>
        <w:rPr>
          <w:sz w:val="22"/>
          <w:szCs w:val="22"/>
        </w:rPr>
        <w:t xml:space="preserve">La trazabilidad es la capacidad de reconstruir la historia de un producto a lo largo de la cadena, es decir, conocer de dónde proviene, por qué etapas pasó y hacia dónde se dirige. Más que la información en sí misma, funciona como una herramienta que permite recuperar esos datos en cualquier momento posterior, apoyándose en el registro sistemático de las operaciones y de los componentes del producto (Maya Trujillo et al., 2021).</w:t>
      </w:r>
    </w:p>
    <w:p>
      <w:pPr>
        <w:spacing w:after="130"/>
        <w:jc w:val="both"/>
      </w:pPr>
      <w:r>
        <w:rPr>
          <w:sz w:val="22"/>
          <w:szCs w:val="22"/>
        </w:rPr>
        <w:t xml:space="preserve">Disponer de trazabilidad aporta beneficios concretos: facilita cumplir la normativa, responder con rapidez ante fallas o devoluciones y reforzar la confianza en la calidad de lo que se entrega. En una cadena de suministro, además, mejora la conexión de la información entre los distintos actores y hace que el proceso logístico en su conjunto sea más eficiente y confiable (Maya Trujillo et al., 2021).</w:t>
      </w:r>
    </w:p>
    <w:p>
      <w:pPr>
        <w:spacing w:after="80" w:before="220"/>
      </w:pPr>
      <w:r>
        <w:rPr>
          <w:b/>
          <w:bCs/>
          <w:color w:val="2E4C7E"/>
          <w:sz w:val="24"/>
          <w:szCs w:val="24"/>
        </w:rPr>
        <w:t xml:space="preserve">Gestión por procesos</w:t>
      </w:r>
    </w:p>
    <w:p>
      <w:pPr>
        <w:spacing w:after="130"/>
        <w:jc w:val="both"/>
      </w:pPr>
      <w:r>
        <w:rPr>
          <w:sz w:val="22"/>
          <w:szCs w:val="22"/>
        </w:rPr>
        <w:t xml:space="preserve">La gestión por procesos es una forma de administrar la organización que pone el foco en el valor generado para el cliente y para las partes interesadas, en lugar de mirar únicamente las funciones o los departamentos por separado. Bajo este enfoque, todas las actividades —desde una compra hasta la atención de un reclamo— se entienden como procesos que conviene identificar, documentar, controlar y mejorar de manera continua (Ruiz-Fuentes et al., 2014).</w:t>
      </w:r>
    </w:p>
    <w:p>
      <w:pPr>
        <w:spacing w:after="130"/>
        <w:jc w:val="both"/>
      </w:pPr>
      <w:r>
        <w:rPr>
          <w:sz w:val="22"/>
          <w:szCs w:val="22"/>
        </w:rPr>
        <w:t xml:space="preserve">Su principal ventaja es que alinea los objetivos de la empresa con lo que realmente esperan los clientes y evidencia cómo se crea valor a lo largo de los flujos de trabajo. Dado que los procesos suelen cruzar las fronteras entre áreas, este modelo también impulsa la cooperación interna y una cultura organizacional más flexible y orientada a resultados (Ruiz-Fuentes et al., 2014).</w:t>
      </w:r>
    </w:p>
    <w:p>
      <w:pPr>
        <w:spacing w:after="80" w:before="220"/>
      </w:pPr>
      <w:r>
        <w:rPr>
          <w:b/>
          <w:bCs/>
          <w:color w:val="2E4C7E"/>
          <w:sz w:val="24"/>
          <w:szCs w:val="24"/>
        </w:rPr>
        <w:t xml:space="preserve">Indicadores de gestión</w:t>
      </w:r>
    </w:p>
    <w:p>
      <w:pPr>
        <w:spacing w:after="130"/>
        <w:jc w:val="both"/>
      </w:pPr>
      <w:r>
        <w:rPr>
          <w:sz w:val="22"/>
          <w:szCs w:val="22"/>
        </w:rPr>
        <w:t xml:space="preserve">Un indicador de gestión es una medida —numérica o cualitativa— que refleja cómo se comporta un proceso y permite darle seguimiento desde una perspectiva gerencial. Funciona como una señal que informa si las cosas avanzan en la dirección prevista, al comparar lo que sucede con los objetivos y las metas trazadas (Mujica de González y Pérez de Maldonado, 2009).</w:t>
      </w:r>
    </w:p>
    <w:p>
      <w:pPr>
        <w:spacing w:after="130"/>
        <w:jc w:val="both"/>
      </w:pPr>
      <w:r>
        <w:rPr>
          <w:sz w:val="22"/>
          <w:szCs w:val="22"/>
        </w:rPr>
        <w:t xml:space="preserve">Estos indicadores son valiosos porque transforman la operación diaria en información útil para decidir: al monitorear los resultados, muestran dónde hace falta corregir y dónde se está cumpliendo, y sirven para retroalimentar el trabajo y orientar la mejora. En la práctica, ayudan a que las decisiones se tomen con base en datos y no solo en percepciones (Mujica de González y Pérez de Maldonado, 2009).</w:t>
      </w:r>
    </w:p>
    <w:p>
      <w:pPr>
        <w:spacing w:after="80" w:before="220"/>
      </w:pPr>
      <w:r>
        <w:rPr>
          <w:b/>
          <w:bCs/>
          <w:color w:val="2E4C7E"/>
          <w:sz w:val="24"/>
          <w:szCs w:val="24"/>
        </w:rPr>
        <w:t xml:space="preserve">Franquicia</w:t>
      </w:r>
    </w:p>
    <w:p>
      <w:pPr>
        <w:spacing w:after="130"/>
        <w:jc w:val="both"/>
      </w:pPr>
      <w:r>
        <w:rPr>
          <w:sz w:val="22"/>
          <w:szCs w:val="22"/>
        </w:rPr>
        <w:t xml:space="preserve">La franquicia es un acuerdo entre dos empresas independientes en el que una de ellas, la franquiciadora, autoriza a la otra, la franquiciada, a explotar su modelo de negocio a cambio de un pago. Ese modelo ya está probado y protegido e incluye la marca y los métodos de trabajo, de modo que la franquiciada puede vender productos o prestar servicios bajo el nombre y las condiciones de la primera (Real Academia Española, s.f.).</w:t>
      </w:r>
    </w:p>
    <w:p>
      <w:pPr>
        <w:spacing w:after="130"/>
        <w:jc w:val="both"/>
      </w:pPr>
      <w:r>
        <w:rPr>
          <w:sz w:val="22"/>
          <w:szCs w:val="22"/>
        </w:rPr>
        <w:t xml:space="preserve">En la práctica, la franquicia permite reproducir un negocio exitoso sin comenzar desde cero, ya que el franquiciado recibe una fórmula comercial contrastada y el respaldo de una marca reconocida. A cambio, se compromete a operar según las pautas acordadas, en una relación diseñada para que ambas partes obtengan un beneficio mutuo (Real Academia Española, s.f.).</w:t>
      </w:r>
    </w:p>
    <w:p>
      <w:pPr>
        <w:pStyle w:val="Heading1"/>
        <w:spacing w:after="120" w:before="280"/>
      </w:pPr>
      <w:r>
        <w:rPr>
          <w:b/>
          <w:bCs/>
          <w:color w:val="1F3864"/>
          <w:sz w:val="28"/>
          <w:szCs w:val="28"/>
        </w:rPr>
        <w:t xml:space="preserve">Referencias</w:t>
      </w:r>
    </w:p>
    <w:p>
      <w:pPr>
        <w:spacing w:after="120"/>
        <w:ind w:left="720" w:hanging="720"/>
      </w:pPr>
      <w:r>
        <w:rPr>
          <w:b w:val="false"/>
          <w:bCs w:val="false"/>
          <w:i w:val="false"/>
          <w:iCs w:val="false"/>
          <w:sz w:val="20"/>
          <w:szCs w:val="20"/>
        </w:rPr>
        <w:t xml:space="preserve">Calzado-Girón, D. (2020). La gestión logística de almacenes en el desarrollo de los operadores logísticos. </w:t>
      </w:r>
      <w:r>
        <w:rPr>
          <w:b w:val="false"/>
          <w:bCs w:val="false"/>
          <w:i/>
          <w:iCs/>
          <w:sz w:val="20"/>
          <w:szCs w:val="20"/>
        </w:rPr>
        <w:t xml:space="preserve">Ciencias Holguín, 26</w:t>
      </w:r>
      <w:r>
        <w:rPr>
          <w:b w:val="false"/>
          <w:bCs w:val="false"/>
          <w:i w:val="false"/>
          <w:iCs w:val="false"/>
          <w:sz w:val="20"/>
          <w:szCs w:val="20"/>
        </w:rPr>
        <w:t xml:space="preserve">(1), 14-27. </w:t>
      </w:r>
      <w:hyperlink w:history="1" r:id="rIdsstmccyus6yvcfdbi2it8">
        <w:r>
          <w:rPr>
            <w:color w:val="0563C1"/>
            <w:sz w:val="20"/>
            <w:szCs w:val="20"/>
            <w:u w:val="single"/>
          </w:rPr>
          <w:t xml:space="preserve">https://www.redalyc.org/journal/1815/181562407005/html/</w:t>
        </w:r>
      </w:hyperlink>
    </w:p>
    <w:p>
      <w:pPr>
        <w:spacing w:after="120"/>
        <w:ind w:left="720" w:hanging="720"/>
      </w:pPr>
      <w:r>
        <w:rPr>
          <w:b w:val="false"/>
          <w:bCs w:val="false"/>
          <w:i w:val="false"/>
          <w:iCs w:val="false"/>
          <w:sz w:val="20"/>
          <w:szCs w:val="20"/>
        </w:rPr>
        <w:t xml:space="preserve">Maya Trujillo, T., Orjuela Castro, J. A., y Herrera, M. M. (2021). Retos en el modelado de la trazabilidad en las cadenas de suministro de alimentos. </w:t>
      </w:r>
      <w:r>
        <w:rPr>
          <w:b w:val="false"/>
          <w:bCs w:val="false"/>
          <w:i/>
          <w:iCs/>
          <w:sz w:val="20"/>
          <w:szCs w:val="20"/>
        </w:rPr>
        <w:t xml:space="preserve">Ingeniería, 26</w:t>
      </w:r>
      <w:r>
        <w:rPr>
          <w:b w:val="false"/>
          <w:bCs w:val="false"/>
          <w:i w:val="false"/>
          <w:iCs w:val="false"/>
          <w:sz w:val="20"/>
          <w:szCs w:val="20"/>
        </w:rPr>
        <w:t xml:space="preserve">(2), 143-172. </w:t>
      </w:r>
      <w:hyperlink w:history="1" r:id="rId-mqwldgpdhnevzscrqf2x">
        <w:r>
          <w:rPr>
            <w:color w:val="0563C1"/>
            <w:sz w:val="20"/>
            <w:szCs w:val="20"/>
            <w:u w:val="single"/>
          </w:rPr>
          <w:t xml:space="preserve">https://www.redalyc.org/journal/4988/498870299003/html/</w:t>
        </w:r>
      </w:hyperlink>
    </w:p>
    <w:p>
      <w:pPr>
        <w:spacing w:after="120"/>
        <w:ind w:left="720" w:hanging="720"/>
      </w:pPr>
      <w:r>
        <w:rPr>
          <w:b w:val="false"/>
          <w:bCs w:val="false"/>
          <w:i w:val="false"/>
          <w:iCs w:val="false"/>
          <w:sz w:val="20"/>
          <w:szCs w:val="20"/>
        </w:rPr>
        <w:t xml:space="preserve">Méndez Giraldo, G. A., y López Santana, E. R. (2014). Metodología para el pronóstico de la demanda en ambientes multiproducto y de alta variabilidad. </w:t>
      </w:r>
      <w:r>
        <w:rPr>
          <w:b w:val="false"/>
          <w:bCs w:val="false"/>
          <w:i/>
          <w:iCs/>
          <w:sz w:val="20"/>
          <w:szCs w:val="20"/>
        </w:rPr>
        <w:t xml:space="preserve">Tecnura, 18</w:t>
      </w:r>
      <w:r>
        <w:rPr>
          <w:b w:val="false"/>
          <w:bCs w:val="false"/>
          <w:i w:val="false"/>
          <w:iCs w:val="false"/>
          <w:sz w:val="20"/>
          <w:szCs w:val="20"/>
        </w:rPr>
        <w:t xml:space="preserve">(40), 89-102. </w:t>
      </w:r>
      <w:hyperlink w:history="1" r:id="rIdluhxv7qasndrsg7tpjxu5">
        <w:r>
          <w:rPr>
            <w:color w:val="0563C1"/>
            <w:sz w:val="20"/>
            <w:szCs w:val="20"/>
            <w:u w:val="single"/>
          </w:rPr>
          <w:t xml:space="preserve">http://www.scielo.org.co/scielo.php?script=sci_arttext&amp;pid=S0123-921X2014000200008</w:t>
        </w:r>
      </w:hyperlink>
    </w:p>
    <w:p>
      <w:pPr>
        <w:spacing w:after="120"/>
        <w:ind w:left="720" w:hanging="720"/>
      </w:pPr>
      <w:r>
        <w:rPr>
          <w:b w:val="false"/>
          <w:bCs w:val="false"/>
          <w:i w:val="false"/>
          <w:iCs w:val="false"/>
          <w:sz w:val="20"/>
          <w:szCs w:val="20"/>
        </w:rPr>
        <w:t xml:space="preserve">Mujica de González, M., y Pérez de Maldonado, I. (2009). Construcción de un indicador de gestión fundamentado en el clima organizacional. </w:t>
      </w:r>
      <w:r>
        <w:rPr>
          <w:b w:val="false"/>
          <w:bCs w:val="false"/>
          <w:i/>
          <w:iCs/>
          <w:sz w:val="20"/>
          <w:szCs w:val="20"/>
        </w:rPr>
        <w:t xml:space="preserve">Revista Venezolana de Gerencia, 14</w:t>
      </w:r>
      <w:r>
        <w:rPr>
          <w:b w:val="false"/>
          <w:bCs w:val="false"/>
          <w:i w:val="false"/>
          <w:iCs w:val="false"/>
          <w:sz w:val="20"/>
          <w:szCs w:val="20"/>
        </w:rPr>
        <w:t xml:space="preserve">(47), 393-411. </w:t>
      </w:r>
      <w:hyperlink w:history="1" r:id="rIdhsqaiuge4cbwh4go6urmu">
        <w:r>
          <w:rPr>
            <w:color w:val="0563C1"/>
            <w:sz w:val="20"/>
            <w:szCs w:val="20"/>
            <w:u w:val="single"/>
          </w:rPr>
          <w:t xml:space="preserve">https://ve.scielo.org/scielo.php?script=sci_arttext&amp;pid=S1315-99842009000300005</w:t>
        </w:r>
      </w:hyperlink>
    </w:p>
    <w:p>
      <w:pPr>
        <w:spacing w:after="120"/>
        <w:ind w:left="720" w:hanging="720"/>
      </w:pPr>
      <w:r>
        <w:rPr>
          <w:b w:val="false"/>
          <w:bCs w:val="false"/>
          <w:i w:val="false"/>
          <w:iCs w:val="false"/>
          <w:sz w:val="20"/>
          <w:szCs w:val="20"/>
        </w:rPr>
        <w:t xml:space="preserve">Real Academia Española. (s.f.). Contrato de franquicia. En </w:t>
      </w:r>
      <w:r>
        <w:rPr>
          <w:b w:val="false"/>
          <w:bCs w:val="false"/>
          <w:i/>
          <w:iCs/>
          <w:sz w:val="20"/>
          <w:szCs w:val="20"/>
        </w:rPr>
        <w:t xml:space="preserve">Diccionario panhispánico del español jurídico</w:t>
      </w:r>
      <w:r>
        <w:rPr>
          <w:b w:val="false"/>
          <w:bCs w:val="false"/>
          <w:i w:val="false"/>
          <w:iCs w:val="false"/>
          <w:sz w:val="20"/>
          <w:szCs w:val="20"/>
        </w:rPr>
        <w:t xml:space="preserve">. Recuperado el 13 de julio de 2026, de </w:t>
      </w:r>
      <w:hyperlink w:history="1" r:id="rIdn3gky4znag2l5jqnra3v6">
        <w:r>
          <w:rPr>
            <w:color w:val="0563C1"/>
            <w:sz w:val="20"/>
            <w:szCs w:val="20"/>
            <w:u w:val="single"/>
          </w:rPr>
          <w:t xml:space="preserve">https://dpej.rae.es/lema/contrato-de-franquicia</w:t>
        </w:r>
      </w:hyperlink>
    </w:p>
    <w:p>
      <w:pPr>
        <w:spacing w:after="120"/>
        <w:ind w:left="720" w:hanging="720"/>
      </w:pPr>
      <w:r>
        <w:rPr>
          <w:b w:val="false"/>
          <w:bCs w:val="false"/>
          <w:i w:val="false"/>
          <w:iCs w:val="false"/>
          <w:sz w:val="20"/>
          <w:szCs w:val="20"/>
        </w:rPr>
        <w:t xml:space="preserve">Ruiz-Fuentes, D., Almaguer-Torres, R. M., Torres-Torres, I. C., y Hernández-Peña, A. M. (2014). La gestión por procesos, su surgimiento y aspectos teóricos. </w:t>
      </w:r>
      <w:r>
        <w:rPr>
          <w:b w:val="false"/>
          <w:bCs w:val="false"/>
          <w:i/>
          <w:iCs/>
          <w:sz w:val="20"/>
          <w:szCs w:val="20"/>
        </w:rPr>
        <w:t xml:space="preserve">Ciencias Holguín, 20</w:t>
      </w:r>
      <w:r>
        <w:rPr>
          <w:b w:val="false"/>
          <w:bCs w:val="false"/>
          <w:i w:val="false"/>
          <w:iCs w:val="false"/>
          <w:sz w:val="20"/>
          <w:szCs w:val="20"/>
        </w:rPr>
        <w:t xml:space="preserve">(1), 1-11. </w:t>
      </w:r>
      <w:hyperlink w:history="1" r:id="rId0dqgtf-5jj4nleiey2hvl">
        <w:r>
          <w:rPr>
            <w:color w:val="0563C1"/>
            <w:sz w:val="20"/>
            <w:szCs w:val="20"/>
            <w:u w:val="single"/>
          </w:rPr>
          <w:t xml:space="preserve">https://www.redalyc.org/articulo.oa?id=181529931002</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tmccyus6yvcfdbi2it8" Type="http://schemas.openxmlformats.org/officeDocument/2006/relationships/hyperlink" Target="https://www.redalyc.org/journal/1815/181562407005/html/" TargetMode="External"/><Relationship Id="rId-mqwldgpdhnevzscrqf2x" Type="http://schemas.openxmlformats.org/officeDocument/2006/relationships/hyperlink" Target="https://www.redalyc.org/journal/4988/498870299003/html/" TargetMode="External"/><Relationship Id="rIdluhxv7qasndrsg7tpjxu5" Type="http://schemas.openxmlformats.org/officeDocument/2006/relationships/hyperlink" Target="http://www.scielo.org.co/scielo.php?script=sci_arttext&amp;pid=S0123-921X2014000200008" TargetMode="External"/><Relationship Id="rIdhsqaiuge4cbwh4go6urmu" Type="http://schemas.openxmlformats.org/officeDocument/2006/relationships/hyperlink" Target="https://ve.scielo.org/scielo.php?script=sci_arttext&amp;pid=S1315-99842009000300005" TargetMode="External"/><Relationship Id="rIdn3gky4znag2l5jqnra3v6" Type="http://schemas.openxmlformats.org/officeDocument/2006/relationships/hyperlink" Target="https://dpej.rae.es/lema/contrato-de-franquicia" TargetMode="External"/><Relationship Id="rId0dqgtf-5jj4nleiey2hvl" Type="http://schemas.openxmlformats.org/officeDocument/2006/relationships/hyperlink" Target="https://www.redalyc.org/articulo.oa?id=181529931002"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2026-07-16T05:27:34.277Z</dcterms:created>
  <dcterms:modified xsi:type="dcterms:W3CDTF">2026-07-16T05:27:34.277Z</dcterms:modified>
</cp:coreProperties>
</file>

<file path=docProps/custom.xml><?xml version="1.0" encoding="utf-8"?>
<Properties xmlns="http://schemas.openxmlformats.org/officeDocument/2006/custom-properties" xmlns:vt="http://schemas.openxmlformats.org/officeDocument/2006/docPropsVTypes"/>
</file>