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C8102E"/>
          <w:sz w:val="36"/>
          <w:szCs w:val="36"/>
        </w:rPr>
        <w:t xml:space="preserve">Definiciones administrativas</w:t>
      </w:r>
    </w:p>
    <w:p>
      <w:pPr>
        <w:spacing w:after="60"/>
        <w:jc w:val="center"/>
      </w:pPr>
      <w:r>
        <w:rPr>
          <w:color w:val="1F3864"/>
          <w:sz w:val="24"/>
          <w:szCs w:val="24"/>
        </w:rPr>
        <w:t xml:space="preserve">Marco conceptual para comprender el negocio — Sistema Disensa Prioridad</w:t>
      </w:r>
    </w:p>
    <w:p>
      <w:pPr>
        <w:spacing w:after="150"/>
        <w:jc w:val="both"/>
      </w:pPr>
      <w:r>
        <w:rPr>
          <w:b w:val="false"/>
          <w:bCs w:val="false"/>
          <w:i w:val="false"/>
          <w:iCs w:val="false"/>
          <w:sz w:val="22"/>
          <w:szCs w:val="22"/>
        </w:rPr>
        <w:t xml:space="preserve">Las siguientes definiciones están redactadas con palabras propias (paráfrasis) a partir de artículos académicos de acceso abierto y conservan su cita en el texto (formato APA, 7.ª edición). Esta redacción original reduce la coincidencia textual con las fuentes, a la vez que mantiene la atribución correcta de las ideas. Al final se recogen las Referencias con los enlaces de consulta gratuita.</w:t>
      </w:r>
    </w:p>
    <w:p>
      <w:pPr>
        <w:pStyle w:val="Heading1"/>
        <w:spacing w:after="120" w:before="280"/>
      </w:pPr>
      <w:r>
        <w:rPr>
          <w:b/>
          <w:bCs/>
          <w:color w:val="1F3864"/>
          <w:sz w:val="28"/>
          <w:szCs w:val="28"/>
        </w:rPr>
        <w:t xml:space="preserve">Definiciones</w:t>
      </w:r>
    </w:p>
    <w:p>
      <w:pPr>
        <w:spacing w:after="180"/>
        <w:jc w:val="both"/>
      </w:pPr>
      <w:r>
        <w:rPr>
          <w:b/>
          <w:bCs/>
          <w:sz w:val="22"/>
          <w:szCs w:val="22"/>
        </w:rPr>
        <w:t xml:space="preserve">Gestión de inventarios. </w:t>
      </w:r>
      <w:r>
        <w:rPr>
          <w:sz w:val="22"/>
          <w:szCs w:val="22"/>
        </w:rPr>
        <w:t xml:space="preserve">La gestión de inventarios busca que cada recurso —materias primas, productos en proceso, artículos terminados, insumos o repuestos— se encuentre disponible en el momento, la cantidad y el lugar que la operación necesita. Como es una función que atraviesa toda la cadena de suministro, administrarla con eficiencia ayuda a prevenir problemas como el efecto látigo, la caída del nivel de servicio y el aumento de los costos de almacenamiento (Salas-Navarro et al., 2017).</w:t>
      </w:r>
    </w:p>
    <w:p>
      <w:pPr>
        <w:spacing w:after="180"/>
        <w:jc w:val="both"/>
      </w:pPr>
      <w:r>
        <w:rPr>
          <w:b/>
          <w:bCs/>
          <w:sz w:val="22"/>
          <w:szCs w:val="22"/>
        </w:rPr>
        <w:t xml:space="preserve">Cadena de suministro. </w:t>
      </w:r>
      <w:r>
        <w:rPr>
          <w:sz w:val="22"/>
          <w:szCs w:val="22"/>
        </w:rPr>
        <w:t xml:space="preserve">La cadena de suministro reúne a todos los actores que intervienen, de forma directa o indirecta, en atender lo que un cliente necesita: no solo el fabricante y sus proveedores, sino también quienes transportan, almacenan y comercializan el producto, e incluso el propio cliente. Su desempeño depende de qué tan integrados y coordinados estén esos eslabones a lo largo de las etapas de aprovisionamiento, producción y distribución (Chopra y Meindl, 2008, como se citó en Manrique Nugent et al., 2019).</w:t>
      </w:r>
    </w:p>
    <w:p>
      <w:pPr>
        <w:spacing w:after="180"/>
        <w:jc w:val="both"/>
      </w:pPr>
      <w:r>
        <w:rPr>
          <w:b/>
          <w:bCs/>
          <w:sz w:val="22"/>
          <w:szCs w:val="22"/>
        </w:rPr>
        <w:t xml:space="preserve">Logística. </w:t>
      </w:r>
      <w:r>
        <w:rPr>
          <w:sz w:val="22"/>
          <w:szCs w:val="22"/>
        </w:rPr>
        <w:t xml:space="preserve">La logística se ha convertido en un factor decisivo para la competitividad empresarial, sobre todo por el valor que aporta al consumidor final. Su tarea consiste en administrar de manera integrada el flujo de materiales, productos e información a lo largo de los ciclos de aprovisionamiento, producción interna, distribución física y logística inversa, procurando que el producto llegue al cliente en las condiciones y el tiempo esperados (Servera-Francés, 2010).</w:t>
      </w:r>
    </w:p>
    <w:p>
      <w:pPr>
        <w:spacing w:after="180"/>
        <w:jc w:val="both"/>
      </w:pPr>
      <w:r>
        <w:rPr>
          <w:b/>
          <w:bCs/>
          <w:sz w:val="22"/>
          <w:szCs w:val="22"/>
        </w:rPr>
        <w:t xml:space="preserve">Reabastecimiento y punto de reorden. </w:t>
      </w:r>
      <w:r>
        <w:rPr>
          <w:sz w:val="22"/>
          <w:szCs w:val="22"/>
        </w:rPr>
        <w:t xml:space="preserve">El reabastecimiento consiste en volver a surtir las existencias para sostener un nivel de inventario adecuado. El momento de hacerlo lo señala el punto de reorden: la cantidad de unidades a la que, al descender el stock, conviene emitir un nuevo pedido al proveedor. Para calcularlo se consideran la demanda prevista durante el tiempo de entrega y un stock de seguridad, es decir, una reserva adicional que protege frente a faltantes cuando la demanda sube o el proveedor se retrasa (Izar Landeta et al., 2015).</w:t>
      </w:r>
    </w:p>
    <w:p>
      <w:pPr>
        <w:spacing w:after="180"/>
        <w:jc w:val="both"/>
      </w:pPr>
      <w:r>
        <w:rPr>
          <w:b/>
          <w:bCs/>
          <w:sz w:val="22"/>
          <w:szCs w:val="22"/>
        </w:rPr>
        <w:t xml:space="preserve">Nivel de servicio (Fill Rate). </w:t>
      </w:r>
      <w:r>
        <w:rPr>
          <w:sz w:val="22"/>
          <w:szCs w:val="22"/>
        </w:rPr>
        <w:t xml:space="preserve">En logística, el nivel de servicio —o Fill Rate— es una medida cuantitativa que expresa qué proporción de lo que solicitan los clientes (pedidos, unidades o líneas) alcanza a atender realmente la empresa, por lo general como un porcentaje. Permite evaluar la eficiencia con que el sistema logístico responde al mercado y suele fijarse como meta acompañada de un tiempo de respuesta (Valencia Granados, 2020).</w:t>
      </w:r>
    </w:p>
    <w:p>
      <w:pPr>
        <w:spacing w:after="180"/>
        <w:jc w:val="both"/>
      </w:pPr>
      <w:r>
        <w:rPr>
          <w:b/>
          <w:bCs/>
          <w:sz w:val="22"/>
          <w:szCs w:val="22"/>
        </w:rPr>
        <w:t xml:space="preserve">Indicadores de gestión (KPI). </w:t>
      </w:r>
      <w:r>
        <w:rPr>
          <w:sz w:val="22"/>
          <w:szCs w:val="22"/>
        </w:rPr>
        <w:t xml:space="preserve">Un indicador de gestión es una medida —cuantitativa o cualitativa— que refleja el comportamiento de un proceso y permite darle seguimiento desde una perspectiva gerencial. Actúa como una señal para retroalimentar el trabajo, comparar los resultados con los objetivos y las metas trazadas y orientar la toma de decisiones (Mujica de González y Pérez de Maldonado, 2009).</w:t>
      </w:r>
    </w:p>
    <w:p>
      <w:pPr>
        <w:spacing w:after="180"/>
        <w:jc w:val="both"/>
      </w:pPr>
      <w:r>
        <w:rPr>
          <w:b/>
          <w:bCs/>
          <w:sz w:val="22"/>
          <w:szCs w:val="22"/>
        </w:rPr>
        <w:t xml:space="preserve">Toma de decisiones. </w:t>
      </w:r>
      <w:r>
        <w:rPr>
          <w:sz w:val="22"/>
          <w:szCs w:val="22"/>
        </w:rPr>
        <w:t xml:space="preserve">Tomar una decisión implica analizar las opciones disponibles y elegir entre ellas el curso de acción más conveniente para resolver un problema o aprovechar una oportunidad. Más que el simple acto de escoger, se trata de un proceso completo que va desde reconocer el problema hasta poner en marcha la alternativa elegida y evaluar sus resultados (Chiavenato, 2009, como se citó en Catota Mesías et al., 2022).</w:t>
      </w:r>
    </w:p>
    <w:p>
      <w:pPr>
        <w:spacing w:after="180"/>
        <w:jc w:val="both"/>
      </w:pPr>
      <w:r>
        <w:rPr>
          <w:b/>
          <w:bCs/>
          <w:sz w:val="22"/>
          <w:szCs w:val="22"/>
        </w:rPr>
        <w:t xml:space="preserve">Franquicia. </w:t>
      </w:r>
      <w:r>
        <w:rPr>
          <w:sz w:val="22"/>
          <w:szCs w:val="22"/>
        </w:rPr>
        <w:t xml:space="preserve">La franquicia es un acuerdo entre dos empresas jurídica y económicamente independientes en el que una de ellas, la franquiciadora, cede a la otra, la franquiciada, a cambio de una contraprestación económica, el derecho a operar un modelo de negocio ya probado y protegido —incluidos su marca y sus métodos—, con el fin de revender productos o prestar servicios bajo el nombre de la primera (Real Academia Española, s.f.).</w:t>
      </w:r>
    </w:p>
    <w:p>
      <w:pPr>
        <w:spacing w:after="180"/>
        <w:jc w:val="both"/>
      </w:pPr>
      <w:r>
        <w:rPr>
          <w:b/>
          <w:bCs/>
          <w:sz w:val="22"/>
          <w:szCs w:val="22"/>
        </w:rPr>
        <w:t xml:space="preserve">Regla de negocio. </w:t>
      </w:r>
      <w:r>
        <w:rPr>
          <w:sz w:val="22"/>
          <w:szCs w:val="22"/>
        </w:rPr>
        <w:t xml:space="preserve">Una regla de negocio es un enunciado que establece o limita algún aspecto del funcionamiento de una organización, con el propósito de sostener su estructura o de guiar e influir en su comportamiento. Estas reglas recogen las políticas, normas y restricciones de la operación y resultan esenciales tanto para la toma de decisiones como para el diseño de los sistemas de información (Business Rules Group, 2000).</w:t>
      </w:r>
    </w:p>
    <w:p>
      <w:pPr>
        <w:pStyle w:val="Heading1"/>
        <w:spacing w:after="120" w:before="280"/>
      </w:pPr>
      <w:r>
        <w:rPr>
          <w:b/>
          <w:bCs/>
          <w:color w:val="1F3864"/>
          <w:sz w:val="28"/>
          <w:szCs w:val="28"/>
        </w:rPr>
        <w:t xml:space="preserve">Referencias</w:t>
      </w:r>
    </w:p>
    <w:p>
      <w:pPr>
        <w:spacing w:after="120"/>
        <w:ind w:left="720" w:hanging="720"/>
      </w:pPr>
      <w:r>
        <w:rPr>
          <w:b w:val="false"/>
          <w:bCs w:val="false"/>
          <w:i w:val="false"/>
          <w:iCs w:val="false"/>
          <w:sz w:val="22"/>
          <w:szCs w:val="22"/>
        </w:rPr>
        <w:t xml:space="preserve">Business Rules Group. (2000). </w:t>
      </w:r>
      <w:r>
        <w:rPr>
          <w:b w:val="false"/>
          <w:bCs w:val="false"/>
          <w:i/>
          <w:iCs/>
          <w:sz w:val="22"/>
          <w:szCs w:val="22"/>
        </w:rPr>
        <w:t xml:space="preserve">Defining business rules: What are they really?</w:t>
      </w:r>
      <w:r>
        <w:rPr>
          <w:b w:val="false"/>
          <w:bCs w:val="false"/>
          <w:i w:val="false"/>
          <w:iCs w:val="false"/>
          <w:sz w:val="22"/>
          <w:szCs w:val="22"/>
        </w:rPr>
        <w:t xml:space="preserve"> </w:t>
      </w:r>
      <w:hyperlink w:history="1" r:id="rIdarpilllofpjjua60xcmpv">
        <w:r>
          <w:rPr>
            <w:color w:val="0563C1"/>
            <w:sz w:val="20"/>
            <w:szCs w:val="20"/>
            <w:u w:val="single"/>
          </w:rPr>
          <w:t xml:space="preserve">https://www.businessrulesgroup.org/first_paper/br01c0.htm</w:t>
        </w:r>
      </w:hyperlink>
    </w:p>
    <w:p>
      <w:pPr>
        <w:spacing w:after="120"/>
        <w:ind w:left="720" w:hanging="720"/>
      </w:pPr>
      <w:r>
        <w:rPr>
          <w:b w:val="false"/>
          <w:bCs w:val="false"/>
          <w:i w:val="false"/>
          <w:iCs w:val="false"/>
          <w:sz w:val="22"/>
          <w:szCs w:val="22"/>
        </w:rPr>
        <w:t xml:space="preserve">Catota Mesías, V. D., López Moreno, J. L., y Catota Mesías, E. I. (2022). El proceso de toma de decisiones en las Tenencias Políticas del cantón Latacunga. </w:t>
      </w:r>
      <w:r>
        <w:rPr>
          <w:b w:val="false"/>
          <w:bCs w:val="false"/>
          <w:i/>
          <w:iCs/>
          <w:sz w:val="22"/>
          <w:szCs w:val="22"/>
        </w:rPr>
        <w:t xml:space="preserve">Revista Académica y Científica VICTEC, 3</w:t>
      </w:r>
      <w:r>
        <w:rPr>
          <w:b w:val="false"/>
          <w:bCs w:val="false"/>
          <w:i w:val="false"/>
          <w:iCs w:val="false"/>
          <w:sz w:val="22"/>
          <w:szCs w:val="22"/>
        </w:rPr>
        <w:t xml:space="preserve">(5), 1-131. </w:t>
      </w:r>
      <w:hyperlink w:history="1" r:id="rIdolnryhu_f5hg82ztq4b-n">
        <w:r>
          <w:rPr>
            <w:color w:val="0563C1"/>
            <w:sz w:val="20"/>
            <w:szCs w:val="20"/>
            <w:u w:val="single"/>
          </w:rPr>
          <w:t xml:space="preserve">http://portal.amelica.org/ameli/journal/572/5724442007/</w:t>
        </w:r>
      </w:hyperlink>
    </w:p>
    <w:p>
      <w:pPr>
        <w:spacing w:after="120"/>
        <w:ind w:left="720" w:hanging="720"/>
      </w:pPr>
      <w:r>
        <w:rPr>
          <w:b w:val="false"/>
          <w:bCs w:val="false"/>
          <w:i w:val="false"/>
          <w:iCs w:val="false"/>
          <w:sz w:val="22"/>
          <w:szCs w:val="22"/>
        </w:rPr>
        <w:t xml:space="preserve">Izar Landeta, J. M., Ynzunza Cortés, C. B., y Zermeño Pérez, E. (2015). Cálculo del punto de reorden cuando el tiempo de entrega y la demanda están correlacionados. </w:t>
      </w:r>
      <w:r>
        <w:rPr>
          <w:b w:val="false"/>
          <w:bCs w:val="false"/>
          <w:i/>
          <w:iCs/>
          <w:sz w:val="22"/>
          <w:szCs w:val="22"/>
        </w:rPr>
        <w:t xml:space="preserve">Contaduría y Administración, 60</w:t>
      </w:r>
      <w:r>
        <w:rPr>
          <w:b w:val="false"/>
          <w:bCs w:val="false"/>
          <w:i w:val="false"/>
          <w:iCs w:val="false"/>
          <w:sz w:val="22"/>
          <w:szCs w:val="22"/>
        </w:rPr>
        <w:t xml:space="preserve">(4), 864-873. </w:t>
      </w:r>
      <w:hyperlink w:history="1" r:id="rIdwlkme22pa4cj7nzhbgt7i">
        <w:r>
          <w:rPr>
            <w:color w:val="0563C1"/>
            <w:sz w:val="20"/>
            <w:szCs w:val="20"/>
            <w:u w:val="single"/>
          </w:rPr>
          <w:t xml:space="preserve">https://www.scielo.org.mx/scielo.php?script=sci_arttext&amp;pid=S0186-10422015000400864</w:t>
        </w:r>
      </w:hyperlink>
    </w:p>
    <w:p>
      <w:pPr>
        <w:spacing w:after="120"/>
        <w:ind w:left="720" w:hanging="720"/>
      </w:pPr>
      <w:r>
        <w:rPr>
          <w:b w:val="false"/>
          <w:bCs w:val="false"/>
          <w:i w:val="false"/>
          <w:iCs w:val="false"/>
          <w:sz w:val="22"/>
          <w:szCs w:val="22"/>
        </w:rPr>
        <w:t xml:space="preserve">Manrique Nugent, M. A. L., Teves Quispe, J., Taco Llave, A. M., y Flores Morales, J. A. (2019). Gestión de cadena de suministro: una mirada desde la perspectiva teórica. </w:t>
      </w:r>
      <w:r>
        <w:rPr>
          <w:b w:val="false"/>
          <w:bCs w:val="false"/>
          <w:i/>
          <w:iCs/>
          <w:sz w:val="22"/>
          <w:szCs w:val="22"/>
        </w:rPr>
        <w:t xml:space="preserve">Revista Venezolana de Gerencia, 24</w:t>
      </w:r>
      <w:r>
        <w:rPr>
          <w:b w:val="false"/>
          <w:bCs w:val="false"/>
          <w:i w:val="false"/>
          <w:iCs w:val="false"/>
          <w:sz w:val="22"/>
          <w:szCs w:val="22"/>
        </w:rPr>
        <w:t xml:space="preserve">(88), 1136-1146. </w:t>
      </w:r>
      <w:hyperlink w:history="1" r:id="rId5j6urmpxni7numqbroivy">
        <w:r>
          <w:rPr>
            <w:color w:val="0563C1"/>
            <w:sz w:val="20"/>
            <w:szCs w:val="20"/>
            <w:u w:val="single"/>
          </w:rPr>
          <w:t xml:space="preserve">https://www.redalyc.org/journal/290/29062051009/html/</w:t>
        </w:r>
      </w:hyperlink>
    </w:p>
    <w:p>
      <w:pPr>
        <w:spacing w:after="120"/>
        <w:ind w:left="720" w:hanging="720"/>
      </w:pPr>
      <w:r>
        <w:rPr>
          <w:b w:val="false"/>
          <w:bCs w:val="false"/>
          <w:i w:val="false"/>
          <w:iCs w:val="false"/>
          <w:sz w:val="22"/>
          <w:szCs w:val="22"/>
        </w:rPr>
        <w:t xml:space="preserve">Mujica de González, M., y Pérez de Maldonado, I. (2009). Construcción de un indicador de gestión fundamentado en el clima organizacional. </w:t>
      </w:r>
      <w:r>
        <w:rPr>
          <w:b w:val="false"/>
          <w:bCs w:val="false"/>
          <w:i/>
          <w:iCs/>
          <w:sz w:val="22"/>
          <w:szCs w:val="22"/>
        </w:rPr>
        <w:t xml:space="preserve">Revista Venezolana de Gerencia, 14</w:t>
      </w:r>
      <w:r>
        <w:rPr>
          <w:b w:val="false"/>
          <w:bCs w:val="false"/>
          <w:i w:val="false"/>
          <w:iCs w:val="false"/>
          <w:sz w:val="22"/>
          <w:szCs w:val="22"/>
        </w:rPr>
        <w:t xml:space="preserve">(47), 393-411. </w:t>
      </w:r>
      <w:hyperlink w:history="1" r:id="rIddahie5dg4el4pn5lgnvbo">
        <w:r>
          <w:rPr>
            <w:color w:val="0563C1"/>
            <w:sz w:val="20"/>
            <w:szCs w:val="20"/>
            <w:u w:val="single"/>
          </w:rPr>
          <w:t xml:space="preserve">https://ve.scielo.org/scielo.php?script=sci_arttext&amp;pid=S1315-99842009000300005</w:t>
        </w:r>
      </w:hyperlink>
    </w:p>
    <w:p>
      <w:pPr>
        <w:spacing w:after="120"/>
        <w:ind w:left="720" w:hanging="720"/>
      </w:pPr>
      <w:r>
        <w:rPr>
          <w:b w:val="false"/>
          <w:bCs w:val="false"/>
          <w:i w:val="false"/>
          <w:iCs w:val="false"/>
          <w:sz w:val="22"/>
          <w:szCs w:val="22"/>
        </w:rPr>
        <w:t xml:space="preserve">Real Academia Española. (s.f.). Contrato de franquicia. En </w:t>
      </w:r>
      <w:r>
        <w:rPr>
          <w:b w:val="false"/>
          <w:bCs w:val="false"/>
          <w:i/>
          <w:iCs/>
          <w:sz w:val="22"/>
          <w:szCs w:val="22"/>
        </w:rPr>
        <w:t xml:space="preserve">Diccionario panhispánico del español jurídico</w:t>
      </w:r>
      <w:r>
        <w:rPr>
          <w:b w:val="false"/>
          <w:bCs w:val="false"/>
          <w:i w:val="false"/>
          <w:iCs w:val="false"/>
          <w:sz w:val="22"/>
          <w:szCs w:val="22"/>
        </w:rPr>
        <w:t xml:space="preserve">. Recuperado el 13 de julio de 2026, de </w:t>
      </w:r>
      <w:hyperlink w:history="1" r:id="rIdfyb3stkg7xpt9lczppgnh">
        <w:r>
          <w:rPr>
            <w:color w:val="0563C1"/>
            <w:sz w:val="20"/>
            <w:szCs w:val="20"/>
            <w:u w:val="single"/>
          </w:rPr>
          <w:t xml:space="preserve">https://dpej.rae.es/lema/contrato-de-franquicia</w:t>
        </w:r>
      </w:hyperlink>
    </w:p>
    <w:p>
      <w:pPr>
        <w:spacing w:after="120"/>
        <w:ind w:left="720" w:hanging="720"/>
      </w:pPr>
      <w:r>
        <w:rPr>
          <w:b w:val="false"/>
          <w:bCs w:val="false"/>
          <w:i w:val="false"/>
          <w:iCs w:val="false"/>
          <w:sz w:val="22"/>
          <w:szCs w:val="22"/>
        </w:rPr>
        <w:t xml:space="preserve">Salas-Navarro, K., Maiguel-Mejía, H., y Acevedo-Chedid, J. (2017). Metodología de gestión de inventarios para determinar los niveles de integración y colaboración en una cadena de suministro. </w:t>
      </w:r>
      <w:r>
        <w:rPr>
          <w:b w:val="false"/>
          <w:bCs w:val="false"/>
          <w:i/>
          <w:iCs/>
          <w:sz w:val="22"/>
          <w:szCs w:val="22"/>
        </w:rPr>
        <w:t xml:space="preserve">Ingeniare. Revista chilena de ingeniería, 25</w:t>
      </w:r>
      <w:r>
        <w:rPr>
          <w:b w:val="false"/>
          <w:bCs w:val="false"/>
          <w:i w:val="false"/>
          <w:iCs w:val="false"/>
          <w:sz w:val="22"/>
          <w:szCs w:val="22"/>
        </w:rPr>
        <w:t xml:space="preserve">(2), 326-337. </w:t>
      </w:r>
      <w:hyperlink w:history="1" r:id="rId2jgvwa6wzweupgrwommdu">
        <w:r>
          <w:rPr>
            <w:color w:val="0563C1"/>
            <w:sz w:val="20"/>
            <w:szCs w:val="20"/>
            <w:u w:val="single"/>
          </w:rPr>
          <w:t xml:space="preserve">https://www.redalyc.org/articulo.oa?id=77252418014</w:t>
        </w:r>
      </w:hyperlink>
    </w:p>
    <w:p>
      <w:pPr>
        <w:spacing w:after="120"/>
        <w:ind w:left="720" w:hanging="720"/>
      </w:pPr>
      <w:r>
        <w:rPr>
          <w:b w:val="false"/>
          <w:bCs w:val="false"/>
          <w:i w:val="false"/>
          <w:iCs w:val="false"/>
          <w:sz w:val="22"/>
          <w:szCs w:val="22"/>
        </w:rPr>
        <w:t xml:space="preserve">Servera-Francés, D. (2010). Concepto y evolución de la función logística. </w:t>
      </w:r>
      <w:r>
        <w:rPr>
          <w:b w:val="false"/>
          <w:bCs w:val="false"/>
          <w:i/>
          <w:iCs/>
          <w:sz w:val="22"/>
          <w:szCs w:val="22"/>
        </w:rPr>
        <w:t xml:space="preserve">Innovar, 20</w:t>
      </w:r>
      <w:r>
        <w:rPr>
          <w:b w:val="false"/>
          <w:bCs w:val="false"/>
          <w:i w:val="false"/>
          <w:iCs w:val="false"/>
          <w:sz w:val="22"/>
          <w:szCs w:val="22"/>
        </w:rPr>
        <w:t xml:space="preserve">(38), 217-234. </w:t>
      </w:r>
      <w:hyperlink w:history="1" r:id="rIdz63bywehv33nghrojpdvp">
        <w:r>
          <w:rPr>
            <w:color w:val="0563C1"/>
            <w:sz w:val="20"/>
            <w:szCs w:val="20"/>
            <w:u w:val="single"/>
          </w:rPr>
          <w:t xml:space="preserve">https://www.redalyc.org/articulo.oa?id=81819024018</w:t>
        </w:r>
      </w:hyperlink>
    </w:p>
    <w:p>
      <w:pPr>
        <w:spacing w:after="120"/>
        <w:ind w:left="720" w:hanging="720"/>
      </w:pPr>
      <w:r>
        <w:rPr>
          <w:b w:val="false"/>
          <w:bCs w:val="false"/>
          <w:i w:val="false"/>
          <w:iCs w:val="false"/>
          <w:sz w:val="22"/>
          <w:szCs w:val="22"/>
        </w:rPr>
        <w:t xml:space="preserve">Valencia Granados, J. A. (2020). Importancia de la medición del nivel de servicio o Fill Rate en la logística moderna. </w:t>
      </w:r>
      <w:r>
        <w:rPr>
          <w:b w:val="false"/>
          <w:bCs w:val="false"/>
          <w:i/>
          <w:iCs/>
          <w:sz w:val="22"/>
          <w:szCs w:val="22"/>
        </w:rPr>
        <w:t xml:space="preserve">Realidad Empresarial</w:t>
      </w:r>
      <w:r>
        <w:rPr>
          <w:b w:val="false"/>
          <w:bCs w:val="false"/>
          <w:i w:val="false"/>
          <w:iCs w:val="false"/>
          <w:sz w:val="22"/>
          <w:szCs w:val="22"/>
        </w:rPr>
        <w:t xml:space="preserve">, (10), 75-78. </w:t>
      </w:r>
      <w:hyperlink w:history="1" r:id="rIdm4ygugltx8jcmjef8lirv">
        <w:r>
          <w:rPr>
            <w:color w:val="0563C1"/>
            <w:sz w:val="20"/>
            <w:szCs w:val="20"/>
            <w:u w:val="single"/>
          </w:rPr>
          <w:t xml:space="preserve">https://doi.org/10.5377/reuca.v0i10.10579</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rpilllofpjjua60xcmpv" Type="http://schemas.openxmlformats.org/officeDocument/2006/relationships/hyperlink" Target="https://www.businessrulesgroup.org/first_paper/br01c0.htm" TargetMode="External"/><Relationship Id="rIdolnryhu_f5hg82ztq4b-n" Type="http://schemas.openxmlformats.org/officeDocument/2006/relationships/hyperlink" Target="http://portal.amelica.org/ameli/journal/572/5724442007/" TargetMode="External"/><Relationship Id="rIdwlkme22pa4cj7nzhbgt7i" Type="http://schemas.openxmlformats.org/officeDocument/2006/relationships/hyperlink" Target="https://www.scielo.org.mx/scielo.php?script=sci_arttext&amp;pid=S0186-10422015000400864" TargetMode="External"/><Relationship Id="rId5j6urmpxni7numqbroivy" Type="http://schemas.openxmlformats.org/officeDocument/2006/relationships/hyperlink" Target="https://www.redalyc.org/journal/290/29062051009/html/" TargetMode="External"/><Relationship Id="rIddahie5dg4el4pn5lgnvbo" Type="http://schemas.openxmlformats.org/officeDocument/2006/relationships/hyperlink" Target="https://ve.scielo.org/scielo.php?script=sci_arttext&amp;pid=S1315-99842009000300005" TargetMode="External"/><Relationship Id="rIdfyb3stkg7xpt9lczppgnh" Type="http://schemas.openxmlformats.org/officeDocument/2006/relationships/hyperlink" Target="https://dpej.rae.es/lema/contrato-de-franquicia" TargetMode="External"/><Relationship Id="rId2jgvwa6wzweupgrwommdu" Type="http://schemas.openxmlformats.org/officeDocument/2006/relationships/hyperlink" Target="https://www.redalyc.org/articulo.oa?id=77252418014" TargetMode="External"/><Relationship Id="rIdz63bywehv33nghrojpdvp" Type="http://schemas.openxmlformats.org/officeDocument/2006/relationships/hyperlink" Target="https://www.redalyc.org/articulo.oa?id=81819024018" TargetMode="External"/><Relationship Id="rIdm4ygugltx8jcmjef8lirv" Type="http://schemas.openxmlformats.org/officeDocument/2006/relationships/hyperlink" Target="https://doi.org/10.5377/reuca.v0i10.10579"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2026-07-15T19:58:00.194Z</dcterms:created>
  <dcterms:modified xsi:type="dcterms:W3CDTF">2026-07-15T19:58:00.194Z</dcterms:modified>
</cp:coreProperties>
</file>

<file path=docProps/custom.xml><?xml version="1.0" encoding="utf-8"?>
<Properties xmlns="http://schemas.openxmlformats.org/officeDocument/2006/custom-properties" xmlns:vt="http://schemas.openxmlformats.org/officeDocument/2006/docPropsVTypes"/>
</file>