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i/>
          <w:iCs/>
          <w:color w:val="1F3864"/>
          <w:sz w:val="26"/>
          <w:szCs w:val="26"/>
        </w:rPr>
        <w:t xml:space="preserve">Diagrama de componentes y despliegue del sistema</w:t>
      </w:r>
    </w:p>
    <w:p>
      <w:pPr>
        <w:spacing w:after="160" w:before="120"/>
        <w:jc w:val="both"/>
      </w:pPr>
      <w:r>
        <w:rPr>
          <w:sz w:val="21"/>
          <w:szCs w:val="21"/>
        </w:rPr>
        <w:t xml:space="preserve">La arquitectura se organiza en tres capas. La capa cliente es una aplicacion de pagina unica (SPA) construida con React 19 y Vite, tipada con TypeScript y estilizada con Tailwind CSS 4. La capa de aplicacion combina la logica del cliente (modulos de negocio y motor de priorizacion) con Supabase como Backend como Servicio (BaaS). La capa de datos y servicios externos incluye PostgreSQL, autenticacion, tiempo real, correo, la integracion con el ERP y el despliegue en Vercel.</w:t>
      </w:r>
    </w:p>
    <w:p>
      <w:pPr>
        <w:jc w:val="center"/>
      </w:pPr>
      <w:r>
        <w:drawing>
          <wp:inline distT="0" distB="0" distL="0" distR="0">
            <wp:extent cx="838200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0"/>
        <w:jc w:val="both"/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En esta figura se presenta la arquitectura en tres capas del sistema Disensa Prioridad y la distribucion de sus componentes. Elaboracion y fuente propias.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44a1ec53529fb7f785c6c0e6ced749ee14476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2026-07-14T02:54:34.189Z</dcterms:created>
  <dcterms:modified xsi:type="dcterms:W3CDTF">2026-07-14T02:54:34.189Z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