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30"/>
          <w:szCs w:val="30"/>
        </w:rPr>
        <w:t xml:space="preserve">Diagrama entidad-relacion — base de datos PostgreSQL</w:t>
      </w:r>
    </w:p>
    <w:p>
      <w:pPr>
        <w:spacing w:after="160"/>
      </w:pPr>
      <w:r>
        <w:rPr>
          <w:color w:val="C8102E"/>
          <w:sz w:val="22"/>
          <w:szCs w:val="22"/>
        </w:rPr>
        <w:t xml:space="preserve">Sistema Disensa Prioridad</w:t>
      </w:r>
    </w:p>
    <w:p>
      <w:pPr>
        <w:spacing w:after="120"/>
        <w:jc w:val="both"/>
      </w:pPr>
      <w:r>
        <w:rPr>
          <w:sz w:val="20"/>
          <w:szCs w:val="20"/>
        </w:rPr>
        <w:t xml:space="preserve">El modelo relacional se compone de 22 tablas en PostgreSQL gestionadas por Supabase. Las llaves primarias se identifican con PK, las unicas con UQ y las foraneas con FK; las lineas representan las relaciones (1:N) entre entidades. El nucleo operativo (usuarios, pedidos, alertas, materiales y reportes) se integra con las tablas sincronizadas desde el ERP (catalogo de materiales, inventario, transito y ordenes de compra).</w:t>
      </w:r>
    </w:p>
    <w:p>
      <w:pPr>
        <w:jc w:val="center"/>
      </w:pPr>
      <w:r>
        <w:drawing>
          <wp:inline distT="0" distB="0" distL="0" distR="0">
            <wp:extent cx="8953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fa7114918a7e00d02b7194de17209d7beba8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2026-07-14T02:51:12.994Z</dcterms:created>
  <dcterms:modified xsi:type="dcterms:W3CDTF">2026-07-14T02:51:12.994Z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