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RAG Annotation — Getting Started</w:t>
      </w:r>
    </w:p>
    <w:p>
      <w:r>
        <w:t xml:space="preserve">You have been asked to rate AI-generated answers for quality. This takes approximately </w:t>
      </w:r>
      <w:r>
        <w:rPr>
          <w:b/>
        </w:rPr>
        <w:t>30–45 minutes</w:t>
      </w:r>
      <w:r>
        <w:t xml:space="preserve"> for all 45 items.</w:t>
      </w:r>
    </w:p>
    <w:p>
      <w:pPr>
        <w:pStyle w:val="Heading2"/>
      </w:pPr>
      <w:r>
        <w:rPr>
          <w:color w:val="2E74B5"/>
        </w:rPr>
        <w:t>What you are doing</w:t>
      </w:r>
    </w:p>
    <w:p>
      <w:r>
        <w:t>You will review 45 answers produced by an AI system given a question and retrieved scientific/medical documents. For each answer you will choose one of four ratings. You are judging whether the AI answer correctly reflects the reference answer, given the question and the retrieved evidence shown.</w:t>
      </w:r>
    </w:p>
    <w:p>
      <w:pPr>
        <w:pStyle w:val="Heading2"/>
      </w:pPr>
      <w:r>
        <w:rPr>
          <w:color w:val="2E74B5"/>
        </w:rPr>
        <w:t>Step 1 — Open the annotation form</w:t>
      </w:r>
    </w:p>
    <w:p>
      <w:r/>
      <w:r>
        <w:rPr>
          <w:b/>
        </w:rPr>
        <w:t>Double-click `index.html`</w:t>
      </w:r>
      <w:r>
        <w:t xml:space="preserve"> to open the form in your browser.</w:t>
      </w:r>
    </w:p>
    <w:p>
      <w:r>
        <w:t>You will see:</w:t>
      </w:r>
    </w:p>
    <w:p>
      <w:pPr>
        <w:pStyle w:val="ListBullet"/>
      </w:pPr>
      <w:r>
        <w:t xml:space="preserve">Tabs across the top of the sidebar: </w:t>
      </w:r>
      <w:r>
        <w:rPr>
          <w:b/>
        </w:rPr>
        <w:t>All (45) · SciFact (15) · HotpotQA (15) · BioASQ (15)</w:t>
      </w:r>
      <w:r/>
    </w:p>
    <w:p>
      <w:pPr>
        <w:pStyle w:val="ListBullet"/>
      </w:pPr>
      <w:r>
        <w:t>A list of items on the left — click any item to open it</w:t>
      </w:r>
    </w:p>
    <w:p>
      <w:pPr>
        <w:pStyle w:val="ListBullet"/>
      </w:pPr>
      <w:r>
        <w:t>The annotation panel on the right</w:t>
      </w:r>
    </w:p>
    <w:p>
      <w:pPr>
        <w:ind w:left="576"/>
      </w:pPr>
      <w:r>
        <w:rPr>
          <w:i/>
          <w:color w:val="595959"/>
        </w:rPr>
        <w:t>Important: use your own browser, not one shared with another annotator. Your progress is saved automatically — you can close and return later.</w:t>
      </w:r>
    </w:p>
    <w:p>
      <w:pPr>
        <w:pStyle w:val="Heading2"/>
      </w:pPr>
      <w:r>
        <w:rPr>
          <w:color w:val="2E74B5"/>
        </w:rPr>
        <w:t>Step 2 — Rate each item</w:t>
      </w:r>
    </w:p>
    <w:p>
      <w:r>
        <w:t>For every item you will see:</w:t>
      </w:r>
    </w:p>
    <w:tbl>
      <w:tblPr>
        <w:tblStyle w:val="TableGrid"/>
        <w:tblW w:type="auto" w:w="0"/>
        <w:tblLook w:firstColumn="1" w:firstRow="1" w:lastColumn="0" w:lastRow="0" w:noHBand="0" w:noVBand="1" w:val="04A0"/>
      </w:tblPr>
      <w:tblGrid>
        <w:gridCol w:w="4320"/>
        <w:gridCol w:w="4320"/>
      </w:tblGrid>
      <w:tr>
        <w:tc>
          <w:tcPr>
            <w:tcW w:type="dxa" w:w="4320"/>
            <w:shd w:val="clear" w:color="auto" w:fill="D6E4F0"/>
          </w:tcPr>
          <w:p>
            <w:pPr>
              <w:spacing w:after="0"/>
            </w:pPr>
            <w:r>
              <w:t>Field</w:t>
            </w:r>
          </w:p>
        </w:tc>
        <w:tc>
          <w:tcPr>
            <w:tcW w:type="dxa" w:w="4320"/>
            <w:shd w:val="clear" w:color="auto" w:fill="D6E4F0"/>
          </w:tcPr>
          <w:p>
            <w:pPr>
              <w:spacing w:after="0"/>
            </w:pPr>
            <w:r>
              <w:t>What it is</w:t>
            </w:r>
          </w:p>
        </w:tc>
      </w:tr>
      <w:tr>
        <w:tc>
          <w:tcPr>
            <w:tcW w:type="dxa" w:w="4320"/>
          </w:tcPr>
          <w:p>
            <w:pPr>
              <w:spacing w:after="0"/>
            </w:pPr>
            <w:r/>
            <w:r>
              <w:rPr>
                <w:b/>
              </w:rPr>
              <w:t>Query / Claim</w:t>
            </w:r>
            <w:r/>
          </w:p>
        </w:tc>
        <w:tc>
          <w:tcPr>
            <w:tcW w:type="dxa" w:w="4320"/>
          </w:tcPr>
          <w:p>
            <w:pPr>
              <w:spacing w:after="0"/>
            </w:pPr>
            <w:r>
              <w:t>The question or scientific claim the AI had to answer</w:t>
            </w:r>
          </w:p>
        </w:tc>
      </w:tr>
      <w:tr>
        <w:tc>
          <w:tcPr>
            <w:tcW w:type="dxa" w:w="4320"/>
          </w:tcPr>
          <w:p>
            <w:pPr>
              <w:spacing w:after="0"/>
            </w:pPr>
            <w:r/>
            <w:r>
              <w:rPr>
                <w:b/>
              </w:rPr>
              <w:t>Reference Answer</w:t>
            </w:r>
            <w:r/>
          </w:p>
        </w:tc>
        <w:tc>
          <w:tcPr>
            <w:tcW w:type="dxa" w:w="4320"/>
          </w:tcPr>
          <w:p>
            <w:pPr>
              <w:spacing w:after="0"/>
            </w:pPr>
            <w:r>
              <w:t>The correct answer according to the dataset</w:t>
            </w:r>
          </w:p>
        </w:tc>
      </w:tr>
      <w:tr>
        <w:tc>
          <w:tcPr>
            <w:tcW w:type="dxa" w:w="4320"/>
          </w:tcPr>
          <w:p>
            <w:pPr>
              <w:spacing w:after="0"/>
            </w:pPr>
            <w:r/>
            <w:r>
              <w:rPr>
                <w:b/>
              </w:rPr>
              <w:t>Model Answer</w:t>
            </w:r>
            <w:r/>
          </w:p>
        </w:tc>
        <w:tc>
          <w:tcPr>
            <w:tcW w:type="dxa" w:w="4320"/>
          </w:tcPr>
          <w:p>
            <w:pPr>
              <w:spacing w:after="0"/>
            </w:pPr>
            <w:r>
              <w:t>The AI-generated answer you are rating</w:t>
            </w:r>
          </w:p>
        </w:tc>
      </w:tr>
      <w:tr>
        <w:tc>
          <w:tcPr>
            <w:tcW w:type="dxa" w:w="4320"/>
          </w:tcPr>
          <w:p>
            <w:pPr>
              <w:spacing w:after="0"/>
            </w:pPr>
            <w:r/>
            <w:r>
              <w:rPr>
                <w:b/>
              </w:rPr>
              <w:t>Retrieved Evidence</w:t>
            </w:r>
            <w:r/>
          </w:p>
        </w:tc>
        <w:tc>
          <w:tcPr>
            <w:tcW w:type="dxa" w:w="4320"/>
          </w:tcPr>
          <w:p>
            <w:pPr>
              <w:spacing w:after="0"/>
            </w:pPr>
            <w:r>
              <w:t>The documents the AI could use (collapse if not needed)</w:t>
            </w:r>
          </w:p>
        </w:tc>
      </w:tr>
    </w:tbl>
    <w:p/>
    <w:p>
      <w:r>
        <w:t xml:space="preserve">Pick a </w:t>
      </w:r>
      <w:r>
        <w:rPr>
          <w:b/>
        </w:rPr>
        <w:t>Rating</w:t>
      </w:r>
      <w:r>
        <w:t xml:space="preserve"> from the dropdown. Adding a </w:t>
      </w:r>
      <w:r>
        <w:rPr>
          <w:b/>
        </w:rPr>
        <w:t>Note</w:t>
      </w:r>
      <w:r>
        <w:t xml:space="preserve"> is optional but helpful when the item is borderline.</w:t>
      </w:r>
    </w:p>
    <w:p>
      <w:pPr>
        <w:pStyle w:val="Heading3"/>
      </w:pPr>
      <w:r>
        <w:t>Rating labels</w:t>
      </w:r>
    </w:p>
    <w:tbl>
      <w:tblPr>
        <w:tblStyle w:val="TableGrid"/>
        <w:tblW w:type="auto" w:w="0"/>
        <w:tblLook w:firstColumn="1" w:firstRow="1" w:lastColumn="0" w:lastRow="0" w:noHBand="0" w:noVBand="1" w:val="04A0"/>
      </w:tblPr>
      <w:tblGrid>
        <w:gridCol w:w="4320"/>
        <w:gridCol w:w="4320"/>
      </w:tblGrid>
      <w:tr>
        <w:tc>
          <w:tcPr>
            <w:tcW w:type="dxa" w:w="4320"/>
            <w:shd w:val="clear" w:color="auto" w:fill="D6E4F0"/>
          </w:tcPr>
          <w:p>
            <w:pPr>
              <w:spacing w:after="0"/>
            </w:pPr>
            <w:r>
              <w:t>Rating</w:t>
            </w:r>
          </w:p>
        </w:tc>
        <w:tc>
          <w:tcPr>
            <w:tcW w:type="dxa" w:w="4320"/>
            <w:shd w:val="clear" w:color="auto" w:fill="D6E4F0"/>
          </w:tcPr>
          <w:p>
            <w:pPr>
              <w:spacing w:after="0"/>
            </w:pPr>
            <w:r>
              <w:t>Use when…</w:t>
            </w:r>
          </w:p>
        </w:tc>
      </w:tr>
      <w:tr>
        <w:tc>
          <w:tcPr>
            <w:tcW w:type="dxa" w:w="4320"/>
          </w:tcPr>
          <w:p>
            <w:pPr>
              <w:spacing w:after="0"/>
            </w:pPr>
            <w:r/>
            <w:r>
              <w:rPr>
                <w:rFonts w:ascii="Courier New" w:hAnsi="Courier New"/>
                <w:sz w:val="20"/>
              </w:rPr>
              <w:t>CORRECT</w:t>
            </w:r>
            <w:r/>
          </w:p>
        </w:tc>
        <w:tc>
          <w:tcPr>
            <w:tcW w:type="dxa" w:w="4320"/>
          </w:tcPr>
          <w:p>
            <w:pPr>
              <w:spacing w:after="0"/>
            </w:pPr>
            <w:r>
              <w:t>The AI answer contains the required information and does not contradict the reference</w:t>
            </w:r>
          </w:p>
        </w:tc>
      </w:tr>
      <w:tr>
        <w:tc>
          <w:tcPr>
            <w:tcW w:type="dxa" w:w="4320"/>
          </w:tcPr>
          <w:p>
            <w:pPr>
              <w:spacing w:after="0"/>
            </w:pPr>
            <w:r/>
            <w:r>
              <w:rPr>
                <w:rFonts w:ascii="Courier New" w:hAnsi="Courier New"/>
                <w:sz w:val="20"/>
              </w:rPr>
              <w:t>PARTIALLY_CORRECT</w:t>
            </w:r>
            <w:r/>
          </w:p>
        </w:tc>
        <w:tc>
          <w:tcPr>
            <w:tcW w:type="dxa" w:w="4320"/>
          </w:tcPr>
          <w:p>
            <w:pPr>
              <w:spacing w:after="0"/>
            </w:pPr>
            <w:r>
              <w:t>The AI answer contains some required information but is incomplete, vague, or misses an important condition</w:t>
            </w:r>
          </w:p>
        </w:tc>
      </w:tr>
      <w:tr>
        <w:tc>
          <w:tcPr>
            <w:tcW w:type="dxa" w:w="4320"/>
          </w:tcPr>
          <w:p>
            <w:pPr>
              <w:spacing w:after="0"/>
            </w:pPr>
            <w:r/>
            <w:r>
              <w:rPr>
                <w:rFonts w:ascii="Courier New" w:hAnsi="Courier New"/>
                <w:sz w:val="20"/>
              </w:rPr>
              <w:t>INCORRECT</w:t>
            </w:r>
            <w:r/>
          </w:p>
        </w:tc>
        <w:tc>
          <w:tcPr>
            <w:tcW w:type="dxa" w:w="4320"/>
          </w:tcPr>
          <w:p>
            <w:pPr>
              <w:spacing w:after="0"/>
            </w:pPr>
            <w:r>
              <w:t>The AI answer contradicts the reference or gives a different answer</w:t>
            </w:r>
          </w:p>
        </w:tc>
      </w:tr>
      <w:tr>
        <w:tc>
          <w:tcPr>
            <w:tcW w:type="dxa" w:w="4320"/>
          </w:tcPr>
          <w:p>
            <w:pPr>
              <w:spacing w:after="0"/>
            </w:pPr>
            <w:r/>
            <w:r>
              <w:rPr>
                <w:rFonts w:ascii="Courier New" w:hAnsi="Courier New"/>
                <w:sz w:val="20"/>
              </w:rPr>
              <w:t>NOT_ENOUGH_INFO</w:t>
            </w:r>
            <w:r/>
          </w:p>
        </w:tc>
        <w:tc>
          <w:tcPr>
            <w:tcW w:type="dxa" w:w="4320"/>
          </w:tcPr>
          <w:p>
            <w:pPr>
              <w:spacing w:after="0"/>
            </w:pPr>
            <w:r>
              <w:t>You cannot judge the answer confidently from the question, reference, and evidence shown</w:t>
            </w:r>
          </w:p>
        </w:tc>
      </w:tr>
    </w:tbl>
    <w:p/>
    <w:p>
      <w:pPr>
        <w:pStyle w:val="Heading2"/>
      </w:pPr>
      <w:r>
        <w:rPr>
          <w:color w:val="2E74B5"/>
        </w:rPr>
        <w:t>Step 3 — Export when done</w:t>
      </w:r>
    </w:p>
    <w:p>
      <w:r>
        <w:t xml:space="preserve">Click </w:t>
      </w:r>
      <w:r>
        <w:rPr>
          <w:b/>
        </w:rPr>
        <w:t>Export CSV</w:t>
      </w:r>
      <w:r>
        <w:t xml:space="preserve"> (top-right corner) to download </w:t>
      </w:r>
      <w:r>
        <w:rPr>
          <w:rFonts w:ascii="Courier New" w:hAnsi="Courier New"/>
          <w:sz w:val="20"/>
        </w:rPr>
        <w:t>rag_annotations.csv</w:t>
      </w:r>
      <w:r>
        <w:t>. Send that file to the project lead.</w:t>
      </w:r>
    </w:p>
    <w:p>
      <w:pPr>
        <w:pStyle w:val="Heading2"/>
      </w:pPr>
      <w:r>
        <w:rPr>
          <w:color w:val="2E74B5"/>
        </w:rPr>
        <w:t>Resuming work / importing previous annotations</w:t>
      </w:r>
    </w:p>
    <w:p>
      <w:r>
        <w:t>If the form is updated with new samples and you want to carry over your previous ratings:</w:t>
      </w:r>
    </w:p>
    <w:p>
      <w:pPr>
        <w:pStyle w:val="ListNumber"/>
      </w:pPr>
      <w:r>
        <w:t xml:space="preserve">Click </w:t>
      </w:r>
      <w:r>
        <w:rPr>
          <w:b/>
        </w:rPr>
        <w:t>Import CSV</w:t>
      </w:r>
      <w:r>
        <w:t xml:space="preserve"> and pick your previously exported </w:t>
      </w:r>
      <w:r>
        <w:rPr>
          <w:rFonts w:ascii="Courier New" w:hAnsi="Courier New"/>
          <w:sz w:val="20"/>
        </w:rPr>
        <w:t>rag_annotations.csv</w:t>
      </w:r>
      <w:r>
        <w:t>.</w:t>
      </w:r>
    </w:p>
    <w:p>
      <w:pPr>
        <w:pStyle w:val="ListNumber"/>
      </w:pPr>
      <w:r>
        <w:t>Your old ratings and notes will be restored automatically.</w:t>
      </w:r>
    </w:p>
    <w:p>
      <w:pPr>
        <w:pStyle w:val="ListNumber"/>
      </w:pPr>
      <w:r>
        <w:t>Only items that exist in both the file and the form are updated — new samples stay blank.</w:t>
      </w:r>
    </w:p>
    <w:p>
      <w:r>
        <w:t xml:space="preserve">You can also use </w:t>
      </w:r>
      <w:r>
        <w:rPr>
          <w:b/>
        </w:rPr>
        <w:t>Import JSON</w:t>
      </w:r>
      <w:r>
        <w:t xml:space="preserve"> if you exported in that format.</w:t>
      </w:r>
    </w:p>
    <w:p>
      <w:pPr>
        <w:pStyle w:val="Heading2"/>
      </w:pPr>
      <w:r>
        <w:rPr>
          <w:color w:val="2E74B5"/>
        </w:rPr>
        <w:t>Prefer a spreadsheet?</w:t>
      </w:r>
    </w:p>
    <w:p>
      <w:r>
        <w:t xml:space="preserve">Open </w:t>
      </w:r>
      <w:r>
        <w:rPr>
          <w:b/>
        </w:rPr>
        <w:t>`annotation_backup.xlsx`</w:t>
      </w:r>
      <w:r>
        <w:t xml:space="preserve"> in the same folder. Each dataset is a separate sheet (SciFact, HotpotQA, BioASQ). Fill only the </w:t>
      </w:r>
      <w:r>
        <w:rPr>
          <w:b/>
        </w:rPr>
        <w:t>rating</w:t>
      </w:r>
      <w:r>
        <w:t xml:space="preserve"> column (dropdown provided) and the </w:t>
      </w:r>
      <w:r>
        <w:rPr>
          <w:b/>
        </w:rPr>
        <w:t>notes</w:t>
      </w:r>
      <w:r>
        <w:t xml:space="preserve"> column. Return the completed Excel file to the project lead.</w:t>
      </w:r>
    </w:p>
    <w:p>
      <w:r>
        <w:t xml:space="preserve">Per-dataset CSVs are also available in the </w:t>
      </w:r>
      <w:r>
        <w:rPr>
          <w:rFonts w:ascii="Courier New" w:hAnsi="Courier New"/>
          <w:sz w:val="20"/>
        </w:rPr>
        <w:t>csv_backups/</w:t>
      </w:r>
      <w:r>
        <w:t xml:space="preserve"> folder if you prefer working one section at a time.</w:t>
      </w:r>
    </w:p>
    <w:p>
      <w:pPr>
        <w:pStyle w:val="Heading2"/>
      </w:pPr>
      <w:r>
        <w:rPr>
          <w:color w:val="2E74B5"/>
        </w:rPr>
        <w:t>Tips</w:t>
      </w:r>
    </w:p>
    <w:p>
      <w:pPr>
        <w:pStyle w:val="ListBullet"/>
      </w:pPr>
      <w:r>
        <w:t xml:space="preserve">The </w:t>
      </w:r>
      <w:r>
        <w:rPr>
          <w:b/>
        </w:rPr>
        <w:t>Filter</w:t>
      </w:r>
      <w:r>
        <w:t xml:space="preserve"> dropdown lets you show only unstarted or already-annotated items.</w:t>
      </w:r>
    </w:p>
    <w:p>
      <w:pPr>
        <w:pStyle w:val="ListBullet"/>
      </w:pPr>
      <w:r>
        <w:t xml:space="preserve">The </w:t>
      </w:r>
      <w:r>
        <w:rPr>
          <w:b/>
        </w:rPr>
        <w:t>Search</w:t>
      </w:r>
      <w:r>
        <w:t xml:space="preserve"> box searches query text and your notes.</w:t>
      </w:r>
    </w:p>
    <w:p>
      <w:pPr>
        <w:pStyle w:val="ListBullet"/>
      </w:pPr>
      <w:r>
        <w:t>Metric scores (F1, Semantic, nDCG) are shown for reference only — base your rating on the answer content, not on these numbers.</w:t>
      </w:r>
    </w:p>
    <w:p>
      <w:pPr>
        <w:pStyle w:val="ListBullet"/>
      </w:pPr>
      <w:r>
        <w:t xml:space="preserve">If you are unsure, use </w:t>
      </w:r>
      <w:r>
        <w:rPr>
          <w:rFonts w:ascii="Courier New" w:hAnsi="Courier New"/>
          <w:sz w:val="20"/>
        </w:rPr>
        <w:t>NOT_ENOUGH_INFO</w:t>
      </w:r>
      <w:r>
        <w:t xml:space="preserve"> rather than guessing.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