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</w:pPr>
      <w:r>
        <w:rPr>
          <w:rFonts w:ascii="Times New Roman" w:hAnsi="Times New Roman"/>
          <w:color w:val="000000"/>
        </w:rPr>
        <w:t>Cardiac/Vagal Signals: LF and HF</w:t>
      </w:r>
    </w:p>
    <w:p>
      <w:pPr>
        <w:widowControl/>
      </w:pPr>
      <w:r>
        <w:rPr>
          <w:rFonts w:ascii="Times New Roman" w:hAnsi="Times New Roman"/>
          <w:color w:val="000000"/>
        </w:rPr>
        <w:t>Joel and Gemini</w:t>
      </w:r>
    </w:p>
    <w:p>
      <w:pPr>
        <w:widowControl/>
      </w:pPr>
      <w:r>
        <w:t>03/17/2026</w:t>
      </w:r>
    </w:p>
    <w:p>
      <w:pPr>
        <w:widowControl/>
      </w:pPr>
      <w:r>
        <w:rPr>
          <w:rFonts w:ascii="Times New Roman" w:hAnsi="Times New Roman"/>
          <w:color w:val="000000"/>
        </w:rPr>
        <w:t>Low Frequency (LF) and High Frequency (HF) components are best interpreted through Heart Rate Variability (HRV), which reflects millisecond-level variation between consecutive heartbeats (R-R intervals), rather than heart rate alone.</w:t>
      </w:r>
    </w:p>
    <w:p>
      <w:pPr>
        <w:widowControl/>
      </w:pPr>
      <w:r>
        <w:rPr>
          <w:rFonts w:ascii="Times New Roman" w:hAnsi="Times New Roman"/>
          <w:color w:val="000000"/>
        </w:rPr>
        <w:t>Applying Power Spectral Density (PSD) analysis (typically via Fourier methods) converts HRV from the time domain to the frequency domain. This provides a non-invasive perspective on autonomic regulation by quantifying signal power (variance) within physiologically relevant bands.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1) Frequency-Domain Foundations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High Frequency (HF): Vagal-Dominant Activity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Typical band: 0.15-0.40 Hz.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Primary physiological driver: parasympathetic (vagal) modulation.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Mechanistic anchor: Respiratory Sinus Arrhythmia (RSA), where heart rate rises during inhalation (vagal withdrawal) and falls during exhalation (vagal activation).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Clinical/functional interpretation: higher HF power generally corresponds to improved recovery state, greater vagal tone, and lower acute stress load.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Low Frequency (LF): Mixed Autonomic and Baroreflex Signal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Typical band: 0.04-0.15 Hz.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Physiological interpretation: mixed sympathetic and parasympathetic contributions; not purely sympathetic.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Major contributor: baroreflex-mediated blood-pressure regulation.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Resonance phenomenon: at approximately 6 breaths per minute (~0.1 Hz), LF power often increases markedly due to stronger cardiorespiratory coupling.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Measurement note: when comparing sessions, control breathing cadence where possible, as respiration shifts can redistribute spectral power independent of recovery state.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LF/HF Ratio: Limits of the "Balance" Model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Historical convention: LF/HF was used as a proxy for "sympathovagal balance."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Current position: this interpretation is overly reductive because LF contains dual-branch influences.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Preferred context metrics: total power (global ANS adaptability) and normalized units (relative LF/HF contribution within total power).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Interpretive best practice: pair one vagal-sensitive metric (HF or RMSSD) with one context metric (for example, resting heart rate or total power) to reduce overinterpretation.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Mathematical and Engineering Context</w:t>
      </w:r>
    </w:p>
    <w:p>
      <w:pPr>
        <w:keepLines/>
        <w:widowControl/>
      </w:pPr>
      <w:r>
        <w:rPr>
          <w:rFonts w:ascii="Times New Roman" w:hAnsi="Times New Roman"/>
          <w:color w:val="000000"/>
        </w:rPr>
        <w:t>Band-limited power is defined as the integral of PSD over the corresponding frequency limits.</w:t>
      </w:r>
    </w:p>
    <w:p>
      <w:pPr>
        <w:keepLines/>
        <w:widowControl/>
        <w:jc w:val="center"/>
      </w:pPr>
      <m:oMath>
        <m:sSub>
          <m:e>
            <m:r>
              <m:t>P</m:t>
            </m:r>
          </m:e>
          <m:sub>
            <m:r>
              <m:t>HF</m:t>
            </m:r>
          </m:sub>
        </m:sSub>
        <m:r>
          <m:t xml:space="preserve"> = </m:t>
        </m:r>
        <m:nary>
          <m:naryPr>
            <m:chr m:val="∫"/>
            <m:limLoc m:val="undOvr"/>
          </m:naryPr>
          <m:sub>
            <m:r>
              <m:t>0.15</m:t>
            </m:r>
          </m:sub>
          <m:sup>
            <m:r>
              <m:t>0.40</m:t>
            </m:r>
          </m:sup>
          <m:e>
            <m:r>
              <m:t>S(f) df</m:t>
            </m:r>
          </m:e>
        </m:nary>
      </m:oMath>
    </w:p>
    <w:p>
      <w:pPr>
        <w:widowControl/>
      </w:pPr>
      <w:r>
        <w:rPr>
          <w:rFonts w:ascii="Times New Roman" w:hAnsi="Times New Roman"/>
          <w:color w:val="000000"/>
        </w:rPr>
        <w:t>From a control-systems perspective, frequency-band power can be interpreted as oscillatory strength within biological feedback loops. Greater coherent power typically indicates more responsive and adaptable regulation.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Summary Table of Frequency Domains</w:t>
      </w:r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1: Frequency-domain metrics and interpretation.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Band/Metric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Range / Formula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Primary Drivers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Interpretive Use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0.15-0.40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Predominantly parasympathetic (vagal), respiration-linked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Recovery state and vagal modulation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0.04-0.15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Mixed autonomic input with prominent baroreflex contribution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Context-dependent regulatory signal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LF/HF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LF / 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Composite ratio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Not a direct branch-isolation index</w:t>
            </w:r>
          </w:p>
        </w:tc>
      </w:tr>
    </w:tbl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2) LF/HF Variability and Trend Tracking</w:t>
      </w:r>
    </w:p>
    <w:p>
      <w:pPr>
        <w:widowControl/>
      </w:pPr>
      <w:r>
        <w:rPr>
          <w:rFonts w:ascii="Times New Roman" w:hAnsi="Times New Roman"/>
          <w:color w:val="000000"/>
        </w:rPr>
        <w:t>LF/HF should be treated as a dynamic regulatory marker rather than a fixed personal constant. Substantial intra-individual variation is expected.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Expected Sources of Day-to-Day Variation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Circadian effects: LF tends to be relatively higher in morning periods; HF is often highest during deep sleep.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Post-prandial effects: digestion can temporarily increase vagal activity and lower LF/HF.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Hydration and stimulants: dehydration may elevate LF; caffeine can increase sympathetic drive.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Psychological state: brief cognitive or emotional stress can materially influence short recordings.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Methods That Improve Trend Reliability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Use rolling baselines (for example, 7-day moving averages) rather than isolated single-day values.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A sustained upward drift in LF/HF may indicate cumulative stress burden or incomplete recovery.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Track variability as well as central tendency (for example, coefficient of variation).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Standardize capture conditions: 3-5 minutes immediately after waking, before caffeine, in a fixed body position.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Log major confounders (sleep disruption, illness onset, caffeine timing, and training load) to improve interpretation.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Normalized Units (nHF) for Improved Interpretability</w:t>
      </w:r>
    </w:p>
    <w:p>
      <w:pPr>
        <w:widowControl/>
      </w:pPr>
      <w:r>
        <w:rPr>
          <w:rFonts w:ascii="Times New Roman" w:hAnsi="Times New Roman"/>
          <w:color w:val="000000"/>
        </w:rPr>
        <w:t>Because LF/HF can be mathematically noisy, normalized metrics are often preferred.</w:t>
      </w:r>
    </w:p>
    <w:p>
      <w:pPr>
        <w:keepLines/>
        <w:widowControl/>
        <w:jc w:val="center"/>
      </w:pPr>
      <m:oMath>
        <m:r>
          <m:t xml:space="preserve">nHF = </m:t>
        </m:r>
        <m:f>
          <m:num>
            <m:r>
              <m:t>HF</m:t>
            </m:r>
          </m:num>
          <m:den>
            <m:r>
              <m:t>Total Power - VLF</m:t>
            </m:r>
          </m:den>
        </m:f>
        <m:r>
          <m:t xml:space="preserve"> × 100</m:t>
        </m:r>
      </m:oMath>
    </w:p>
    <w:p>
      <w:pPr>
        <w:widowControl/>
      </w:pPr>
      <w:r>
        <w:rPr>
          <w:rFonts w:ascii="Times New Roman" w:hAnsi="Times New Roman"/>
          <w:color w:val="000000"/>
        </w:rPr>
        <w:t>nHF represents the proportion of autonomic power allocated to recovery-associated (vagal) activity and is often easier to track longitudinally.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Three-Minute Session Comparison Framework</w:t>
      </w:r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2: Preferred interpretation strategy for short sessions.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Comparison Mode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Random daytime averaging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Do not use as primary trend metric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Confounded by uncontrolled context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Standardized morning baseline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Preferred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Highest repeatability and interpretive clarity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Single-day interpretation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Use with caution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Insufficient to infer stable autonomic trend</w:t>
            </w:r>
          </w:p>
        </w:tc>
      </w:tr>
    </w:tbl>
    <w:p>
      <w:pPr>
        <w:widowControl/>
      </w:pPr>
      <w:r>
        <w:rPr>
          <w:rFonts w:ascii="Times New Roman" w:hAnsi="Times New Roman"/>
          <w:color w:val="000000"/>
        </w:rPr>
        <w:t>Operational guidance: prioritize morning baseline trajectories. A sustained 3-5 day increase in LF/HF, or sustained decline in HF power, is a stronger signal of rising recovery demand.</w:t>
      </w:r>
    </w:p>
    <w:p>
      <w:pPr>
        <w:widowControl/>
      </w:pPr>
      <w:r>
        <w:rPr>
          <w:rFonts w:ascii="Times New Roman" w:hAnsi="Times New Roman"/>
          <w:color w:val="000000"/>
        </w:rPr>
        <w:t>Threshold guidance should be individualized from baseline distributions rather than taken from fixed population cutoffs.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3) Time-Domain Metrics: RMSSD and SDNN</w:t>
      </w:r>
    </w:p>
    <w:p>
      <w:pPr>
        <w:widowControl/>
      </w:pPr>
      <w:r>
        <w:rPr>
          <w:rFonts w:ascii="Times New Roman" w:hAnsi="Times New Roman"/>
          <w:color w:val="000000"/>
        </w:rPr>
        <w:t>Time-domain analysis simplifies computation relative to spectral analysis, but high-quality interpretation still depends on strict measurement consistency.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Core Definitions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RMSSD (Root Mean Square of Successive Differences): short-lag beat-to-beat variability and primary time-domain proxy for parasympathetic modulation.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SDNN (Standard Deviation of NN intervals): aggregate variability metric reflecting broad autonomic influences; highly dependent on recording duration.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Protocol for Longitudinal Use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Timing: immediately upon waking (fasted/rested state).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Duration: 3-5 minutes.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Posture: maintain a fixed posture across days (supine or seated).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Interpretation method: compare against baseline plus standard deviation bands rather than reacting to isolated values.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Baseline window: approximately 14 days before making stronger inferences.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Amber zone: RMSSD decrease of ~0.5 to 1.0 SD below baseline may indicate meaningful systemic stress/fatigue.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Red zone: RMSSD decrease &gt;1.5 SD often aligns with overreaching, illness, or high psychological stress.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Monitoring During Electrotherapy Sessions</w:t>
      </w:r>
    </w:p>
    <w:p>
      <w:pPr>
        <w:widowControl/>
      </w:pPr>
      <w:r>
        <w:rPr>
          <w:rFonts w:ascii="Times New Roman" w:hAnsi="Times New Roman"/>
          <w:color w:val="000000"/>
        </w:rPr>
        <w:t>Within-session monitoring can be useful, provided artifact risk is actively managed.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RMSSD can function as a pragmatic bio-safety marker during treatment.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A transient onset drop is commonly observed during initial stimulus adaptation.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The key observation is trajectory: rebound/stability is preferable to persistent decline.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In short windows, RMSSD is generally more actionable than SDNN due to faster response to vagal shifts.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Data quality rule: an artifact-free short recording is more valuable than a longer recording with unstable beat detection.</w:t>
      </w:r>
    </w:p>
    <w:p>
      <w:pPr>
        <w:pStyle w:val="ListBullet"/>
        <w:keepLines/>
        <w:widowControl/>
      </w:pPr>
      <w:r>
        <w:rPr>
          <w:rFonts w:ascii="Times New Roman" w:hAnsi="Times New Roman"/>
          <w:color w:val="000000"/>
        </w:rPr>
        <w:t>Periodic calibration using occasional longer standardized sessions can validate that short-form monitoring remains aligned with broader trends.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Technical Limitation: Signal Artifacts</w:t>
      </w:r>
    </w:p>
    <w:p>
      <w:pPr>
        <w:widowControl/>
      </w:pPr>
      <w:r>
        <w:rPr>
          <w:rFonts w:ascii="Times New Roman" w:hAnsi="Times New Roman"/>
          <w:color w:val="000000"/>
        </w:rPr>
        <w:t>Electrotherapy systems (including TENS and interferential modalities) may inject electrical noise into ECG or PPG acquisition. If interference is misclassified as valid beats, RMSSD may appear spuriously elevated or erratic.</w:t>
      </w:r>
    </w:p>
    <w:p>
      <w:pPr>
        <w:pStyle w:val="Heading3"/>
        <w:keepNext/>
        <w:widowControl/>
      </w:pPr>
      <w:r>
        <w:rPr>
          <w:rFonts w:ascii="Times New Roman" w:hAnsi="Times New Roman"/>
          <w:color w:val="000000"/>
        </w:rPr>
        <w:t>Comparison of Common Metrics</w:t>
      </w:r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3: Strengths and limitations of commonly tracked metrics.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Primary Strength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Primary Limitation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RMSSD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Sensitive short-term vagal marker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Vulnerable to beat-detection artifact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SDNN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Broad total-variability representation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Weak interpretability in very short recordings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LF/HF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Frequency-domain context marker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Not a direct sympathetic-vs-parasympathetic split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color w:val="000000"/>
        <w:sz w:val="20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