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widowControl/>
      </w:pPr>
      <w:r>
        <w:rPr>
          <w:rFonts w:ascii="Times New Roman" w:hAnsi="Times New Roman"/>
          <w:color w:val="000000"/>
        </w:rPr>
        <w:t>Cardiac Autonomic Markers in LF/HF and Time Domains</w:t>
      </w:r>
    </w:p>
    <w:p>
      <w:pPr>
        <w:widowControl/>
      </w:pPr>
      <w:r>
        <w:rPr>
          <w:rFonts w:ascii="Times New Roman" w:hAnsi="Times New Roman"/>
          <w:color w:val="000000"/>
        </w:rPr>
        <w:t>Journal-Style Variant</w:t>
      </w:r>
    </w:p>
    <w:p>
      <w:pPr>
        <w:widowControl/>
      </w:pPr>
      <w:r>
        <w:t>Prepared from source document dated 03/17/2026</w:t>
      </w:r>
    </w:p>
    <w:p>
      <w:pPr>
        <w:pStyle w:val="Heading2"/>
        <w:keepNext/>
        <w:widowControl/>
      </w:pPr>
      <w:r>
        <w:rPr>
          <w:rFonts w:ascii="Times New Roman" w:hAnsi="Times New Roman"/>
          <w:color w:val="000000"/>
        </w:rPr>
        <w:t>Abstract</w:t>
      </w:r>
    </w:p>
    <w:p>
      <w:pPr>
        <w:widowControl/>
      </w:pPr>
      <w:r>
        <w:rPr>
          <w:rFonts w:ascii="Times New Roman" w:hAnsi="Times New Roman"/>
          <w:color w:val="000000"/>
        </w:rPr>
        <w:t>Heart Rate Variability (HRV) frequency-domain metrics (LF, HF, and LF/HF) and time-domain metrics (RMSSD, SDNN) are useful but context-sensitive indicators of autonomic regulation. HF (0.15-0.40 Hz) is predominantly vagal and respiration-linked, LF (0.04-0.15 Hz) reflects mixed autonomic influence with substantial baroreflex contribution, and LF/HF is best interpreted as a contextual composite rather than a branch-specific index. Reliable trend analysis requires standardized acquisition, artifact control, and baseline-referenced interpretation.</w:t>
      </w:r>
    </w:p>
    <w:p>
      <w:pPr>
        <w:pStyle w:val="Heading2"/>
        <w:keepNext/>
        <w:widowControl/>
      </w:pPr>
      <w:r>
        <w:rPr>
          <w:rFonts w:ascii="Times New Roman" w:hAnsi="Times New Roman"/>
          <w:color w:val="000000"/>
        </w:rPr>
        <w:t>1. Background</w:t>
      </w:r>
    </w:p>
    <w:p>
      <w:pPr>
        <w:widowControl/>
      </w:pPr>
      <w:r>
        <w:rPr>
          <w:rFonts w:ascii="Times New Roman" w:hAnsi="Times New Roman"/>
          <w:color w:val="000000"/>
        </w:rPr>
        <w:t>HRV captures beat-to-beat R-R interval variability. Spectral decomposition via PSD estimates the distribution of variance across physiological frequency bands, offering a practical non-invasive window into autonomic control dynamics.</w:t>
      </w:r>
    </w:p>
    <w:p>
      <w:pPr>
        <w:pStyle w:val="Heading2"/>
        <w:keepNext/>
        <w:widowControl/>
      </w:pPr>
      <w:r>
        <w:rPr>
          <w:rFonts w:ascii="Times New Roman" w:hAnsi="Times New Roman"/>
          <w:color w:val="000000"/>
        </w:rPr>
        <w:t>2. Frequency-Domain Interpretation</w:t>
      </w:r>
    </w:p>
    <w:p>
      <w:pPr>
        <w:widowControl/>
      </w:pPr>
      <w:r>
        <w:rPr>
          <w:rFonts w:ascii="Times New Roman" w:hAnsi="Times New Roman"/>
          <w:color w:val="000000"/>
        </w:rPr>
        <w:t>HF (0.15-0.40 Hz) is primarily associated with parasympathetic modulation and RSA.</w:t>
      </w:r>
    </w:p>
    <w:p>
      <w:pPr>
        <w:widowControl/>
      </w:pPr>
      <w:r>
        <w:rPr>
          <w:rFonts w:ascii="Times New Roman" w:hAnsi="Times New Roman"/>
          <w:color w:val="000000"/>
        </w:rPr>
        <w:t>LF (0.04-0.15 Hz) includes mixed autonomic influences and is strongly shaped by baroreflex mechanisms.</w:t>
      </w:r>
    </w:p>
    <w:p>
      <w:pPr>
        <w:widowControl/>
      </w:pPr>
      <w:r>
        <w:rPr>
          <w:rFonts w:ascii="Times New Roman" w:hAnsi="Times New Roman"/>
          <w:color w:val="000000"/>
        </w:rPr>
        <w:t>LF/HF should not be used as a direct sympathetic-to-parasympathetic ratio in isolation.</w:t>
      </w:r>
    </w:p>
    <w:p>
      <w:pPr>
        <w:widowControl/>
        <w:jc w:val="center"/>
      </w:pPr>
      <m:oMath>
        <m:sSub>
          <m:e>
            <m:r>
              <m:t>P</m:t>
            </m:r>
          </m:e>
          <m:sub>
            <m:r>
              <m:t>HF</m:t>
            </m:r>
          </m:sub>
        </m:sSub>
        <m:r>
          <m:t xml:space="preserve"> = </m:t>
        </m:r>
        <m:nary>
          <m:naryPr>
            <m:chr m:val="∫"/>
            <m:limLoc m:val="undOvr"/>
          </m:naryPr>
          <m:sub>
            <m:r>
              <m:t>0.15</m:t>
            </m:r>
          </m:sub>
          <m:sup>
            <m:r>
              <m:t>0.40</m:t>
            </m:r>
          </m:sup>
          <m:e>
            <m:r>
              <m:t>S(f) df</m:t>
            </m:r>
          </m:e>
        </m:nary>
      </m:oMath>
    </w:p>
    <w:p>
      <w:pPr>
        <w:widowControl/>
        <w:jc w:val="center"/>
      </w:pPr>
      <m:oMath>
        <m:r>
          <m:t xml:space="preserve">nHF = </m:t>
        </m:r>
        <m:f>
          <m:num>
            <m:r>
              <m:t>HF</m:t>
            </m:r>
          </m:num>
          <m:den>
            <m:r>
              <m:t>Total Power - VLF</m:t>
            </m:r>
          </m:den>
        </m:f>
        <m:r>
          <m:t xml:space="preserve"> × 100</m:t>
        </m:r>
      </m:oMath>
    </w:p>
    <w:p>
      <w:pPr>
        <w:pStyle w:val="Caption"/>
        <w:keepNext/>
        <w:widowControl/>
      </w:pPr>
      <w:r>
        <w:rPr>
          <w:rFonts w:ascii="Times New Roman" w:hAnsi="Times New Roman"/>
          <w:color w:val="000000"/>
        </w:rPr>
        <w:t>Table 1: Frequency-domain definitions and interpretive cautions.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Range / Formula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Physiological Weighting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Interpretive Note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HF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0.15-0.40 Hz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Predominantly vagal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Recovery-sensitive when measured under stable conditions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LF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0.04-0.15 Hz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Mixed ANS + baroreflex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Not purely sympathetic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LF/HF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LF / HF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Composite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Contextual marker, not branch-isolation</w:t>
            </w:r>
          </w:p>
        </w:tc>
      </w:tr>
    </w:tbl>
    <w:p>
      <w:pPr>
        <w:pStyle w:val="Heading2"/>
        <w:keepNext/>
        <w:widowControl/>
      </w:pPr>
      <w:r>
        <w:rPr>
          <w:rFonts w:ascii="Times New Roman" w:hAnsi="Times New Roman"/>
          <w:color w:val="000000"/>
        </w:rPr>
        <w:t>3. Trend Acquisition Protocol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Use 3-5 minute recordings immediately upon waking, before caffeine, with fixed posture.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Prefer rolling baselines (for example, 7-day means) over isolated values.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Capture major confounders (sleep, illness, hydration, stimulant timing, training load).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Control breathing cadence during comparisons, as respiration shifts can alter spectral allocation.</w:t>
      </w:r>
    </w:p>
    <w:p>
      <w:pPr>
        <w:pStyle w:val="Heading2"/>
        <w:keepNext/>
        <w:widowControl/>
      </w:pPr>
      <w:r>
        <w:rPr>
          <w:rFonts w:ascii="Times New Roman" w:hAnsi="Times New Roman"/>
          <w:color w:val="000000"/>
        </w:rPr>
        <w:t>4. Time-Domain Metrics and Operational Thresholds</w:t>
      </w:r>
    </w:p>
    <w:p>
      <w:pPr>
        <w:widowControl/>
      </w:pPr>
      <w:r>
        <w:rPr>
          <w:rFonts w:ascii="Times New Roman" w:hAnsi="Times New Roman"/>
          <w:color w:val="000000"/>
        </w:rPr>
        <w:t>RMSSD is the primary short-window vagal proxy; SDNN reflects broader total variability with duration dependence.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Baseline window: approximately 14 days.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Amber condition: RMSSD decrease of about 0.5-1.0 SD below baseline.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Red condition: RMSSD decrease greater than 1.5 SD below baseline.</w:t>
      </w:r>
    </w:p>
    <w:p>
      <w:pPr>
        <w:pStyle w:val="Heading2"/>
        <w:keepNext/>
        <w:widowControl/>
      </w:pPr>
      <w:r>
        <w:rPr>
          <w:rFonts w:ascii="Times New Roman" w:hAnsi="Times New Roman"/>
          <w:color w:val="000000"/>
        </w:rPr>
        <w:t>5. Electrotherapy Monitoring Considerations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Short transient RMSSD decreases at stimulation onset can be expected.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Persistent downward RMSSD drift may indicate excessive stimulation burden.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Electrotherapy-related electrical interference can corrupt ECG/PPG beat detection.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Artifact-free recordings should be prioritized over longer noisy recordings.</w:t>
      </w:r>
    </w:p>
    <w:p>
      <w:pPr>
        <w:pStyle w:val="Caption"/>
        <w:keepNext/>
        <w:widowControl/>
      </w:pPr>
      <w:r>
        <w:rPr>
          <w:rFonts w:ascii="Times New Roman" w:hAnsi="Times New Roman"/>
          <w:color w:val="000000"/>
        </w:rPr>
        <w:t>Table 2: Practical metric selection in short-session monitoring.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Preferred Use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Primary Caveat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RMSSD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Short-session bio-safety and recovery trend tracking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Artifact sensitivity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SDNN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Longer-duration total variability context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Weak in short windows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LF/HF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Supplementary frequency-domain context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Oversimplified if used alone</w:t>
            </w:r>
          </w:p>
        </w:tc>
      </w:tr>
    </w:tbl>
    <w:p>
      <w:pPr>
        <w:pStyle w:val="Heading2"/>
        <w:keepNext/>
        <w:widowControl/>
      </w:pPr>
      <w:r>
        <w:rPr>
          <w:rFonts w:ascii="Times New Roman" w:hAnsi="Times New Roman"/>
          <w:color w:val="000000"/>
        </w:rPr>
        <w:t>6. Integrated Interpretation Guidance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Use metric pairs (for example, RMSSD + resting heart rate or HF + total power) for better contextual decisions.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Interpret thresholds as individualized baseline deviations, not fixed universal cutoffs.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Perform occasional longer standardized sessions to verify that short-form trends remain calibrated.</w:t>
      </w:r>
    </w:p>
    <w:p>
      <w:pPr>
        <w:pStyle w:val="Heading2"/>
        <w:keepNext/>
        <w:widowControl/>
      </w:pPr>
      <w:r>
        <w:rPr>
          <w:rFonts w:ascii="Times New Roman" w:hAnsi="Times New Roman"/>
          <w:color w:val="000000"/>
        </w:rPr>
        <w:t>Conclusion</w:t>
      </w:r>
    </w:p>
    <w:p>
      <w:pPr>
        <w:widowControl/>
      </w:pPr>
      <w:r>
        <w:rPr>
          <w:rFonts w:ascii="Times New Roman" w:hAnsi="Times New Roman"/>
          <w:color w:val="000000"/>
        </w:rPr>
        <w:t>Robust HRV interpretation requires combining physiological theory with disciplined measurement practice. When acquisition is standardized and artifact control is explicit, frequency- and time-domain metrics provide actionable and complementary insight into autonomic state.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/>
        <w:color w:val="000000"/>
        <w:sz w:val="20"/>
      </w:rPr>
      <w:t xml:space="preserve">Page </w:t>
    </w:r>
    <w:r>
      <w:fldChar w:fldCharType="begin"/>
      <w:instrText xml:space="preserve"> PAGE </w:instrText>
      <w:fldChar w:fldCharType="separate">
        <w:t>1</w:t>
      </w:fldCha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