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  <w:jc w:val="center"/>
      </w:pPr>
      <w:r>
        <w:rPr>
          <w:rFonts w:ascii="Times New Roman" w:hAnsi="Times New Roman"/>
          <w:color w:val="000000"/>
        </w:rPr>
        <w:t>Cardiac Autonomic Markers in LF/HF and Time Domains</w:t>
      </w:r>
    </w:p>
    <w:p>
      <w:pPr>
        <w:widowControl/>
      </w:pPr>
    </w:p>
    <w:p>
      <w:pPr>
        <w:widowControl/>
        <w:jc w:val="center"/>
      </w:pPr>
      <w:r>
        <w:rPr>
          <w:rFonts w:ascii="Times New Roman" w:hAnsi="Times New Roman"/>
          <w:color w:val="000000"/>
        </w:rPr>
        <w:t>Prepared by Joel and Gemini</w:t>
      </w:r>
    </w:p>
    <w:p>
      <w:pPr>
        <w:widowControl/>
        <w:jc w:val="center"/>
      </w:pPr>
      <w:r>
        <w:t>Date: 03/17/2026</w:t>
      </w:r>
    </w:p>
    <w:p>
      <w:pPr>
        <w:widowControl/>
      </w:pPr>
    </w:p>
    <w:p>
      <w:pPr>
        <w:widowControl/>
        <w:jc w:val="center"/>
      </w:pPr>
      <w:r>
        <w:rPr>
          <w:rFonts w:ascii="Times New Roman" w:hAnsi="Times New Roman"/>
          <w:color w:val="000000"/>
        </w:rPr>
        <w:t>Submission-Ready Technical Summary</w:t>
      </w:r>
    </w:p>
    <w:p>
      <w:pPr>
        <w:widowControl/>
      </w:pPr>
      <w:r>
        <w:rPr>
          <w:rFonts w:ascii="Times New Roman" w:hAnsi="Times New Roman"/>
          <w:color w:val="000000"/>
        </w:rPr>
        <w:br w:type="page"/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Abstract</w:t>
      </w:r>
    </w:p>
    <w:p>
      <w:pPr>
        <w:widowControl/>
      </w:pPr>
      <w:r>
        <w:rPr>
          <w:rFonts w:ascii="Times New Roman" w:hAnsi="Times New Roman"/>
          <w:color w:val="000000"/>
        </w:rPr>
        <w:t>Heart Rate Variability (HRV) metrics from frequency-domain (LF, HF, LF/HF) and time-domain (RMSSD, SDNN) analyses provide complementary, context-sensitive insight into autonomic regulation. HF (0.15-0.40 Hz) is predominantly vagal and respiration-linked, LF (0.04-0.15 Hz) reflects mixed autonomic input with substantial baroreflex contribution, and LF/HF is best interpreted as a contextual composite rather than a direct branch-isolation index. Reliable trend tracking requires standardized acquisition timing, artifact control, and individualized baseline interpretation.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1. Background</w:t>
      </w:r>
    </w:p>
    <w:p>
      <w:pPr>
        <w:widowControl/>
      </w:pPr>
      <w:r>
        <w:rPr>
          <w:rFonts w:ascii="Times New Roman" w:hAnsi="Times New Roman"/>
          <w:color w:val="000000"/>
        </w:rPr>
        <w:t>HRV captures beat-to-beat variability in R-R intervals. Spectral decomposition via PSD distributes this variability across physiological bands and yields a non-invasive representation of autonomic control dynamics.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2. Frequency-Domain Interpretation</w:t>
      </w:r>
    </w:p>
    <w:p>
      <w:pPr>
        <w:widowControl/>
      </w:pPr>
      <w:r>
        <w:rPr>
          <w:rFonts w:ascii="Times New Roman" w:hAnsi="Times New Roman"/>
          <w:color w:val="000000"/>
        </w:rPr>
        <w:t>HF (0.15-0.40 Hz) is primarily associated with parasympathetic modulation and Respiratory Sinus Arrhythmia (RSA).</w:t>
      </w:r>
    </w:p>
    <w:p>
      <w:pPr>
        <w:widowControl/>
      </w:pPr>
      <w:r>
        <w:rPr>
          <w:rFonts w:ascii="Times New Roman" w:hAnsi="Times New Roman"/>
          <w:color w:val="000000"/>
        </w:rPr>
        <w:t>LF (0.04-0.15 Hz) includes both sympathetic and parasympathetic influences and is strongly shaped by baroreflex regulation.</w:t>
      </w:r>
    </w:p>
    <w:p>
      <w:pPr>
        <w:widowControl/>
      </w:pPr>
      <w:r>
        <w:rPr>
          <w:rFonts w:ascii="Times New Roman" w:hAnsi="Times New Roman"/>
          <w:color w:val="000000"/>
        </w:rPr>
        <w:t>LF/HF should not be interpreted in isolation as a direct sympathetic-to-parasympathetic ratio.</w:t>
      </w:r>
    </w:p>
    <w:p>
      <w:pPr>
        <w:widowControl/>
        <w:jc w:val="center"/>
      </w:pPr>
      <m:oMath>
        <m:sSub>
          <m:e>
            <m:r>
              <m:t>P</m:t>
            </m:r>
          </m:e>
          <m:sub>
            <m:r>
              <m:t>HF</m:t>
            </m:r>
          </m:sub>
        </m:sSub>
        <m:r>
          <m:t xml:space="preserve"> = </m:t>
        </m:r>
        <m:nary>
          <m:naryPr>
            <m:chr m:val="∫"/>
            <m:limLoc m:val="undOvr"/>
          </m:naryPr>
          <m:sub>
            <m:r>
              <m:t>0.15</m:t>
            </m:r>
          </m:sub>
          <m:sup>
            <m:r>
              <m:t>0.40</m:t>
            </m:r>
          </m:sup>
          <m:e>
            <m:r>
              <m:t>S(f) df</m:t>
            </m:r>
          </m:e>
        </m:nary>
      </m:oMath>
    </w:p>
    <w:p>
      <w:pPr>
        <w:widowControl/>
        <w:jc w:val="center"/>
      </w:pPr>
      <m:oMath>
        <m:r>
          <m:t xml:space="preserve">nHF = </m:t>
        </m:r>
        <m:f>
          <m:num>
            <m:r>
              <m:t>HF</m:t>
            </m:r>
          </m:num>
          <m:den>
            <m:r>
              <m:t>Total Power - VLF</m:t>
            </m:r>
          </m:den>
        </m:f>
        <m:r>
          <m:t xml:space="preserve"> × 100</m:t>
        </m:r>
      </m:oMath>
    </w:p>
    <w:p>
      <w:pPr>
        <w:pStyle w:val="Caption"/>
        <w:keepNext/>
        <w:widowControl/>
      </w:pPr>
      <w:r>
        <w:rPr>
          <w:rFonts w:ascii="Times New Roman" w:hAnsi="Times New Roman"/>
          <w:color w:val="000000"/>
        </w:rPr>
        <w:t>Table 1: Frequency-domain definitions and interpretive cautions.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Range / Formula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Physiological Weighting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Interpretive 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0.15-0.40 Hz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Predominantly vagal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Recovery-sensitive under standardized measurement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0.04-0.15 Hz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Mixed ANS + baroreflex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 a purely sympathetic marker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LF/HF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LF / HF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Composite index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Context marker; avoid over-simplified branch attribution</w:t>
            </w:r>
          </w:p>
        </w:tc>
      </w:tr>
    </w:tbl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3. Measurement Protocol for Trends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Acquire 3-5 minute recordings immediately upon waking, before caffeine, in a fixed posture.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Use rolling baselines (e.g., 7-day averages) rather than isolated daily values.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Control breathing cadence during repeated comparisons, because respiration rate shifts can alter spectral distribution.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Track confounders (sleep disruption, illness onset, hydration status, stimulant timing, and training load).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4. Time-Domain Metrics and Threshold Logic</w:t>
      </w:r>
    </w:p>
    <w:p>
      <w:pPr>
        <w:widowControl/>
      </w:pPr>
      <w:r>
        <w:rPr>
          <w:rFonts w:ascii="Times New Roman" w:hAnsi="Times New Roman"/>
          <w:color w:val="000000"/>
        </w:rPr>
        <w:t>RMSSD is generally the preferred short-session vagal marker; SDNN represents broader total variability but is strongly recording-length dependent.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Establish a baseline over approximately 14 days before strong trend conclusions.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Amber condition: RMSSD decrease of about 0.5 to 1.0 SD below baseline.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Red condition: RMSSD decrease greater than 1.5 SD below baseline.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5. Electrotherapy Monitoring Considerations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A brief RMSSD decrease at stimulation onset can occur during adaptation.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Persistent downward RMSSD drift during a session may indicate excessive stimulation burden.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Electrotherapy-related electrical noise can corrupt ECG/PPG beat detection and inflate or destabilize RMSSD.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Artifact-free short recordings are generally more useful than longer noisy recordings.</w:t>
      </w:r>
    </w:p>
    <w:p>
      <w:pPr>
        <w:pStyle w:val="Caption"/>
        <w:keepNext/>
        <w:widowControl/>
      </w:pPr>
      <w:r>
        <w:rPr>
          <w:rFonts w:ascii="Times New Roman" w:hAnsi="Times New Roman"/>
          <w:color w:val="000000"/>
        </w:rPr>
        <w:t>Table 2: Practical metric selection for short-session monitoring.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Preferred Use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Primary Caveat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RMSSD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Short-session recovery/stress trend and safety context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Sensitive to beat-detection artifacts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SDNN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Longer-window total variability context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Limited interpretive strength in short windows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LF/HF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Supplementary frequency-domain context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Potentially misleading when used alone</w:t>
            </w:r>
          </w:p>
        </w:tc>
      </w:tr>
    </w:tbl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6. Integrated Interpretation Guidance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Pair a vagal-sensitive marker (HF or RMSSD) with a context marker (resting heart rate or total power) for better decision quality.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Use individualized, baseline-referenced thresholds rather than fixed population cutoffs for daily monitoring.</w:t>
      </w:r>
    </w:p>
    <w:p>
      <w:pPr>
        <w:pStyle w:val="ListBullet"/>
        <w:widowControl/>
      </w:pPr>
      <w:r>
        <w:rPr>
          <w:rFonts w:ascii="Times New Roman" w:hAnsi="Times New Roman"/>
          <w:color w:val="000000"/>
        </w:rPr>
        <w:t>Use periodic longer standardized sessions to confirm that short-form trends remain calibrated.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Conclusion</w:t>
      </w:r>
    </w:p>
    <w:p>
      <w:pPr>
        <w:widowControl/>
      </w:pPr>
      <w:r>
        <w:rPr>
          <w:rFonts w:ascii="Times New Roman" w:hAnsi="Times New Roman"/>
          <w:color w:val="000000"/>
        </w:rPr>
        <w:t>Useful HRV interpretation depends on both physiological theory and disciplined measurement practice. With standardized acquisition and explicit artifact management, frequency-domain and time-domain metrics can provide robust, complementary insight into autonomic state.</w:t>
      </w:r>
    </w:p>
    <w:p>
      <w:pPr>
        <w:pStyle w:val="Heading2"/>
        <w:keepNext/>
        <w:widowControl/>
      </w:pPr>
      <w:r>
        <w:rPr>
          <w:rFonts w:ascii="Times New Roman" w:hAnsi="Times New Roman"/>
          <w:color w:val="000000"/>
        </w:rPr>
        <w:t>References (Scaffold)</w:t>
      </w:r>
    </w:p>
    <w:p>
      <w:pPr>
        <w:widowControl/>
      </w:pPr>
      <w:r>
        <w:rPr>
          <w:rFonts w:ascii="Times New Roman" w:hAnsi="Times New Roman"/>
          <w:color w:val="000000"/>
        </w:rPr>
        <w:t>[1] Author(s). Title. Journal/Source. Year;Volume(Issue):Pages. DOI/URL.</w:t>
      </w:r>
    </w:p>
    <w:p>
      <w:pPr>
        <w:widowControl/>
      </w:pPr>
      <w:r>
        <w:rPr>
          <w:rFonts w:ascii="Times New Roman" w:hAnsi="Times New Roman"/>
          <w:color w:val="000000"/>
        </w:rPr>
        <w:t>[2] Author(s). Title. Journal/Source. Year;Volume(Issue):Pages. DOI/URL.</w:t>
      </w:r>
    </w:p>
    <w:p>
      <w:pPr>
        <w:widowControl/>
      </w:pPr>
      <w:r>
        <w:rPr>
          <w:rFonts w:ascii="Times New Roman" w:hAnsi="Times New Roman"/>
          <w:color w:val="000000"/>
        </w:rPr>
        <w:t>[3] Author(s). Title. Journal/Source. Year;Volume(Issue):Pages. DOI/URL.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color w:val="000000"/>
        <w:sz w:val="20"/>
      </w:rPr>
      <w:t xml:space="preserve">Page </w:t>
    </w:r>
    <w: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0"/>
      </w:rPr>
      <w:t>Cardiac Autonomic Markers in LF/HF and Time Domains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