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Footnote Gauntlet</w:t>
      </w:r>
    </w:p>
    <w:p>
      <w:r>
        <w:t>The International Verification Commission published its annual report in March 2024.</w:t>
      </w:r>
      <w:r>
        <w:rPr>
          <w:rStyle w:val="FootnoteReference"/>
        </w:rPr>
        <w:footnoteReference w:id="1"/>
      </w:r>
      <w:r>
        <w:t xml:space="preserve"> The report cited findings from three independent laboratories</w:t>
      </w:r>
      <w:r>
        <w:rPr>
          <w:rStyle w:val="FootnoteReference"/>
        </w:rPr>
        <w:footnoteReference w:id="2"/>
      </w:r>
      <w:r>
        <w:t>, confirming earlier estimates of the compound’s stability under pressure.</w:t>
      </w:r>
      <w:r>
        <w:rPr>
          <w:rStyle w:val="FootnoteReference"/>
        </w:rPr>
        <w:footnoteReference w:id="3"/>
      </w:r>
      <w:r>
        <w:t xml:space="preserve"> All measurements were conducted under standard conditions.</w:t>
      </w:r>
    </w:p>
    <w:p/>
    <w:p>
      <w:r>
        <w:t xml:space="preserve">Methodological note </w:t>
      </w:r>
      <w:r>
        <w:rPr>
          <w:vertAlign w:val="superscript"/>
        </w:rPr>
        <w:t>4</w:t>
      </w:r>
      <w:r>
        <w:t>: The sampling interval was adjusted to account for seasonal variation. Readers should consult the supplementary materials for details.</w:t>
      </w:r>
    </w:p>
    <w:p>
      <w:r>
        <w:rPr>
          <w:vertAlign w:val="superscript"/>
        </w:rPr>
        <w:t>4</w:t>
      </w:r>
      <w:r>
        <w:t xml:space="preserve"> Note on methodology: The seasonal correction factor was derived from a 10-year moving average of baseline measurements taken at monthly intervals. This annotation is plain body text formatted to resemble a footnote — it has no OOXML footnote reference and should NOT be parsed as a Footnote element.</w:t>
      </w:r>
    </w:p>
    <w:p>
      <w:pPr>
        <w:pStyle w:val="Heading1"/>
      </w:pPr>
      <w:r>
        <w:t>Headings and Their Impostors</w:t>
      </w:r>
    </w:p>
    <w:p>
      <w:pPr>
        <w:pStyle w:val="Heading2"/>
      </w:pPr>
      <w:r>
        <w:t>The Heading Hierarchy</w:t>
      </w:r>
    </w:p>
    <w:p>
      <w:r>
        <w:t>This section tests whether the parser can distinguish Word heading styles from visual imitations created with font formatting alone.</w:t>
      </w:r>
    </w:p>
    <w:p>
      <w:r>
        <w:rPr>
          <w:b/>
          <w:sz w:val="28"/>
        </w:rPr>
        <w:t>The Subcommittee on Subheadings</w:t>
      </w:r>
    </w:p>
    <w:p>
      <w:r>
        <w:t>The bold 14 pt paragraph above masquerades as a heading. A style-aware parser will recognise it has no heading paragraph style; a naive parser keying only on font weight and size may promote it.</w:t>
      </w:r>
    </w:p>
    <w:p>
      <w:r>
        <w:rPr>
          <w:sz w:val="22"/>
        </w:rPr>
        <w:t>THIS ENTIRELY UPPERCASE PARAGRAPH COULD FOOL A NAIVE CLASSIFIER</w:t>
      </w:r>
    </w:p>
    <w:p>
      <w:r>
        <w:t>The all-caps paragraph above is also styled as body text. Its visual prominence is an artefact of the author typing in uppercase, not of applying a heading style.</w:t>
      </w:r>
    </w:p>
    <w:p>
      <w:pPr>
        <w:pStyle w:val="Heading3"/>
      </w:pPr>
      <w:r>
        <w:t>Genuine Subsection</w:t>
      </w:r>
    </w:p>
    <w:p>
      <w:r>
        <w:t>Only this paragraph carries a proper Word heading style (Heading 3). A compliant parser must preserve the three-level gap between the H1 above and this H3 — no implicit H2 should be inferred.</w:t>
      </w:r>
    </w:p>
    <w:p>
      <w:pPr>
        <w:pStyle w:val="Heading1"/>
      </w:pPr>
      <w:r>
        <w:t>The List Labyrinth</w:t>
      </w:r>
    </w:p>
    <w:p>
      <w:pPr>
        <w:pStyle w:val="ListBullet"/>
      </w:pPr>
      <w:r>
        <w:t>Alpha-level item</w:t>
      </w:r>
    </w:p>
    <w:p>
      <w:pPr>
        <w:pStyle w:val="ListBullet2"/>
      </w:pPr>
      <w:r>
        <w:t>Beta-level item (nested once)</w:t>
      </w:r>
    </w:p>
    <w:p>
      <w:pPr>
        <w:pStyle w:val="ListBullet3"/>
      </w:pPr>
      <w:r>
        <w:t>Gamma-level item (nested twice)</w:t>
      </w:r>
    </w:p>
    <w:p>
      <w:pPr>
        <w:pStyle w:val="ListBullet3"/>
      </w:pPr>
      <w:r>
        <w:t>Another gamma-level item — parser should see list continuation</w:t>
      </w:r>
    </w:p>
    <w:p>
      <w:pPr>
        <w:pStyle w:val="ListBullet2"/>
      </w:pPr>
      <w:r>
        <w:t>Beta-level item two</w:t>
      </w:r>
    </w:p>
    <w:p>
      <w:pPr>
        <w:pStyle w:val="ListBullet"/>
      </w:pPr>
      <w:r>
        <w:t>Alpha-level item two</w:t>
      </w:r>
    </w:p>
    <w:p>
      <w:pPr>
        <w:pStyle w:val="ListBullet"/>
      </w:pPr>
      <w:r>
        <w:t>Alpha-level item three</w:t>
      </w:r>
    </w:p>
    <w:p/>
    <w:p>
      <w:r>
        <w:t>1. The first pseudo-item stands alone as a plain paragraph.</w:t>
      </w:r>
    </w:p>
    <w:p>
      <w:r>
        <w:t>2. The second pseudo-item looks numbered but lacks list formatting.</w:t>
      </w:r>
    </w:p>
    <w:p>
      <w:r>
        <w:t>3. The third pseudo-item completes the impostor sequence.</w:t>
      </w:r>
    </w:p>
    <w:p>
      <w:r>
        <w:t xml:space="preserve">   a. This sub-item is also fake — just indented plain text.</w:t>
      </w:r>
    </w:p>
    <w:p/>
    <w:p>
      <w:pPr>
        <w:pStyle w:val="ListNumber"/>
      </w:pPr>
      <w:r>
        <w:t>Genuine first numbered item</w:t>
      </w:r>
    </w:p>
    <w:p>
      <w:pPr>
        <w:pStyle w:val="ListNumber2"/>
      </w:pPr>
      <w:r>
        <w:t>Genuine nested numbered item</w:t>
      </w:r>
    </w:p>
    <w:p>
      <w:pPr>
        <w:pStyle w:val="ListNumber3"/>
      </w:pPr>
      <w:r>
        <w:t>Genuinely deep numbered item</w:t>
      </w:r>
    </w:p>
    <w:p>
      <w:pPr>
        <w:pStyle w:val="ListNumber"/>
      </w:pPr>
      <w:r>
        <w:t>Genuine second numbered item</w:t>
      </w:r>
    </w:p>
    <w:p>
      <w:pPr>
        <w:pStyle w:val="Heading1"/>
      </w:pPr>
      <w:r>
        <w:t>Tables: Truth Versus Decoration</w:t>
      </w:r>
    </w:p>
    <w:p>
      <w:r>
        <w:rPr>
          <w:i/>
        </w:rPr>
        <w:t>Table 1: Regional Performance Data (2020–2023)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rPr>
                <w:b/>
              </w:rPr>
              <w:t>Annual Performance Summary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YoY Growth</w:t>
            </w:r>
          </w:p>
        </w:tc>
        <w:tc>
          <w:tcPr>
            <w:tcW w:type="dxa" w:w="2880"/>
          </w:tcPr>
          <w:p>
            <w:r>
              <w:t>Absolute Change</w:t>
            </w:r>
          </w:p>
        </w:tc>
      </w:tr>
      <w:tr>
        <w:tc>
          <w:tcPr>
            <w:tcW w:type="dxa" w:w="2880"/>
          </w:tcPr>
          <w:p>
            <w:r>
              <w:t>North</w:t>
            </w:r>
          </w:p>
        </w:tc>
        <w:tc>
          <w:tcPr>
            <w:tcW w:type="dxa" w:w="2880"/>
          </w:tcPr>
          <w:p>
            <w:r>
              <w:t>8.5%</w:t>
            </w:r>
          </w:p>
        </w:tc>
        <w:tc>
          <w:tcPr>
            <w:tcW w:type="dxa" w:w="2880"/>
          </w:tcPr>
          <w:p>
            <w:r>
              <w:t>+14 units</w:t>
            </w:r>
          </w:p>
        </w:tc>
      </w:tr>
      <w:tr>
        <w:tc>
          <w:tcPr>
            <w:tcW w:type="dxa" w:w="2880"/>
          </w:tcPr>
          <w:p>
            <w:r>
              <w:t>South</w:t>
            </w:r>
          </w:p>
        </w:tc>
        <w:tc>
          <w:tcPr>
            <w:tcW w:type="dxa" w:w="2880"/>
          </w:tcPr>
          <w:p>
            <w:r>
              <w:t>5.1%</w:t>
            </w:r>
          </w:p>
        </w:tc>
        <w:tc>
          <w:tcPr>
            <w:tcW w:type="dxa" w:w="2880"/>
          </w:tcPr>
          <w:p>
            <w:r>
              <w:t>+5 units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7.1%</w:t>
            </w:r>
          </w:p>
        </w:tc>
        <w:tc>
          <w:tcPr>
            <w:tcW w:type="dxa" w:w="2880"/>
          </w:tcPr>
          <w:p>
            <w:r>
              <w:t>+19 units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4472C4"/>
          <w:left w:val="single" w:sz="12" w:color="4472C4"/>
          <w:bottom w:val="single" w:sz="12" w:color="4472C4"/>
          <w:right w:val="single" w:sz="12" w:color="4472C4"/>
          <w:insideH w:val="single" w:sz="12" w:color="4472C4"/>
          <w:insideV w:val="single" w:sz="12" w:color="4472C4"/>
        </w:tblBorders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 Findings</w:t>
              <w:br/>
              <w:t>The northern region showed consistent growth of 8.5% year-over-year, driven primarily by expansion into adjacent markets and new product lines.</w:t>
            </w:r>
          </w:p>
        </w:tc>
        <w:tc>
          <w:tcPr>
            <w:tcW w:type="dxa" w:w="4320"/>
          </w:tcPr>
          <w:p>
            <w:r>
              <w:t>Recommendations</w:t>
              <w:br/>
              <w:t>Expand northern operations while monitoring southern performance metrics more closely. A review cycle of six months is recommended.</w:t>
            </w:r>
          </w:p>
        </w:tc>
      </w:tr>
    </w:tbl>
    <w:p>
      <w:pPr>
        <w:pStyle w:val="Heading1"/>
      </w:pPr>
      <w:r>
        <w:t>Nested Structures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Outer A1: project name</w:t>
            </w:r>
          </w:p>
        </w:tc>
        <w:tc>
          <w:tcPr>
            <w:tcW w:type="dxa" w:w="4320"/>
          </w:tcPr>
          <w:p>
            <w:r>
              <w:t>Outer A2: lead analyst</w:t>
            </w:r>
          </w:p>
        </w:tc>
      </w:tr>
      <w:tr>
        <w:tc>
          <w:tcPr>
            <w:tcW w:type="dxa" w:w="4320"/>
          </w:tcPr>
          <w:p>
            <w:r>
              <w:t>Outer B1: start date</w:t>
            </w:r>
          </w:p>
        </w:tc>
        <w:tc>
          <w:tcPr>
            <w:tcW w:type="dxa" w:w="4320"/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Inner metric</w:t>
                  </w:r>
                </w:p>
              </w:tc>
              <w:tc>
                <w:tcPr>
                  <w:tcW w:type="dxa" w:w="2160"/>
                </w:tcPr>
                <w:p>
                  <w:r>
                    <w:t>Inner value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Throughput</w:t>
                  </w:r>
                </w:p>
              </w:tc>
              <w:tc>
                <w:tcPr>
                  <w:tcW w:type="dxa" w:w="2160"/>
                </w:tcPr>
                <w:p>
                  <w:r>
                    <w:t>1 240 req/s</w:t>
                  </w:r>
                </w:p>
              </w:tc>
            </w:tr>
          </w:tbl>
          <w:p/>
        </w:tc>
      </w:tr>
    </w:tbl>
    <w:p/>
    <w:p>
      <w:r>
        <w:rPr>
          <w:rFonts w:ascii="Courier New" w:hAnsi="Courier New"/>
          <w:sz w:val="20"/>
        </w:rPr>
        <w:tab/>
        <w:t>def analyse_report(data: list[float]) -&gt; dict:</w:t>
      </w:r>
      <w:r>
        <w:br/>
      </w:r>
      <w:r>
        <w:rPr>
          <w:rFonts w:ascii="Courier New" w:hAnsi="Courier New"/>
          <w:sz w:val="20"/>
        </w:rPr>
        <w:tab/>
        <w:tab/>
        <w:t>mean = sum(data) / len(data)</w:t>
      </w:r>
      <w:r>
        <w:br/>
      </w:r>
      <w:r>
        <w:rPr>
          <w:rFonts w:ascii="Courier New" w:hAnsi="Courier New"/>
          <w:sz w:val="20"/>
        </w:rPr>
        <w:tab/>
        <w:tab/>
        <w:t>variance = sum((x - mean) ** 2 for x in data) / len(data)</w:t>
      </w:r>
      <w:r>
        <w:br/>
      </w:r>
      <w:r>
        <w:rPr>
          <w:rFonts w:ascii="Courier New" w:hAnsi="Courier New"/>
          <w:sz w:val="20"/>
        </w:rPr>
        <w:tab/>
        <w:tab/>
        <w:t>return {"mean": round(mean, 4), "variance": round(variance, 4)}</w:t>
      </w:r>
    </w:p>
    <w:p>
      <w:pPr>
        <w:pStyle w:val="Heading1"/>
      </w:pPr>
      <w:r>
        <w:t>The Caption Confusion</w:t>
      </w:r>
    </w:p>
    <w:p>
      <w:r>
        <w:t>The diagram below illustrates the document processing architecture described in the previous section: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979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79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1: The document parsing and chunking pipeline as deployed in v2.3. Arrows indicate data flow; shaded boxes represent async processing stages.</w:t>
      </w:r>
    </w:p>
    <w:p>
      <w:r>
        <w:t>Note that the pipeline processes documents asynchronously via a queue-based architecture with configurable concurrency limits.</w:t>
      </w:r>
    </w:p>
    <w:p>
      <w:pPr>
        <w:pStyle w:val="Heading1"/>
      </w:pPr>
      <w:r>
        <w:t>The Chaos Zone</w:t>
      </w:r>
    </w:p>
    <w:p>
      <w:r>
        <w:t>Chaos line one: The plenary session commenced at 09:00 sharp.</w:t>
      </w:r>
      <w:r>
        <w:br/>
      </w:r>
      <w:r>
        <w:t>Chaos line two: Attendance was recorded by the duty secretary.</w:t>
      </w:r>
      <w:r>
        <w:br/>
      </w:r>
      <w:r>
        <w:t>Chaos line three: The minutes of the previous meeting were adopted without amendment.</w:t>
      </w:r>
      <w:r>
        <w:br/>
      </w:r>
      <w:r>
        <w:t>Chaos line four: The session was adjourned sine die at 10:45.</w:t>
      </w:r>
    </w:p>
    <w:p/>
    <w:p/>
    <w:p/>
    <w:p>
      <w:r>
        <w:t>Statistical analysis revealed that σ² = Σ(xᵢ − μ)² / n = 14.3, where n = 847 observations. The significance threshold α was set to 0.05 throughout; all p-values below this threshold are marked with an asterisk.</w:t>
      </w:r>
    </w:p>
    <w:p/>
    <w:p/>
    <w:p>
      <w:pPr>
        <w:jc w:val="center"/>
      </w:pPr>
      <w:r>
        <w:rPr>
          <w:color w:val="888888"/>
          <w:sz w:val="18"/>
        </w:rPr>
        <w:t>CONFIDENTIAL | Internal Use Only | Document Ref: TMP-2024-001 | Page 12 of 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r="http://schemas.openxmlformats.org/officeDocument/2006/relationships"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Published as IVC/2024/Report-7.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Laboratories operated in Vienna, Geneva, and Tokyo respectively.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See also Appendix C for the full dataset.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