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q4-and-fy-2024-update"/>
    <w:p>
      <w:pPr>
        <w:pStyle w:val="Heading1"/>
      </w:pPr>
      <w:r>
        <w:t xml:space="preserve">Q4 and FY 2024 Update</w:t>
      </w:r>
    </w:p>
    <w:p>
      <w:pPr>
        <w:pStyle w:val="FirstParagraph"/>
      </w:pPr>
      <w:r>
        <w:t xml:space="preserve">Highlights 03</w:t>
      </w:r>
    </w:p>
    <w:p>
      <w:pPr>
        <w:pStyle w:val="BodyText"/>
      </w:pPr>
      <w:r>
        <w:t xml:space="preserve">Financial Summary 04</w:t>
      </w:r>
    </w:p>
    <w:p>
      <w:pPr>
        <w:pStyle w:val="BodyText"/>
      </w:pPr>
      <w:r>
        <w:t xml:space="preserve">Operational Summary 07</w:t>
      </w:r>
    </w:p>
    <w:p>
      <w:pPr>
        <w:pStyle w:val="BodyText"/>
      </w:pPr>
      <w:r>
        <w:t xml:space="preserve">Vehicle Capacity 09</w:t>
      </w:r>
    </w:p>
    <w:p>
      <w:pPr>
        <w:pStyle w:val="BodyText"/>
      </w:pPr>
      <w:r>
        <w:t xml:space="preserve">Core Technology 10</w:t>
      </w:r>
    </w:p>
    <w:p>
      <w:pPr>
        <w:pStyle w:val="BodyText"/>
      </w:pPr>
      <w:r>
        <w:t xml:space="preserve">Other Highlights 11</w:t>
      </w:r>
    </w:p>
    <w:p>
      <w:pPr>
        <w:pStyle w:val="BodyText"/>
      </w:pPr>
      <w:r>
        <w:t xml:space="preserve">Outlook 12</w:t>
      </w:r>
    </w:p>
    <w:p>
      <w:pPr>
        <w:pStyle w:val="BodyText"/>
      </w:pPr>
      <w:r>
        <w:t xml:space="preserve">Photos &amp; Charts 13</w:t>
      </w:r>
    </w:p>
    <w:p>
      <w:pPr>
        <w:pStyle w:val="BodyText"/>
      </w:pPr>
      <w:r>
        <w:t xml:space="preserve">Key Metrics 26</w:t>
      </w:r>
    </w:p>
    <w:p>
      <w:pPr>
        <w:pStyle w:val="BodyText"/>
      </w:pPr>
      <w:r>
        <w:t xml:space="preserve">Financial Statements 28</w:t>
      </w:r>
    </w:p>
    <w:p>
      <w:pPr>
        <w:pStyle w:val="BodyText"/>
      </w:pPr>
      <w:r>
        <w:t xml:space="preserve">Additional Information 35</w:t>
      </w:r>
    </w:p>
    <w:bookmarkEnd w:id="9"/>
    <w:bookmarkStart w:id="10" w:name="h-i-g-h-l-i-g-h-t-s"/>
    <w:p>
      <w:pPr>
        <w:pStyle w:val="Heading1"/>
      </w:pPr>
      <w:r>
        <w:t xml:space="preserve">H I G H L I G H T S</w:t>
      </w:r>
    </w:p>
    <w:bookmarkEnd w:id="10"/>
    <w:bookmarkStart w:id="11" w:name="profitability"/>
    <w:p>
      <w:pPr>
        <w:pStyle w:val="Heading1"/>
      </w:pPr>
      <w:r>
        <w:t xml:space="preserve">Profitability</w:t>
      </w:r>
    </w:p>
    <w:p>
      <w:pPr>
        <w:pStyle w:val="FirstParagraph"/>
      </w:pPr>
      <w:r>
        <w:t xml:space="preserve">$7.1B GAAP operating income in 2024; $1.6B in Q4</w:t>
      </w:r>
    </w:p>
    <w:p>
      <w:pPr>
        <w:pStyle w:val="BodyText"/>
      </w:pPr>
      <w:r>
        <w:t xml:space="preserve">$7.1B GAAP net income in 2024; $2.3B in Q4 incl. $0.6B mark-to-market gain on digital assets</w:t>
      </w:r>
    </w:p>
    <w:p>
      <w:pPr>
        <w:pStyle w:val="BodyText"/>
      </w:pPr>
      <w:r>
        <w:t xml:space="preserve">$8.4B non-GAAP net income1 in 2024; $2.6B in Q4</w:t>
      </w:r>
    </w:p>
    <w:bookmarkEnd w:id="11"/>
    <w:bookmarkStart w:id="12" w:name="cash"/>
    <w:p>
      <w:pPr>
        <w:pStyle w:val="Heading1"/>
      </w:pPr>
      <w:r>
        <w:t xml:space="preserve">Cash</w:t>
      </w:r>
    </w:p>
    <w:p>
      <w:pPr>
        <w:pStyle w:val="FirstParagraph"/>
      </w:pPr>
      <w:r>
        <w:t xml:space="preserve">Operating cash flow of $14.9B in 2024; $4.8B in Q4</w:t>
      </w:r>
    </w:p>
    <w:p>
      <w:pPr>
        <w:pStyle w:val="BodyText"/>
      </w:pPr>
      <w:r>
        <w:t xml:space="preserve">Free cash flow2 of $3.6B in 2024; $2.0B in Q4</w:t>
      </w:r>
    </w:p>
    <w:p>
      <w:pPr>
        <w:pStyle w:val="BodyText"/>
      </w:pPr>
      <w:r>
        <w:t xml:space="preserve">$7.5B increase in our cash and investments3 in 2024 to $36.6B</w:t>
      </w:r>
    </w:p>
    <w:bookmarkEnd w:id="12"/>
    <w:bookmarkStart w:id="13" w:name="operations"/>
    <w:p>
      <w:pPr>
        <w:pStyle w:val="Heading1"/>
      </w:pPr>
      <w:r>
        <w:t xml:space="preserve">Operations</w:t>
      </w:r>
    </w:p>
    <w:p>
      <w:pPr>
        <w:pStyle w:val="FirstParagraph"/>
      </w:pPr>
      <w:r>
        <w:t xml:space="preserve">Increased AI training compute by over 400% in 2024</w:t>
      </w:r>
    </w:p>
    <w:p>
      <w:pPr>
        <w:pStyle w:val="BodyText"/>
      </w:pPr>
      <w:r>
        <w:t xml:space="preserve">Over three billion miles driven cumulatively on FSD (Supervised)4 as of January</w:t>
      </w:r>
    </w:p>
    <w:p>
      <w:pPr>
        <w:pStyle w:val="BodyText"/>
      </w:pPr>
      <w:r>
        <w:t xml:space="preserve">Completed construction of Megafactory Shanghai</w:t>
      </w:r>
    </w:p>
    <w:bookmarkEnd w:id="13"/>
    <w:bookmarkStart w:id="14" w:name="s-u-m-m-a-r-y"/>
    <w:p>
      <w:pPr>
        <w:pStyle w:val="Heading1"/>
      </w:pPr>
      <w:r>
        <w:t xml:space="preserve">S U M M A R Y</w:t>
      </w:r>
    </w:p>
    <w:p>
      <w:pPr>
        <w:pStyle w:val="FirstParagraph"/>
      </w:pPr>
      <w:r>
        <w:t xml:space="preserve">Q4 was a record quarter for both vehicle deliveries and energy storage deployments. We expect Model Y to once again be the best-selling vehicle, of any kind, globally for the full year 2024, and we have made it even better, with the New Model Y now launched in all markets. In 2024, we made significant investments in infrastructure that will spur the next wave of growth for the company, including vehicle manufacturing capabilities for new models, AI training compute and energy storage manufacturing capacity.</w:t>
      </w:r>
    </w:p>
    <w:p>
      <w:pPr>
        <w:pStyle w:val="BodyText"/>
      </w:pPr>
      <w:r>
        <w:t xml:space="preserve">Affordability remains top of mind for customers, and we continue to review every aspect of our cost of goods sold (COGS) per vehicle5 to help alleviate this concern. In Q4, COGS per vehicle reached its lowest level ever at &lt;$35,000, driven largely by raw material cost improvement, helping us to partially offset our investment in compelling financing and lease options.</w:t>
      </w:r>
    </w:p>
    <w:p>
      <w:pPr>
        <w:pStyle w:val="BodyText"/>
      </w:pPr>
      <w:r>
        <w:t xml:space="preserve">The Energy business achieved another record in Q4 with its highest-ever gross profit generation. Construction of Megafactory Shanghai was completed in December and will begin ramping this quarter. Powerwall deployments achieved another record quarter as we continue to ramp Powerwall 3 production and launch in additional markets.</w:t>
      </w:r>
    </w:p>
    <w:p>
      <w:pPr>
        <w:pStyle w:val="BodyText"/>
      </w:pPr>
      <w:r>
        <w:t xml:space="preserve">2025 will be a seminal year in Tesla’s history as FSD (Supervised) continues to rapidly improve with the aim of ultimately exceeding human levels of safety. This will eventually unlock an unsupervised FSD option for our customers and the Robotaxi business, which we expect to begin launching later this year in parts of the U.S. We also continue to work on launching FSD (Supervised) in Europe and China in 2025.</w:t>
      </w:r>
    </w:p>
    <w:p>
      <w:pPr>
        <w:pStyle w:val="BodyText"/>
      </w:pPr>
      <w:r>
        <w:t xml:space="preserve">F I N A N C I A L S U M M A R Y</w:t>
      </w:r>
      <w:r>
        <w:br/>
      </w:r>
      <w:r>
        <w:t xml:space="preserve">(Unaudited)</w:t>
      </w:r>
    </w:p>
    <w:p>
      <w:pPr>
        <w:pStyle w:val="BodyText"/>
      </w:pPr>
      <w:r>
        <w:t xml:space="preserve">($ in millions, except percentages and per share data)</w:t>
      </w:r>
    </w:p>
    <w:p>
      <w:pPr>
        <w:pStyle w:val="BodyText"/>
      </w:pPr>
      <w:r>
        <w:t xml:space="preserve">Q4-2023</w:t>
      </w:r>
    </w:p>
    <w:p>
      <w:pPr>
        <w:pStyle w:val="BodyText"/>
      </w:pPr>
      <w:r>
        <w:t xml:space="preserve">Q1-2024</w:t>
      </w:r>
    </w:p>
    <w:p>
      <w:pPr>
        <w:pStyle w:val="BodyText"/>
      </w:pPr>
      <w:r>
        <w:t xml:space="preserve">Q2-2024</w:t>
      </w:r>
    </w:p>
    <w:p>
      <w:pPr>
        <w:pStyle w:val="BodyText"/>
      </w:pPr>
      <w:r>
        <w:t xml:space="preserve">Q3-2024</w:t>
      </w:r>
    </w:p>
    <w:p>
      <w:pPr>
        <w:pStyle w:val="BodyText"/>
      </w:pPr>
      <w:r>
        <w:t xml:space="preserve">Q4-2024</w:t>
      </w:r>
    </w:p>
    <w:p>
      <w:pPr>
        <w:pStyle w:val="BodyText"/>
      </w:pPr>
      <w:r>
        <w:t xml:space="preserve">YoY</w:t>
      </w:r>
    </w:p>
    <w:p>
      <w:pPr>
        <w:pStyle w:val="BodyText"/>
      </w:pPr>
      <w:r>
        <w:t xml:space="preserve">Total automotive revenues</w:t>
      </w:r>
    </w:p>
    <w:p>
      <w:pPr>
        <w:pStyle w:val="BodyText"/>
      </w:pPr>
      <w:r>
        <w:t xml:space="preserve">21,563</w:t>
      </w:r>
    </w:p>
    <w:p>
      <w:pPr>
        <w:pStyle w:val="BodyText"/>
      </w:pPr>
      <w:r>
        <w:t xml:space="preserve">17,378</w:t>
      </w:r>
    </w:p>
    <w:p>
      <w:pPr>
        <w:pStyle w:val="BodyText"/>
      </w:pPr>
      <w:r>
        <w:t xml:space="preserve">19,878</w:t>
      </w:r>
    </w:p>
    <w:p>
      <w:pPr>
        <w:pStyle w:val="BodyText"/>
      </w:pPr>
      <w:r>
        <w:t xml:space="preserve">20,016</w:t>
      </w:r>
    </w:p>
    <w:p>
      <w:pPr>
        <w:pStyle w:val="BodyText"/>
      </w:pPr>
      <w:r>
        <w:t xml:space="preserve">19,798</w:t>
      </w:r>
    </w:p>
    <w:p>
      <w:pPr>
        <w:pStyle w:val="BodyText"/>
      </w:pPr>
      <w:r>
        <w:t xml:space="preserve">-8%</w:t>
      </w:r>
    </w:p>
    <w:p>
      <w:pPr>
        <w:pStyle w:val="BodyText"/>
      </w:pPr>
      <w:r>
        <w:t xml:space="preserve">Energy generation and storage revenue</w:t>
      </w:r>
    </w:p>
    <w:p>
      <w:pPr>
        <w:pStyle w:val="BodyText"/>
      </w:pPr>
      <w:r>
        <w:t xml:space="preserve">1,438</w:t>
      </w:r>
    </w:p>
    <w:p>
      <w:pPr>
        <w:pStyle w:val="BodyText"/>
      </w:pPr>
      <w:r>
        <w:t xml:space="preserve">1,635</w:t>
      </w:r>
    </w:p>
    <w:p>
      <w:pPr>
        <w:pStyle w:val="BodyText"/>
      </w:pPr>
      <w:r>
        <w:t xml:space="preserve">3,014</w:t>
      </w:r>
    </w:p>
    <w:p>
      <w:pPr>
        <w:pStyle w:val="BodyText"/>
      </w:pPr>
      <w:r>
        <w:t xml:space="preserve">2,376</w:t>
      </w:r>
    </w:p>
    <w:p>
      <w:pPr>
        <w:pStyle w:val="BodyText"/>
      </w:pPr>
      <w:r>
        <w:t xml:space="preserve">3,061</w:t>
      </w:r>
    </w:p>
    <w:p>
      <w:pPr>
        <w:pStyle w:val="BodyText"/>
      </w:pPr>
      <w:r>
        <w:t xml:space="preserve">113%</w:t>
      </w:r>
    </w:p>
    <w:p>
      <w:pPr>
        <w:pStyle w:val="BodyText"/>
      </w:pPr>
      <w:r>
        <w:t xml:space="preserve">Services and other revenue</w:t>
      </w:r>
    </w:p>
    <w:p>
      <w:pPr>
        <w:pStyle w:val="BodyText"/>
      </w:pPr>
      <w:r>
        <w:t xml:space="preserve">2,166</w:t>
      </w:r>
    </w:p>
    <w:p>
      <w:pPr>
        <w:pStyle w:val="BodyText"/>
      </w:pPr>
      <w:r>
        <w:t xml:space="preserve">2,288</w:t>
      </w:r>
    </w:p>
    <w:p>
      <w:pPr>
        <w:pStyle w:val="BodyText"/>
      </w:pPr>
      <w:r>
        <w:t xml:space="preserve">2,608</w:t>
      </w:r>
    </w:p>
    <w:p>
      <w:pPr>
        <w:pStyle w:val="BodyText"/>
      </w:pPr>
      <w:r>
        <w:t xml:space="preserve">2,790</w:t>
      </w:r>
    </w:p>
    <w:p>
      <w:pPr>
        <w:pStyle w:val="BodyText"/>
      </w:pPr>
      <w:r>
        <w:t xml:space="preserve">2,848</w:t>
      </w:r>
    </w:p>
    <w:p>
      <w:pPr>
        <w:pStyle w:val="BodyText"/>
      </w:pPr>
      <w:r>
        <w:t xml:space="preserve">31%</w:t>
      </w:r>
    </w:p>
    <w:p>
      <w:pPr>
        <w:pStyle w:val="BodyText"/>
      </w:pPr>
      <w:r>
        <w:t xml:space="preserve">Total revenues</w:t>
      </w:r>
    </w:p>
    <w:p>
      <w:pPr>
        <w:pStyle w:val="BodyText"/>
      </w:pPr>
      <w:r>
        <w:t xml:space="preserve">25,167</w:t>
      </w:r>
    </w:p>
    <w:p>
      <w:pPr>
        <w:pStyle w:val="BodyText"/>
      </w:pPr>
      <w:r>
        <w:t xml:space="preserve">21,301</w:t>
      </w:r>
    </w:p>
    <w:p>
      <w:pPr>
        <w:pStyle w:val="BodyText"/>
      </w:pPr>
      <w:r>
        <w:t xml:space="preserve">25,500</w:t>
      </w:r>
    </w:p>
    <w:p>
      <w:pPr>
        <w:pStyle w:val="BodyText"/>
      </w:pPr>
      <w:r>
        <w:t xml:space="preserve">25,182</w:t>
      </w:r>
    </w:p>
    <w:p>
      <w:pPr>
        <w:pStyle w:val="BodyText"/>
      </w:pPr>
      <w:r>
        <w:t xml:space="preserve">25,707</w:t>
      </w:r>
    </w:p>
    <w:p>
      <w:pPr>
        <w:pStyle w:val="BodyText"/>
      </w:pPr>
      <w:r>
        <w:t xml:space="preserve">2%</w:t>
      </w:r>
    </w:p>
    <w:p>
      <w:pPr>
        <w:pStyle w:val="BodyText"/>
      </w:pPr>
      <w:r>
        <w:t xml:space="preserve">Total gross profit</w:t>
      </w:r>
    </w:p>
    <w:p>
      <w:pPr>
        <w:pStyle w:val="BodyText"/>
      </w:pPr>
      <w:r>
        <w:t xml:space="preserve">4,438</w:t>
      </w:r>
    </w:p>
    <w:p>
      <w:pPr>
        <w:pStyle w:val="BodyText"/>
      </w:pPr>
      <w:r>
        <w:t xml:space="preserve">3,696</w:t>
      </w:r>
    </w:p>
    <w:p>
      <w:pPr>
        <w:pStyle w:val="BodyText"/>
      </w:pPr>
      <w:r>
        <w:t xml:space="preserve">4,578</w:t>
      </w:r>
    </w:p>
    <w:p>
      <w:pPr>
        <w:pStyle w:val="BodyText"/>
      </w:pPr>
      <w:r>
        <w:t xml:space="preserve">4,997</w:t>
      </w:r>
    </w:p>
    <w:p>
      <w:pPr>
        <w:pStyle w:val="BodyText"/>
      </w:pPr>
      <w:r>
        <w:t xml:space="preserve">4,179</w:t>
      </w:r>
    </w:p>
    <w:p>
      <w:pPr>
        <w:pStyle w:val="BodyText"/>
      </w:pPr>
      <w:r>
        <w:t xml:space="preserve">-6%</w:t>
      </w:r>
    </w:p>
    <w:p>
      <w:pPr>
        <w:pStyle w:val="BodyText"/>
      </w:pPr>
      <w:r>
        <w:t xml:space="preserve">Total GAAP gross margin</w:t>
      </w:r>
    </w:p>
    <w:p>
      <w:pPr>
        <w:pStyle w:val="BodyText"/>
      </w:pPr>
      <w:r>
        <w:t xml:space="preserve">17.6%</w:t>
      </w:r>
    </w:p>
    <w:p>
      <w:pPr>
        <w:pStyle w:val="BodyText"/>
      </w:pPr>
      <w:r>
        <w:t xml:space="preserve">17.4%</w:t>
      </w:r>
    </w:p>
    <w:p>
      <w:pPr>
        <w:pStyle w:val="BodyText"/>
      </w:pPr>
      <w:r>
        <w:t xml:space="preserve">18.0%</w:t>
      </w:r>
    </w:p>
    <w:p>
      <w:pPr>
        <w:pStyle w:val="BodyText"/>
      </w:pPr>
      <w:r>
        <w:t xml:space="preserve">19.8%</w:t>
      </w:r>
    </w:p>
    <w:p>
      <w:pPr>
        <w:pStyle w:val="BodyText"/>
      </w:pPr>
      <w:r>
        <w:t xml:space="preserve">16.3%</w:t>
      </w:r>
    </w:p>
    <w:p>
      <w:pPr>
        <w:pStyle w:val="BodyText"/>
      </w:pPr>
      <w:r>
        <w:t xml:space="preserve">-138 bp</w:t>
      </w:r>
    </w:p>
    <w:p>
      <w:pPr>
        <w:pStyle w:val="BodyText"/>
      </w:pPr>
      <w:r>
        <w:t xml:space="preserve">Operating expenses</w:t>
      </w:r>
    </w:p>
    <w:p>
      <w:pPr>
        <w:pStyle w:val="BodyText"/>
      </w:pPr>
      <w:r>
        <w:t xml:space="preserve">2,374</w:t>
      </w:r>
    </w:p>
    <w:p>
      <w:pPr>
        <w:pStyle w:val="BodyText"/>
      </w:pPr>
      <w:r>
        <w:t xml:space="preserve">2,525</w:t>
      </w:r>
    </w:p>
    <w:p>
      <w:pPr>
        <w:pStyle w:val="BodyText"/>
      </w:pPr>
      <w:r>
        <w:t xml:space="preserve">2,973</w:t>
      </w:r>
    </w:p>
    <w:p>
      <w:pPr>
        <w:pStyle w:val="BodyText"/>
      </w:pPr>
      <w:r>
        <w:t xml:space="preserve">2,280</w:t>
      </w:r>
    </w:p>
    <w:p>
      <w:pPr>
        <w:pStyle w:val="BodyText"/>
      </w:pPr>
      <w:r>
        <w:t xml:space="preserve">2,596</w:t>
      </w:r>
    </w:p>
    <w:p>
      <w:pPr>
        <w:pStyle w:val="BodyText"/>
      </w:pPr>
      <w:r>
        <w:t xml:space="preserve">9%</w:t>
      </w:r>
    </w:p>
    <w:p>
      <w:pPr>
        <w:pStyle w:val="BodyText"/>
      </w:pPr>
      <w:r>
        <w:t xml:space="preserve">Income from operations</w:t>
      </w:r>
    </w:p>
    <w:p>
      <w:pPr>
        <w:pStyle w:val="BodyText"/>
      </w:pPr>
      <w:r>
        <w:t xml:space="preserve">2,064</w:t>
      </w:r>
    </w:p>
    <w:p>
      <w:pPr>
        <w:pStyle w:val="BodyText"/>
      </w:pPr>
      <w:r>
        <w:t xml:space="preserve">1,171</w:t>
      </w:r>
    </w:p>
    <w:p>
      <w:pPr>
        <w:pStyle w:val="BodyText"/>
      </w:pPr>
      <w:r>
        <w:t xml:space="preserve">1,605</w:t>
      </w:r>
    </w:p>
    <w:p>
      <w:pPr>
        <w:pStyle w:val="BodyText"/>
      </w:pPr>
      <w:r>
        <w:t xml:space="preserve">2,717</w:t>
      </w:r>
    </w:p>
    <w:p>
      <w:pPr>
        <w:pStyle w:val="BodyText"/>
      </w:pPr>
      <w:r>
        <w:t xml:space="preserve">1,583</w:t>
      </w:r>
    </w:p>
    <w:p>
      <w:pPr>
        <w:pStyle w:val="BodyText"/>
      </w:pPr>
      <w:r>
        <w:t xml:space="preserve">-23%</w:t>
      </w:r>
    </w:p>
    <w:p>
      <w:pPr>
        <w:pStyle w:val="BodyText"/>
      </w:pPr>
      <w:r>
        <w:t xml:space="preserve">Operating margin</w:t>
      </w:r>
    </w:p>
    <w:p>
      <w:pPr>
        <w:pStyle w:val="BodyText"/>
      </w:pPr>
      <w:r>
        <w:t xml:space="preserve">8.2%</w:t>
      </w:r>
    </w:p>
    <w:p>
      <w:pPr>
        <w:pStyle w:val="BodyText"/>
      </w:pPr>
      <w:r>
        <w:t xml:space="preserve">5.5%</w:t>
      </w:r>
    </w:p>
    <w:p>
      <w:pPr>
        <w:pStyle w:val="BodyText"/>
      </w:pPr>
      <w:r>
        <w:t xml:space="preserve">6.3%</w:t>
      </w:r>
    </w:p>
    <w:p>
      <w:pPr>
        <w:pStyle w:val="BodyText"/>
      </w:pPr>
      <w:r>
        <w:t xml:space="preserve">10.8%</w:t>
      </w:r>
    </w:p>
    <w:p>
      <w:pPr>
        <w:pStyle w:val="BodyText"/>
      </w:pPr>
      <w:r>
        <w:t xml:space="preserve">6.2%</w:t>
      </w:r>
    </w:p>
    <w:p>
      <w:pPr>
        <w:pStyle w:val="BodyText"/>
      </w:pPr>
      <w:r>
        <w:t xml:space="preserve">-204 bp</w:t>
      </w:r>
    </w:p>
    <w:p>
      <w:pPr>
        <w:pStyle w:val="BodyText"/>
      </w:pPr>
      <w:r>
        <w:t xml:space="preserve">Adjusted EBITDA</w:t>
      </w:r>
    </w:p>
    <w:p>
      <w:pPr>
        <w:pStyle w:val="BodyText"/>
      </w:pPr>
      <w:r>
        <w:t xml:space="preserve">3,953</w:t>
      </w:r>
    </w:p>
    <w:p>
      <w:pPr>
        <w:pStyle w:val="BodyText"/>
      </w:pPr>
      <w:r>
        <w:t xml:space="preserve">3,384</w:t>
      </w:r>
    </w:p>
    <w:p>
      <w:pPr>
        <w:pStyle w:val="BodyText"/>
      </w:pPr>
      <w:r>
        <w:t xml:space="preserve">3,674</w:t>
      </w:r>
    </w:p>
    <w:p>
      <w:pPr>
        <w:pStyle w:val="BodyText"/>
      </w:pPr>
      <w:r>
        <w:t xml:space="preserve">4,665</w:t>
      </w:r>
    </w:p>
    <w:p>
      <w:pPr>
        <w:pStyle w:val="BodyText"/>
      </w:pPr>
      <w:r>
        <w:t xml:space="preserve">4,922</w:t>
      </w:r>
    </w:p>
    <w:p>
      <w:pPr>
        <w:pStyle w:val="BodyText"/>
      </w:pPr>
      <w:r>
        <w:t xml:space="preserve">25%</w:t>
      </w:r>
    </w:p>
    <w:p>
      <w:pPr>
        <w:pStyle w:val="BodyText"/>
      </w:pPr>
      <w:r>
        <w:t xml:space="preserve">Adjusted EBITDA margin</w:t>
      </w:r>
    </w:p>
    <w:p>
      <w:pPr>
        <w:pStyle w:val="BodyText"/>
      </w:pPr>
      <w:r>
        <w:t xml:space="preserve">15.7%</w:t>
      </w:r>
    </w:p>
    <w:p>
      <w:pPr>
        <w:pStyle w:val="BodyText"/>
      </w:pPr>
      <w:r>
        <w:t xml:space="preserve">15.9%</w:t>
      </w:r>
    </w:p>
    <w:p>
      <w:pPr>
        <w:pStyle w:val="BodyText"/>
      </w:pPr>
      <w:r>
        <w:t xml:space="preserve">14.4%</w:t>
      </w:r>
    </w:p>
    <w:p>
      <w:pPr>
        <w:pStyle w:val="BodyText"/>
      </w:pPr>
      <w:r>
        <w:t xml:space="preserve">18.5%</w:t>
      </w:r>
    </w:p>
    <w:p>
      <w:pPr>
        <w:pStyle w:val="BodyText"/>
      </w:pPr>
      <w:r>
        <w:t xml:space="preserve">19.1%</w:t>
      </w:r>
    </w:p>
    <w:p>
      <w:pPr>
        <w:pStyle w:val="BodyText"/>
      </w:pPr>
      <w:r>
        <w:t xml:space="preserve">344 bp</w:t>
      </w:r>
    </w:p>
    <w:p>
      <w:pPr>
        <w:pStyle w:val="BodyText"/>
      </w:pPr>
      <w:r>
        <w:t xml:space="preserve">Net income attributable to common stockholders (GAAP)</w:t>
      </w:r>
    </w:p>
    <w:p>
      <w:pPr>
        <w:pStyle w:val="BodyText"/>
      </w:pPr>
      <w:r>
        <w:t xml:space="preserve">7,928</w:t>
      </w:r>
    </w:p>
    <w:p>
      <w:pPr>
        <w:pStyle w:val="BodyText"/>
      </w:pPr>
      <w:r>
        <w:t xml:space="preserve">1,129</w:t>
      </w:r>
    </w:p>
    <w:p>
      <w:pPr>
        <w:pStyle w:val="BodyText"/>
      </w:pPr>
      <w:r>
        <w:t xml:space="preserve">1,478</w:t>
      </w:r>
    </w:p>
    <w:p>
      <w:pPr>
        <w:pStyle w:val="BodyText"/>
      </w:pPr>
      <w:r>
        <w:t xml:space="preserve">2,167</w:t>
      </w:r>
    </w:p>
    <w:p>
      <w:pPr>
        <w:pStyle w:val="BodyText"/>
      </w:pPr>
      <w:r>
        <w:t xml:space="preserve">2,317</w:t>
      </w:r>
    </w:p>
    <w:p>
      <w:pPr>
        <w:pStyle w:val="BodyText"/>
      </w:pPr>
      <w:r>
        <w:t xml:space="preserve">-71%</w:t>
      </w:r>
    </w:p>
    <w:p>
      <w:pPr>
        <w:pStyle w:val="BodyText"/>
      </w:pPr>
      <w:r>
        <w:t xml:space="preserve">Net income attributable to common stockholders (non-GAAP)</w:t>
      </w:r>
    </w:p>
    <w:p>
      <w:pPr>
        <w:pStyle w:val="BodyText"/>
      </w:pPr>
      <w:r>
        <w:t xml:space="preserve">2,485</w:t>
      </w:r>
    </w:p>
    <w:p>
      <w:pPr>
        <w:pStyle w:val="BodyText"/>
      </w:pPr>
      <w:r>
        <w:t xml:space="preserve">1,536</w:t>
      </w:r>
    </w:p>
    <w:p>
      <w:pPr>
        <w:pStyle w:val="BodyText"/>
      </w:pPr>
      <w:r>
        <w:t xml:space="preserve">1,812</w:t>
      </w:r>
    </w:p>
    <w:p>
      <w:pPr>
        <w:pStyle w:val="BodyText"/>
      </w:pPr>
      <w:r>
        <w:t xml:space="preserve">2,505</w:t>
      </w:r>
    </w:p>
    <w:p>
      <w:pPr>
        <w:pStyle w:val="BodyText"/>
      </w:pPr>
      <w:r>
        <w:t xml:space="preserve">2,566</w:t>
      </w:r>
    </w:p>
    <w:p>
      <w:pPr>
        <w:pStyle w:val="BodyText"/>
      </w:pPr>
      <w:r>
        <w:t xml:space="preserve">3%</w:t>
      </w:r>
    </w:p>
    <w:p>
      <w:pPr>
        <w:pStyle w:val="BodyText"/>
      </w:pPr>
      <w:r>
        <w:t xml:space="preserve">EPS attributable to common stockholders, diluted (GAAP)</w:t>
      </w:r>
    </w:p>
    <w:p>
      <w:pPr>
        <w:pStyle w:val="BodyText"/>
      </w:pPr>
      <w:r>
        <w:t xml:space="preserve">2.27</w:t>
      </w:r>
    </w:p>
    <w:p>
      <w:pPr>
        <w:pStyle w:val="BodyText"/>
      </w:pPr>
      <w:r>
        <w:t xml:space="preserve">0.34</w:t>
      </w:r>
    </w:p>
    <w:p>
      <w:pPr>
        <w:pStyle w:val="BodyText"/>
      </w:pPr>
      <w:r>
        <w:t xml:space="preserve">0.42</w:t>
      </w:r>
    </w:p>
    <w:p>
      <w:pPr>
        <w:pStyle w:val="BodyText"/>
      </w:pPr>
      <w:r>
        <w:t xml:space="preserve">0.62</w:t>
      </w:r>
    </w:p>
    <w:p>
      <w:pPr>
        <w:pStyle w:val="BodyText"/>
      </w:pPr>
      <w:r>
        <w:t xml:space="preserve">0.66</w:t>
      </w:r>
    </w:p>
    <w:p>
      <w:pPr>
        <w:pStyle w:val="BodyText"/>
      </w:pPr>
      <w:r>
        <w:t xml:space="preserve">-71%</w:t>
      </w:r>
    </w:p>
    <w:p>
      <w:pPr>
        <w:pStyle w:val="BodyText"/>
      </w:pPr>
      <w:r>
        <w:t xml:space="preserve">EPS attributable to common stockholders, diluted (non-GAAP)</w:t>
      </w:r>
    </w:p>
    <w:p>
      <w:pPr>
        <w:pStyle w:val="BodyText"/>
      </w:pPr>
      <w:r>
        <w:t xml:space="preserve">0.71</w:t>
      </w:r>
    </w:p>
    <w:p>
      <w:pPr>
        <w:pStyle w:val="BodyText"/>
      </w:pPr>
      <w:r>
        <w:t xml:space="preserve">0.45</w:t>
      </w:r>
    </w:p>
    <w:p>
      <w:pPr>
        <w:pStyle w:val="BodyText"/>
      </w:pPr>
      <w:r>
        <w:t xml:space="preserve">0.52</w:t>
      </w:r>
    </w:p>
    <w:p>
      <w:pPr>
        <w:pStyle w:val="BodyText"/>
      </w:pPr>
      <w:r>
        <w:t xml:space="preserve">0.72</w:t>
      </w:r>
    </w:p>
    <w:p>
      <w:pPr>
        <w:pStyle w:val="BodyText"/>
      </w:pPr>
      <w:r>
        <w:t xml:space="preserve">0.73</w:t>
      </w:r>
    </w:p>
    <w:p>
      <w:pPr>
        <w:pStyle w:val="BodyText"/>
      </w:pPr>
      <w:r>
        <w:t xml:space="preserve">3%</w:t>
      </w:r>
    </w:p>
    <w:p>
      <w:pPr>
        <w:pStyle w:val="BodyText"/>
      </w:pPr>
      <w:r>
        <w:t xml:space="preserve">Net cash provided by operating activities</w:t>
      </w:r>
    </w:p>
    <w:p>
      <w:pPr>
        <w:pStyle w:val="BodyText"/>
      </w:pPr>
      <w:r>
        <w:t xml:space="preserve">4,370</w:t>
      </w:r>
    </w:p>
    <w:p>
      <w:pPr>
        <w:pStyle w:val="BodyText"/>
      </w:pPr>
      <w:r>
        <w:t xml:space="preserve">242</w:t>
      </w:r>
    </w:p>
    <w:p>
      <w:pPr>
        <w:pStyle w:val="BodyText"/>
      </w:pPr>
      <w:r>
        <w:t xml:space="preserve">3,612</w:t>
      </w:r>
    </w:p>
    <w:p>
      <w:pPr>
        <w:pStyle w:val="BodyText"/>
      </w:pPr>
      <w:r>
        <w:t xml:space="preserve">6,255</w:t>
      </w:r>
    </w:p>
    <w:p>
      <w:pPr>
        <w:pStyle w:val="BodyText"/>
      </w:pPr>
      <w:r>
        <w:t xml:space="preserve">4,814</w:t>
      </w:r>
    </w:p>
    <w:p>
      <w:pPr>
        <w:pStyle w:val="BodyText"/>
      </w:pPr>
      <w:r>
        <w:t xml:space="preserve">10%</w:t>
      </w:r>
    </w:p>
    <w:p>
      <w:pPr>
        <w:pStyle w:val="BodyText"/>
      </w:pPr>
      <w:r>
        <w:t xml:space="preserve">Capital expenditures</w:t>
      </w:r>
    </w:p>
    <w:p>
      <w:pPr>
        <w:pStyle w:val="BodyText"/>
      </w:pPr>
      <w:r>
        <w:t xml:space="preserve">(2,306)</w:t>
      </w:r>
    </w:p>
    <w:p>
      <w:pPr>
        <w:pStyle w:val="BodyText"/>
      </w:pPr>
      <w:r>
        <w:t xml:space="preserve">(2,773)</w:t>
      </w:r>
    </w:p>
    <w:p>
      <w:pPr>
        <w:pStyle w:val="BodyText"/>
      </w:pPr>
      <w:r>
        <w:t xml:space="preserve">(2,270)</w:t>
      </w:r>
    </w:p>
    <w:p>
      <w:pPr>
        <w:pStyle w:val="BodyText"/>
      </w:pPr>
      <w:r>
        <w:t xml:space="preserve">(3,513)</w:t>
      </w:r>
    </w:p>
    <w:p>
      <w:pPr>
        <w:pStyle w:val="BodyText"/>
      </w:pPr>
      <w:r>
        <w:t xml:space="preserve">(2,783)</w:t>
      </w:r>
    </w:p>
    <w:p>
      <w:pPr>
        <w:pStyle w:val="BodyText"/>
      </w:pPr>
      <w:r>
        <w:t xml:space="preserve">21%</w:t>
      </w:r>
    </w:p>
    <w:p>
      <w:pPr>
        <w:pStyle w:val="BodyText"/>
      </w:pPr>
      <w:r>
        <w:t xml:space="preserve">Free cash flow</w:t>
      </w:r>
    </w:p>
    <w:p>
      <w:pPr>
        <w:pStyle w:val="BodyText"/>
      </w:pPr>
      <w:r>
        <w:t xml:space="preserve">2,064</w:t>
      </w:r>
    </w:p>
    <w:p>
      <w:pPr>
        <w:pStyle w:val="BodyText"/>
      </w:pPr>
      <w:r>
        <w:t xml:space="preserve">(2,531)</w:t>
      </w:r>
    </w:p>
    <w:p>
      <w:pPr>
        <w:pStyle w:val="BodyText"/>
      </w:pPr>
      <w:r>
        <w:t xml:space="preserve">1,342</w:t>
      </w:r>
    </w:p>
    <w:p>
      <w:pPr>
        <w:pStyle w:val="BodyText"/>
      </w:pPr>
      <w:r>
        <w:t xml:space="preserve">2,742</w:t>
      </w:r>
    </w:p>
    <w:p>
      <w:pPr>
        <w:pStyle w:val="BodyText"/>
      </w:pPr>
      <w:r>
        <w:t xml:space="preserve">2,031</w:t>
      </w:r>
    </w:p>
    <w:p>
      <w:pPr>
        <w:pStyle w:val="BodyText"/>
      </w:pPr>
      <w:r>
        <w:t xml:space="preserve">-2%</w:t>
      </w:r>
    </w:p>
    <w:p>
      <w:pPr>
        <w:pStyle w:val="BodyText"/>
      </w:pPr>
      <w:r>
        <w:t xml:space="preserve">Cash, cash equivalents and investments</w:t>
      </w:r>
    </w:p>
    <w:p>
      <w:pPr>
        <w:pStyle w:val="BodyText"/>
      </w:pPr>
      <w:r>
        <w:t xml:space="preserve">29,094</w:t>
      </w:r>
    </w:p>
    <w:p>
      <w:pPr>
        <w:pStyle w:val="BodyText"/>
      </w:pPr>
      <w:r>
        <w:t xml:space="preserve">26,863</w:t>
      </w:r>
    </w:p>
    <w:p>
      <w:pPr>
        <w:pStyle w:val="BodyText"/>
      </w:pPr>
      <w:r>
        <w:t xml:space="preserve">30,720</w:t>
      </w:r>
    </w:p>
    <w:p>
      <w:pPr>
        <w:pStyle w:val="BodyText"/>
      </w:pPr>
      <w:r>
        <w:t xml:space="preserve">33,648</w:t>
      </w:r>
    </w:p>
    <w:p>
      <w:pPr>
        <w:pStyle w:val="BodyText"/>
      </w:pPr>
      <w:r>
        <w:t xml:space="preserve">36,563</w:t>
      </w:r>
    </w:p>
    <w:p>
      <w:pPr>
        <w:pStyle w:val="BodyText"/>
      </w:pPr>
      <w:r>
        <w:t xml:space="preserve">26%</w:t>
      </w:r>
    </w:p>
    <w:p>
      <w:pPr>
        <w:pStyle w:val="BodyText"/>
      </w:pPr>
      <w:r>
        <w:t xml:space="preserve">F I N A N C I A L S U M M A R Y</w:t>
      </w:r>
      <w:r>
        <w:br/>
      </w:r>
      <w:r>
        <w:t xml:space="preserve">(Unaudited)</w:t>
      </w:r>
    </w:p>
    <w:p>
      <w:pPr>
        <w:pStyle w:val="BodyText"/>
      </w:pPr>
      <w:r>
        <w:t xml:space="preserve">($ in millions, except percentages and per share data)</w:t>
      </w:r>
    </w:p>
    <w:p>
      <w:pPr>
        <w:pStyle w:val="BodyText"/>
      </w:pPr>
      <w:r>
        <w:t xml:space="preserve">2020</w:t>
      </w:r>
    </w:p>
    <w:p>
      <w:pPr>
        <w:pStyle w:val="BodyText"/>
      </w:pPr>
      <w:r>
        <w:t xml:space="preserve">2021</w:t>
      </w:r>
    </w:p>
    <w:p>
      <w:pPr>
        <w:pStyle w:val="BodyText"/>
      </w:pPr>
      <w:r>
        <w:t xml:space="preserve">2022</w:t>
      </w:r>
    </w:p>
    <w:p>
      <w:pPr>
        <w:pStyle w:val="BodyText"/>
      </w:pPr>
      <w:r>
        <w:t xml:space="preserve">2023</w:t>
      </w:r>
    </w:p>
    <w:p>
      <w:pPr>
        <w:pStyle w:val="BodyText"/>
      </w:pPr>
      <w:r>
        <w:t xml:space="preserve">2024</w:t>
      </w:r>
    </w:p>
    <w:p>
      <w:pPr>
        <w:pStyle w:val="BodyText"/>
      </w:pPr>
      <w:r>
        <w:t xml:space="preserve">YoY</w:t>
      </w:r>
    </w:p>
    <w:p>
      <w:pPr>
        <w:pStyle w:val="BodyText"/>
      </w:pPr>
      <w:r>
        <w:t xml:space="preserve">Total automotive revenues</w:t>
      </w:r>
    </w:p>
    <w:p>
      <w:pPr>
        <w:pStyle w:val="BodyText"/>
      </w:pPr>
      <w:r>
        <w:t xml:space="preserve">27,236</w:t>
      </w:r>
    </w:p>
    <w:p>
      <w:pPr>
        <w:pStyle w:val="BodyText"/>
      </w:pPr>
      <w:r>
        <w:t xml:space="preserve">47,232</w:t>
      </w:r>
    </w:p>
    <w:p>
      <w:pPr>
        <w:pStyle w:val="BodyText"/>
      </w:pPr>
      <w:r>
        <w:t xml:space="preserve">71,462</w:t>
      </w:r>
    </w:p>
    <w:p>
      <w:pPr>
        <w:pStyle w:val="BodyText"/>
      </w:pPr>
      <w:r>
        <w:t xml:space="preserve">82,419</w:t>
      </w:r>
    </w:p>
    <w:p>
      <w:pPr>
        <w:pStyle w:val="BodyText"/>
      </w:pPr>
      <w:r>
        <w:t xml:space="preserve">77,070</w:t>
      </w:r>
    </w:p>
    <w:p>
      <w:pPr>
        <w:pStyle w:val="BodyText"/>
      </w:pPr>
      <w:r>
        <w:t xml:space="preserve">-6%</w:t>
      </w:r>
    </w:p>
    <w:p>
      <w:pPr>
        <w:pStyle w:val="BodyText"/>
      </w:pPr>
      <w:r>
        <w:t xml:space="preserve">Energy generation and storage revenue</w:t>
      </w:r>
    </w:p>
    <w:p>
      <w:pPr>
        <w:pStyle w:val="BodyText"/>
      </w:pPr>
      <w:r>
        <w:t xml:space="preserve">1,994</w:t>
      </w:r>
    </w:p>
    <w:p>
      <w:pPr>
        <w:pStyle w:val="BodyText"/>
      </w:pPr>
      <w:r>
        <w:t xml:space="preserve">2,789</w:t>
      </w:r>
    </w:p>
    <w:p>
      <w:pPr>
        <w:pStyle w:val="BodyText"/>
      </w:pPr>
      <w:r>
        <w:t xml:space="preserve">3,909</w:t>
      </w:r>
    </w:p>
    <w:p>
      <w:pPr>
        <w:pStyle w:val="BodyText"/>
      </w:pPr>
      <w:r>
        <w:t xml:space="preserve">6,035</w:t>
      </w:r>
    </w:p>
    <w:p>
      <w:pPr>
        <w:pStyle w:val="BodyText"/>
      </w:pPr>
      <w:r>
        <w:t xml:space="preserve">10,086</w:t>
      </w:r>
    </w:p>
    <w:p>
      <w:pPr>
        <w:pStyle w:val="BodyText"/>
      </w:pPr>
      <w:r>
        <w:t xml:space="preserve">67%</w:t>
      </w:r>
    </w:p>
    <w:p>
      <w:pPr>
        <w:pStyle w:val="BodyText"/>
      </w:pPr>
      <w:r>
        <w:t xml:space="preserve">Services and other revenue</w:t>
      </w:r>
    </w:p>
    <w:p>
      <w:pPr>
        <w:pStyle w:val="BodyText"/>
      </w:pPr>
      <w:r>
        <w:t xml:space="preserve">2,306</w:t>
      </w:r>
    </w:p>
    <w:p>
      <w:pPr>
        <w:pStyle w:val="BodyText"/>
      </w:pPr>
      <w:r>
        <w:t xml:space="preserve">3,802</w:t>
      </w:r>
    </w:p>
    <w:p>
      <w:pPr>
        <w:pStyle w:val="BodyText"/>
      </w:pPr>
      <w:r>
        <w:t xml:space="preserve">6,091</w:t>
      </w:r>
    </w:p>
    <w:p>
      <w:pPr>
        <w:pStyle w:val="BodyText"/>
      </w:pPr>
      <w:r>
        <w:t xml:space="preserve">8,319</w:t>
      </w:r>
    </w:p>
    <w:p>
      <w:pPr>
        <w:pStyle w:val="BodyText"/>
      </w:pPr>
      <w:r>
        <w:t xml:space="preserve">10,534</w:t>
      </w:r>
    </w:p>
    <w:p>
      <w:pPr>
        <w:pStyle w:val="BodyText"/>
      </w:pPr>
      <w:r>
        <w:t xml:space="preserve">27%</w:t>
      </w:r>
    </w:p>
    <w:p>
      <w:pPr>
        <w:pStyle w:val="BodyText"/>
      </w:pPr>
      <w:r>
        <w:t xml:space="preserve">Total revenues</w:t>
      </w:r>
    </w:p>
    <w:p>
      <w:pPr>
        <w:pStyle w:val="BodyText"/>
      </w:pPr>
      <w:r>
        <w:t xml:space="preserve">31,536</w:t>
      </w:r>
    </w:p>
    <w:p>
      <w:pPr>
        <w:pStyle w:val="BodyText"/>
      </w:pPr>
      <w:r>
        <w:t xml:space="preserve">53,823</w:t>
      </w:r>
    </w:p>
    <w:p>
      <w:pPr>
        <w:pStyle w:val="BodyText"/>
      </w:pPr>
      <w:r>
        <w:t xml:space="preserve">81,462</w:t>
      </w:r>
    </w:p>
    <w:p>
      <w:pPr>
        <w:pStyle w:val="BodyText"/>
      </w:pPr>
      <w:r>
        <w:t xml:space="preserve">96,773</w:t>
      </w:r>
    </w:p>
    <w:p>
      <w:pPr>
        <w:pStyle w:val="BodyText"/>
      </w:pPr>
      <w:r>
        <w:t xml:space="preserve">97,690</w:t>
      </w:r>
    </w:p>
    <w:p>
      <w:pPr>
        <w:pStyle w:val="BodyText"/>
      </w:pPr>
      <w:r>
        <w:t xml:space="preserve">1%</w:t>
      </w:r>
    </w:p>
    <w:p>
      <w:pPr>
        <w:pStyle w:val="BodyText"/>
      </w:pPr>
      <w:r>
        <w:t xml:space="preserve">Total gross profit</w:t>
      </w:r>
    </w:p>
    <w:p>
      <w:pPr>
        <w:pStyle w:val="BodyText"/>
      </w:pPr>
      <w:r>
        <w:t xml:space="preserve">6,630</w:t>
      </w:r>
    </w:p>
    <w:p>
      <w:pPr>
        <w:pStyle w:val="BodyText"/>
      </w:pPr>
      <w:r>
        <w:t xml:space="preserve">13,606</w:t>
      </w:r>
    </w:p>
    <w:p>
      <w:pPr>
        <w:pStyle w:val="BodyText"/>
      </w:pPr>
      <w:r>
        <w:t xml:space="preserve">20,853</w:t>
      </w:r>
    </w:p>
    <w:p>
      <w:pPr>
        <w:pStyle w:val="BodyText"/>
      </w:pPr>
      <w:r>
        <w:t xml:space="preserve">17,660</w:t>
      </w:r>
    </w:p>
    <w:p>
      <w:pPr>
        <w:pStyle w:val="BodyText"/>
      </w:pPr>
      <w:r>
        <w:t xml:space="preserve">17,450</w:t>
      </w:r>
    </w:p>
    <w:p>
      <w:pPr>
        <w:pStyle w:val="BodyText"/>
      </w:pPr>
      <w:r>
        <w:t xml:space="preserve">-1%</w:t>
      </w:r>
    </w:p>
    <w:p>
      <w:pPr>
        <w:pStyle w:val="BodyText"/>
      </w:pPr>
      <w:r>
        <w:t xml:space="preserve">Total GAAP gross margin</w:t>
      </w:r>
    </w:p>
    <w:p>
      <w:pPr>
        <w:pStyle w:val="BodyText"/>
      </w:pPr>
      <w:r>
        <w:t xml:space="preserve">21.0%</w:t>
      </w:r>
    </w:p>
    <w:p>
      <w:pPr>
        <w:pStyle w:val="BodyText"/>
      </w:pPr>
      <w:r>
        <w:t xml:space="preserve">25.3%</w:t>
      </w:r>
    </w:p>
    <w:p>
      <w:pPr>
        <w:pStyle w:val="BodyText"/>
      </w:pPr>
      <w:r>
        <w:t xml:space="preserve">25.6%</w:t>
      </w:r>
    </w:p>
    <w:p>
      <w:pPr>
        <w:pStyle w:val="BodyText"/>
      </w:pPr>
      <w:r>
        <w:t xml:space="preserve">18.2%</w:t>
      </w:r>
    </w:p>
    <w:p>
      <w:pPr>
        <w:pStyle w:val="BodyText"/>
      </w:pPr>
      <w:r>
        <w:t xml:space="preserve">17.9%</w:t>
      </w:r>
    </w:p>
    <w:p>
      <w:pPr>
        <w:pStyle w:val="BodyText"/>
      </w:pPr>
      <w:r>
        <w:t xml:space="preserve">-39 bp</w:t>
      </w:r>
    </w:p>
    <w:p>
      <w:pPr>
        <w:pStyle w:val="BodyText"/>
      </w:pPr>
      <w:r>
        <w:t xml:space="preserve">Operating expenses</w:t>
      </w:r>
    </w:p>
    <w:p>
      <w:pPr>
        <w:pStyle w:val="BodyText"/>
      </w:pPr>
      <w:r>
        <w:t xml:space="preserve">4,636</w:t>
      </w:r>
    </w:p>
    <w:p>
      <w:pPr>
        <w:pStyle w:val="BodyText"/>
      </w:pPr>
      <w:r>
        <w:t xml:space="preserve">7,083</w:t>
      </w:r>
    </w:p>
    <w:p>
      <w:pPr>
        <w:pStyle w:val="BodyText"/>
      </w:pPr>
      <w:r>
        <w:t xml:space="preserve">7,197</w:t>
      </w:r>
    </w:p>
    <w:p>
      <w:pPr>
        <w:pStyle w:val="BodyText"/>
      </w:pPr>
      <w:r>
        <w:t xml:space="preserve">8,769</w:t>
      </w:r>
    </w:p>
    <w:p>
      <w:pPr>
        <w:pStyle w:val="BodyText"/>
      </w:pPr>
      <w:r>
        <w:t xml:space="preserve">10,374</w:t>
      </w:r>
    </w:p>
    <w:p>
      <w:pPr>
        <w:pStyle w:val="BodyText"/>
      </w:pPr>
      <w:r>
        <w:t xml:space="preserve">18%</w:t>
      </w:r>
    </w:p>
    <w:p>
      <w:pPr>
        <w:pStyle w:val="BodyText"/>
      </w:pPr>
      <w:r>
        <w:t xml:space="preserve">Income from operations</w:t>
      </w:r>
    </w:p>
    <w:p>
      <w:pPr>
        <w:pStyle w:val="BodyText"/>
      </w:pPr>
      <w:r>
        <w:t xml:space="preserve">1,994</w:t>
      </w:r>
    </w:p>
    <w:p>
      <w:pPr>
        <w:pStyle w:val="BodyText"/>
      </w:pPr>
      <w:r>
        <w:t xml:space="preserve">6,523</w:t>
      </w:r>
    </w:p>
    <w:p>
      <w:pPr>
        <w:pStyle w:val="BodyText"/>
      </w:pPr>
      <w:r>
        <w:t xml:space="preserve">13,656</w:t>
      </w:r>
    </w:p>
    <w:p>
      <w:pPr>
        <w:pStyle w:val="BodyText"/>
      </w:pPr>
      <w:r>
        <w:t xml:space="preserve">8,891</w:t>
      </w:r>
    </w:p>
    <w:p>
      <w:pPr>
        <w:pStyle w:val="BodyText"/>
      </w:pPr>
      <w:r>
        <w:t xml:space="preserve">7,076</w:t>
      </w:r>
    </w:p>
    <w:p>
      <w:pPr>
        <w:pStyle w:val="BodyText"/>
      </w:pPr>
      <w:r>
        <w:t xml:space="preserve">-20%</w:t>
      </w:r>
    </w:p>
    <w:p>
      <w:pPr>
        <w:pStyle w:val="BodyText"/>
      </w:pPr>
      <w:r>
        <w:t xml:space="preserve">Operating margin</w:t>
      </w:r>
    </w:p>
    <w:p>
      <w:pPr>
        <w:pStyle w:val="BodyText"/>
      </w:pPr>
      <w:r>
        <w:t xml:space="preserve">6.3%</w:t>
      </w:r>
    </w:p>
    <w:p>
      <w:pPr>
        <w:pStyle w:val="BodyText"/>
      </w:pPr>
      <w:r>
        <w:t xml:space="preserve">12.1%</w:t>
      </w:r>
    </w:p>
    <w:p>
      <w:pPr>
        <w:pStyle w:val="BodyText"/>
      </w:pPr>
      <w:r>
        <w:t xml:space="preserve">16.8%</w:t>
      </w:r>
    </w:p>
    <w:p>
      <w:pPr>
        <w:pStyle w:val="BodyText"/>
      </w:pPr>
      <w:r>
        <w:t xml:space="preserve">9.2%</w:t>
      </w:r>
    </w:p>
    <w:p>
      <w:pPr>
        <w:pStyle w:val="BodyText"/>
      </w:pPr>
      <w:r>
        <w:t xml:space="preserve">7.2%</w:t>
      </w:r>
    </w:p>
    <w:p>
      <w:pPr>
        <w:pStyle w:val="BodyText"/>
      </w:pPr>
      <w:r>
        <w:t xml:space="preserve">-194 bp</w:t>
      </w:r>
    </w:p>
    <w:p>
      <w:pPr>
        <w:pStyle w:val="BodyText"/>
      </w:pPr>
      <w:r>
        <w:t xml:space="preserve">Adjusted EBITDA</w:t>
      </w:r>
    </w:p>
    <w:p>
      <w:pPr>
        <w:pStyle w:val="BodyText"/>
      </w:pPr>
      <w:r>
        <w:t xml:space="preserve">5,817</w:t>
      </w:r>
    </w:p>
    <w:p>
      <w:pPr>
        <w:pStyle w:val="BodyText"/>
      </w:pPr>
      <w:r>
        <w:t xml:space="preserve">11,621</w:t>
      </w:r>
    </w:p>
    <w:p>
      <w:pPr>
        <w:pStyle w:val="BodyText"/>
      </w:pPr>
      <w:r>
        <w:t xml:space="preserve">19,186</w:t>
      </w:r>
    </w:p>
    <w:p>
      <w:pPr>
        <w:pStyle w:val="BodyText"/>
      </w:pPr>
      <w:r>
        <w:t xml:space="preserve">16,631</w:t>
      </w:r>
    </w:p>
    <w:p>
      <w:pPr>
        <w:pStyle w:val="BodyText"/>
      </w:pPr>
      <w:r>
        <w:t xml:space="preserve">16,645</w:t>
      </w:r>
    </w:p>
    <w:p>
      <w:pPr>
        <w:pStyle w:val="BodyText"/>
      </w:pPr>
      <w:r>
        <w:t xml:space="preserve">0%</w:t>
      </w:r>
    </w:p>
    <w:p>
      <w:pPr>
        <w:pStyle w:val="BodyText"/>
      </w:pPr>
      <w:r>
        <w:t xml:space="preserve">Adjusted EBITDA margin</w:t>
      </w:r>
    </w:p>
    <w:p>
      <w:pPr>
        <w:pStyle w:val="BodyText"/>
      </w:pPr>
      <w:r>
        <w:t xml:space="preserve">18.4%</w:t>
      </w:r>
    </w:p>
    <w:p>
      <w:pPr>
        <w:pStyle w:val="BodyText"/>
      </w:pPr>
      <w:r>
        <w:t xml:space="preserve">21.6%</w:t>
      </w:r>
    </w:p>
    <w:p>
      <w:pPr>
        <w:pStyle w:val="BodyText"/>
      </w:pPr>
      <w:r>
        <w:t xml:space="preserve">23.6%</w:t>
      </w:r>
    </w:p>
    <w:p>
      <w:pPr>
        <w:pStyle w:val="BodyText"/>
      </w:pPr>
      <w:r>
        <w:t xml:space="preserve">17.2%</w:t>
      </w:r>
    </w:p>
    <w:p>
      <w:pPr>
        <w:pStyle w:val="BodyText"/>
      </w:pPr>
      <w:r>
        <w:t xml:space="preserve">17.0%</w:t>
      </w:r>
    </w:p>
    <w:p>
      <w:pPr>
        <w:pStyle w:val="BodyText"/>
      </w:pPr>
      <w:r>
        <w:t xml:space="preserve">-15 bp</w:t>
      </w:r>
    </w:p>
    <w:p>
      <w:pPr>
        <w:pStyle w:val="BodyText"/>
      </w:pPr>
      <w:r>
        <w:t xml:space="preserve">Net income attributable to common stockholders (GAAP)</w:t>
      </w:r>
    </w:p>
    <w:p>
      <w:pPr>
        <w:pStyle w:val="BodyText"/>
      </w:pPr>
      <w:r>
        <w:t xml:space="preserve">721</w:t>
      </w:r>
    </w:p>
    <w:p>
      <w:pPr>
        <w:pStyle w:val="BodyText"/>
      </w:pPr>
      <w:r>
        <w:t xml:space="preserve">5,519</w:t>
      </w:r>
    </w:p>
    <w:p>
      <w:pPr>
        <w:pStyle w:val="BodyText"/>
      </w:pPr>
      <w:r>
        <w:t xml:space="preserve">12,556</w:t>
      </w:r>
    </w:p>
    <w:p>
      <w:pPr>
        <w:pStyle w:val="BodyText"/>
      </w:pPr>
      <w:r>
        <w:t xml:space="preserve">14,997</w:t>
      </w:r>
    </w:p>
    <w:p>
      <w:pPr>
        <w:pStyle w:val="BodyText"/>
      </w:pPr>
      <w:r>
        <w:t xml:space="preserve">7,091</w:t>
      </w:r>
    </w:p>
    <w:p>
      <w:pPr>
        <w:pStyle w:val="BodyText"/>
      </w:pPr>
      <w:r>
        <w:t xml:space="preserve">-53%</w:t>
      </w:r>
    </w:p>
    <w:p>
      <w:pPr>
        <w:pStyle w:val="BodyText"/>
      </w:pPr>
      <w:r>
        <w:t xml:space="preserve">Net income attributable to common stockholders (non-GAAP)</w:t>
      </w:r>
    </w:p>
    <w:p>
      <w:pPr>
        <w:pStyle w:val="BodyText"/>
      </w:pPr>
      <w:r>
        <w:t xml:space="preserve">2,455</w:t>
      </w:r>
    </w:p>
    <w:p>
      <w:pPr>
        <w:pStyle w:val="BodyText"/>
      </w:pPr>
      <w:r>
        <w:t xml:space="preserve">7,640</w:t>
      </w:r>
    </w:p>
    <w:p>
      <w:pPr>
        <w:pStyle w:val="BodyText"/>
      </w:pPr>
      <w:r>
        <w:t xml:space="preserve">14,116</w:t>
      </w:r>
    </w:p>
    <w:p>
      <w:pPr>
        <w:pStyle w:val="BodyText"/>
      </w:pPr>
      <w:r>
        <w:t xml:space="preserve">10,882</w:t>
      </w:r>
    </w:p>
    <w:p>
      <w:pPr>
        <w:pStyle w:val="BodyText"/>
      </w:pPr>
      <w:r>
        <w:t xml:space="preserve">8,419</w:t>
      </w:r>
    </w:p>
    <w:p>
      <w:pPr>
        <w:pStyle w:val="BodyText"/>
      </w:pPr>
      <w:r>
        <w:t xml:space="preserve">-23%</w:t>
      </w:r>
    </w:p>
    <w:p>
      <w:pPr>
        <w:pStyle w:val="BodyText"/>
      </w:pPr>
      <w:r>
        <w:t xml:space="preserve">EPS attributable to common stockholders, diluted (GAAP)</w:t>
      </w:r>
    </w:p>
    <w:p>
      <w:pPr>
        <w:pStyle w:val="BodyText"/>
      </w:pPr>
      <w:r>
        <w:t xml:space="preserve">0.21</w:t>
      </w:r>
    </w:p>
    <w:p>
      <w:pPr>
        <w:pStyle w:val="BodyText"/>
      </w:pPr>
      <w:r>
        <w:t xml:space="preserve">1.63</w:t>
      </w:r>
    </w:p>
    <w:p>
      <w:pPr>
        <w:pStyle w:val="BodyText"/>
      </w:pPr>
      <w:r>
        <w:t xml:space="preserve">3.62</w:t>
      </w:r>
    </w:p>
    <w:p>
      <w:pPr>
        <w:pStyle w:val="BodyText"/>
      </w:pPr>
      <w:r>
        <w:t xml:space="preserve">4.30</w:t>
      </w:r>
    </w:p>
    <w:p>
      <w:pPr>
        <w:pStyle w:val="BodyText"/>
      </w:pPr>
      <w:r>
        <w:t xml:space="preserve">2.04</w:t>
      </w:r>
    </w:p>
    <w:p>
      <w:pPr>
        <w:pStyle w:val="BodyText"/>
      </w:pPr>
      <w:r>
        <w:t xml:space="preserve">-53%</w:t>
      </w:r>
    </w:p>
    <w:p>
      <w:pPr>
        <w:pStyle w:val="BodyText"/>
      </w:pPr>
      <w:r>
        <w:t xml:space="preserve">EPS attributable to common stockholders, diluted (non-GAAP)</w:t>
      </w:r>
    </w:p>
    <w:p>
      <w:pPr>
        <w:pStyle w:val="BodyText"/>
      </w:pPr>
      <w:r>
        <w:t xml:space="preserve">0.75</w:t>
      </w:r>
    </w:p>
    <w:p>
      <w:pPr>
        <w:pStyle w:val="BodyText"/>
      </w:pPr>
      <w:r>
        <w:t xml:space="preserve">2.26</w:t>
      </w:r>
    </w:p>
    <w:p>
      <w:pPr>
        <w:pStyle w:val="BodyText"/>
      </w:pPr>
      <w:r>
        <w:t xml:space="preserve">4.07</w:t>
      </w:r>
    </w:p>
    <w:p>
      <w:pPr>
        <w:pStyle w:val="BodyText"/>
      </w:pPr>
      <w:r>
        <w:t xml:space="preserve">3.12</w:t>
      </w:r>
    </w:p>
    <w:p>
      <w:pPr>
        <w:pStyle w:val="BodyText"/>
      </w:pPr>
      <w:r>
        <w:t xml:space="preserve">2.42</w:t>
      </w:r>
    </w:p>
    <w:p>
      <w:pPr>
        <w:pStyle w:val="BodyText"/>
      </w:pPr>
      <w:r>
        <w:t xml:space="preserve">-22%</w:t>
      </w:r>
    </w:p>
    <w:p>
      <w:pPr>
        <w:pStyle w:val="BodyText"/>
      </w:pPr>
      <w:r>
        <w:t xml:space="preserve">Net cash provided by operating activities</w:t>
      </w:r>
    </w:p>
    <w:p>
      <w:pPr>
        <w:pStyle w:val="BodyText"/>
      </w:pPr>
      <w:r>
        <w:t xml:space="preserve">5,943</w:t>
      </w:r>
    </w:p>
    <w:p>
      <w:pPr>
        <w:pStyle w:val="BodyText"/>
      </w:pPr>
      <w:r>
        <w:t xml:space="preserve">11,497</w:t>
      </w:r>
    </w:p>
    <w:p>
      <w:pPr>
        <w:pStyle w:val="BodyText"/>
      </w:pPr>
      <w:r>
        <w:t xml:space="preserve">14,724</w:t>
      </w:r>
    </w:p>
    <w:p>
      <w:pPr>
        <w:pStyle w:val="BodyText"/>
      </w:pPr>
      <w:r>
        <w:t xml:space="preserve">13,256</w:t>
      </w:r>
    </w:p>
    <w:p>
      <w:pPr>
        <w:pStyle w:val="BodyText"/>
      </w:pPr>
      <w:r>
        <w:t xml:space="preserve">14,923</w:t>
      </w:r>
    </w:p>
    <w:p>
      <w:pPr>
        <w:pStyle w:val="BodyText"/>
      </w:pPr>
      <w:r>
        <w:t xml:space="preserve">13%</w:t>
      </w:r>
    </w:p>
    <w:p>
      <w:pPr>
        <w:pStyle w:val="BodyText"/>
      </w:pPr>
      <w:r>
        <w:t xml:space="preserve">Capital expenditures</w:t>
      </w:r>
    </w:p>
    <w:p>
      <w:pPr>
        <w:pStyle w:val="BodyText"/>
      </w:pPr>
      <w:r>
        <w:t xml:space="preserve">(3,157)</w:t>
      </w:r>
    </w:p>
    <w:p>
      <w:pPr>
        <w:pStyle w:val="BodyText"/>
      </w:pPr>
      <w:r>
        <w:t xml:space="preserve">(6,482)</w:t>
      </w:r>
    </w:p>
    <w:p>
      <w:pPr>
        <w:pStyle w:val="BodyText"/>
      </w:pPr>
      <w:r>
        <w:t xml:space="preserve">(7,158)</w:t>
      </w:r>
    </w:p>
    <w:p>
      <w:pPr>
        <w:pStyle w:val="BodyText"/>
      </w:pPr>
      <w:r>
        <w:t xml:space="preserve">(8,898)</w:t>
      </w:r>
    </w:p>
    <w:p>
      <w:pPr>
        <w:pStyle w:val="BodyText"/>
      </w:pPr>
      <w:r>
        <w:t xml:space="preserve">(11,339)</w:t>
      </w:r>
    </w:p>
    <w:p>
      <w:pPr>
        <w:pStyle w:val="BodyText"/>
      </w:pPr>
      <w:r>
        <w:t xml:space="preserve">27%</w:t>
      </w:r>
    </w:p>
    <w:p>
      <w:pPr>
        <w:pStyle w:val="BodyText"/>
      </w:pPr>
      <w:r>
        <w:t xml:space="preserve">Free cash flow</w:t>
      </w:r>
    </w:p>
    <w:p>
      <w:pPr>
        <w:pStyle w:val="BodyText"/>
      </w:pPr>
      <w:r>
        <w:t xml:space="preserve">2,786</w:t>
      </w:r>
    </w:p>
    <w:p>
      <w:pPr>
        <w:pStyle w:val="BodyText"/>
      </w:pPr>
      <w:r>
        <w:t xml:space="preserve">5,015</w:t>
      </w:r>
    </w:p>
    <w:p>
      <w:pPr>
        <w:pStyle w:val="BodyText"/>
      </w:pPr>
      <w:r>
        <w:t xml:space="preserve">7,566</w:t>
      </w:r>
    </w:p>
    <w:p>
      <w:pPr>
        <w:pStyle w:val="BodyText"/>
      </w:pPr>
      <w:r>
        <w:t xml:space="preserve">4,358</w:t>
      </w:r>
    </w:p>
    <w:p>
      <w:pPr>
        <w:pStyle w:val="BodyText"/>
      </w:pPr>
      <w:r>
        <w:t xml:space="preserve">3,584</w:t>
      </w:r>
    </w:p>
    <w:p>
      <w:pPr>
        <w:pStyle w:val="BodyText"/>
      </w:pPr>
      <w:r>
        <w:t xml:space="preserve">-18%</w:t>
      </w:r>
    </w:p>
    <w:p>
      <w:pPr>
        <w:pStyle w:val="BodyText"/>
      </w:pPr>
      <w:r>
        <w:t xml:space="preserve">Cash, cash equivalents and investments</w:t>
      </w:r>
    </w:p>
    <w:p>
      <w:pPr>
        <w:pStyle w:val="BodyText"/>
      </w:pPr>
      <w:r>
        <w:t xml:space="preserve">19,384</w:t>
      </w:r>
    </w:p>
    <w:p>
      <w:pPr>
        <w:pStyle w:val="BodyText"/>
      </w:pPr>
      <w:r>
        <w:t xml:space="preserve">17,707</w:t>
      </w:r>
    </w:p>
    <w:p>
      <w:pPr>
        <w:pStyle w:val="BodyText"/>
      </w:pPr>
      <w:r>
        <w:t xml:space="preserve">22,185</w:t>
      </w:r>
    </w:p>
    <w:p>
      <w:pPr>
        <w:pStyle w:val="BodyText"/>
      </w:pPr>
      <w:r>
        <w:t xml:space="preserve">29,094</w:t>
      </w:r>
    </w:p>
    <w:p>
      <w:pPr>
        <w:pStyle w:val="BodyText"/>
      </w:pPr>
      <w:r>
        <w:t xml:space="preserve">36,563</w:t>
      </w:r>
    </w:p>
    <w:p>
      <w:pPr>
        <w:pStyle w:val="BodyText"/>
      </w:pPr>
      <w:r>
        <w:t xml:space="preserve">26%</w:t>
      </w:r>
    </w:p>
    <w:bookmarkEnd w:id="14"/>
    <w:bookmarkStart w:id="15" w:name="revenue"/>
    <w:p>
      <w:pPr>
        <w:pStyle w:val="Heading1"/>
      </w:pPr>
      <w:r>
        <w:t xml:space="preserve">Revenue</w:t>
      </w:r>
    </w:p>
    <w:p>
      <w:pPr>
        <w:pStyle w:val="FirstParagraph"/>
      </w:pPr>
      <w:r>
        <w:t xml:space="preserve">Total revenue increased 2% YoY in Q4 to $25.7B. YoY, revenue was impacted by the following items:</w:t>
      </w:r>
    </w:p>
    <w:p>
      <w:pPr>
        <w:pStyle w:val="Compact"/>
        <w:numPr>
          <w:ilvl w:val="0"/>
          <w:numId w:val="1001"/>
        </w:numPr>
      </w:pPr>
      <w:r>
        <w:t xml:space="preserve">growth in Energy Generation and Storage and Services and Other</w:t>
      </w:r>
      <w:r>
        <w:br/>
      </w:r>
    </w:p>
    <w:p>
      <w:pPr>
        <w:pStyle w:val="Compact"/>
        <w:numPr>
          <w:ilvl w:val="0"/>
          <w:numId w:val="1001"/>
        </w:numPr>
      </w:pPr>
      <w:r>
        <w:t xml:space="preserve">growth in vehicle deliveries</w:t>
      </w:r>
      <w:r>
        <w:br/>
      </w:r>
    </w:p>
    <w:p>
      <w:pPr>
        <w:pStyle w:val="Compact"/>
        <w:numPr>
          <w:ilvl w:val="0"/>
          <w:numId w:val="1001"/>
        </w:numPr>
      </w:pPr>
      <w:r>
        <w:t xml:space="preserve">higher regulatory credit revenue</w:t>
      </w:r>
      <w:r>
        <w:br/>
      </w:r>
    </w:p>
    <w:p>
      <w:pPr>
        <w:pStyle w:val="Compact"/>
        <w:numPr>
          <w:ilvl w:val="0"/>
          <w:numId w:val="1001"/>
        </w:numPr>
      </w:pPr>
      <w:r>
        <w:t xml:space="preserve">reduced S3XY vehicle average selling price (ASP) (excl. FX impact1), due to pricing, attractive financing options and mix</w:t>
      </w:r>
    </w:p>
    <w:bookmarkEnd w:id="15"/>
    <w:bookmarkStart w:id="16" w:name="profitability-1"/>
    <w:p>
      <w:pPr>
        <w:pStyle w:val="Heading1"/>
      </w:pPr>
      <w:r>
        <w:t xml:space="preserve">Profitability</w:t>
      </w:r>
    </w:p>
    <w:p>
      <w:pPr>
        <w:pStyle w:val="FirstParagraph"/>
      </w:pPr>
      <w:r>
        <w:t xml:space="preserve">Our operating income decreased 23% YoY to $1.6B in Q4, resulting in a 6.2% operating margin. YoY, operating income was primarily impacted by the following items:</w:t>
      </w:r>
    </w:p>
    <w:p>
      <w:pPr>
        <w:pStyle w:val="Compact"/>
        <w:numPr>
          <w:ilvl w:val="0"/>
          <w:numId w:val="1002"/>
        </w:numPr>
      </w:pPr>
      <w:r>
        <w:t xml:space="preserve">reduced S3XY vehicle ASP</w:t>
      </w:r>
      <w:r>
        <w:br/>
      </w:r>
    </w:p>
    <w:p>
      <w:pPr>
        <w:pStyle w:val="Compact"/>
        <w:numPr>
          <w:ilvl w:val="0"/>
          <w:numId w:val="1002"/>
        </w:numPr>
      </w:pPr>
      <w:r>
        <w:t xml:space="preserve">increase in operating expenses driven by AI and other R&amp;D projects</w:t>
      </w:r>
      <w:r>
        <w:br/>
      </w:r>
    </w:p>
    <w:p>
      <w:pPr>
        <w:pStyle w:val="Compact"/>
        <w:numPr>
          <w:ilvl w:val="0"/>
          <w:numId w:val="1002"/>
        </w:numPr>
      </w:pPr>
      <w:r>
        <w:t xml:space="preserve">growth in Energy Generation and Storage and Services and Other gross profit</w:t>
      </w:r>
      <w:r>
        <w:br/>
      </w:r>
    </w:p>
    <w:p>
      <w:pPr>
        <w:pStyle w:val="Compact"/>
        <w:numPr>
          <w:ilvl w:val="0"/>
          <w:numId w:val="1002"/>
        </w:numPr>
      </w:pPr>
      <w:r>
        <w:t xml:space="preserve">lower cost per vehicle, including lower raw material costs partially offset by lower fixed cost absorption from production decrease YoY</w:t>
      </w:r>
      <w:r>
        <w:br/>
      </w:r>
    </w:p>
    <w:p>
      <w:pPr>
        <w:pStyle w:val="Compact"/>
        <w:numPr>
          <w:ilvl w:val="0"/>
          <w:numId w:val="1002"/>
        </w:numPr>
      </w:pPr>
      <w:r>
        <w:t xml:space="preserve">higher regulatory credit revenue</w:t>
      </w:r>
    </w:p>
    <w:bookmarkEnd w:id="16"/>
    <w:bookmarkStart w:id="17" w:name="cash-1"/>
    <w:p>
      <w:pPr>
        <w:pStyle w:val="Heading1"/>
      </w:pPr>
      <w:r>
        <w:t xml:space="preserve">Cash</w:t>
      </w:r>
    </w:p>
    <w:p>
      <w:pPr>
        <w:pStyle w:val="FirstParagraph"/>
      </w:pPr>
      <w:r>
        <w:t xml:space="preserve">Quarter-end cash, cash equivalents and investments in Q4 was $36.6B. The sequential increase of $2.9B was primarily the result of positive free cash flow of $2.0B.</w:t>
      </w:r>
    </w:p>
    <w:p>
      <w:pPr>
        <w:pStyle w:val="BodyText"/>
      </w:pPr>
      <w:r>
        <w:t xml:space="preserve">O P E R A T I O N A L S U M M A R Y</w:t>
      </w:r>
      <w:r>
        <w:br/>
      </w:r>
      <w:r>
        <w:t xml:space="preserve">(Unaudited)</w:t>
      </w:r>
    </w:p>
    <w:p>
      <w:pPr>
        <w:pStyle w:val="BodyText"/>
      </w:pPr>
      <w:r>
        <w:t xml:space="preserve">Q4-2023</w:t>
      </w:r>
    </w:p>
    <w:p>
      <w:pPr>
        <w:pStyle w:val="BodyText"/>
      </w:pPr>
      <w:r>
        <w:t xml:space="preserve">Q1-2024</w:t>
      </w:r>
    </w:p>
    <w:p>
      <w:pPr>
        <w:pStyle w:val="BodyText"/>
      </w:pPr>
      <w:r>
        <w:t xml:space="preserve">Q2-2024</w:t>
      </w:r>
    </w:p>
    <w:p>
      <w:pPr>
        <w:pStyle w:val="BodyText"/>
      </w:pPr>
      <w:r>
        <w:t xml:space="preserve">Q3-2024</w:t>
      </w:r>
    </w:p>
    <w:p>
      <w:pPr>
        <w:pStyle w:val="BodyText"/>
      </w:pPr>
      <w:r>
        <w:t xml:space="preserve">Q4-2024</w:t>
      </w:r>
    </w:p>
    <w:p>
      <w:pPr>
        <w:pStyle w:val="BodyText"/>
      </w:pPr>
      <w:r>
        <w:t xml:space="preserve">YoY</w:t>
      </w:r>
    </w:p>
    <w:p>
      <w:pPr>
        <w:pStyle w:val="BodyText"/>
      </w:pPr>
      <w:r>
        <w:t xml:space="preserve">Model 3/Y production</w:t>
      </w:r>
    </w:p>
    <w:p>
      <w:pPr>
        <w:pStyle w:val="BodyText"/>
      </w:pPr>
      <w:r>
        <w:t xml:space="preserve">476,777</w:t>
      </w:r>
    </w:p>
    <w:p>
      <w:pPr>
        <w:pStyle w:val="BodyText"/>
      </w:pPr>
      <w:r>
        <w:t xml:space="preserve">412,376</w:t>
      </w:r>
    </w:p>
    <w:p>
      <w:pPr>
        <w:pStyle w:val="BodyText"/>
      </w:pPr>
      <w:r>
        <w:t xml:space="preserve">386,576</w:t>
      </w:r>
    </w:p>
    <w:p>
      <w:pPr>
        <w:pStyle w:val="BodyText"/>
      </w:pPr>
      <w:r>
        <w:t xml:space="preserve">443,668</w:t>
      </w:r>
    </w:p>
    <w:p>
      <w:pPr>
        <w:pStyle w:val="BodyText"/>
      </w:pPr>
      <w:r>
        <w:t xml:space="preserve">436,718</w:t>
      </w:r>
    </w:p>
    <w:p>
      <w:pPr>
        <w:pStyle w:val="BodyText"/>
      </w:pPr>
      <w:r>
        <w:t xml:space="preserve">-8%</w:t>
      </w:r>
    </w:p>
    <w:p>
      <w:pPr>
        <w:pStyle w:val="BodyText"/>
      </w:pPr>
      <w:r>
        <w:t xml:space="preserve">Other models production</w:t>
      </w:r>
    </w:p>
    <w:p>
      <w:pPr>
        <w:pStyle w:val="BodyText"/>
      </w:pPr>
      <w:r>
        <w:t xml:space="preserve">18,212</w:t>
      </w:r>
    </w:p>
    <w:p>
      <w:pPr>
        <w:pStyle w:val="BodyText"/>
      </w:pPr>
      <w:r>
        <w:t xml:space="preserve">20,995</w:t>
      </w:r>
    </w:p>
    <w:p>
      <w:pPr>
        <w:pStyle w:val="BodyText"/>
      </w:pPr>
      <w:r>
        <w:t xml:space="preserve">24,255</w:t>
      </w:r>
    </w:p>
    <w:p>
      <w:pPr>
        <w:pStyle w:val="BodyText"/>
      </w:pPr>
      <w:r>
        <w:t xml:space="preserve">26,128</w:t>
      </w:r>
    </w:p>
    <w:p>
      <w:pPr>
        <w:pStyle w:val="BodyText"/>
      </w:pPr>
      <w:r>
        <w:t xml:space="preserve">22,727</w:t>
      </w:r>
    </w:p>
    <w:p>
      <w:pPr>
        <w:pStyle w:val="BodyText"/>
      </w:pPr>
      <w:r>
        <w:t xml:space="preserve">25%</w:t>
      </w:r>
    </w:p>
    <w:p>
      <w:pPr>
        <w:pStyle w:val="BodyText"/>
      </w:pPr>
      <w:r>
        <w:t xml:space="preserve">Total production</w:t>
      </w:r>
    </w:p>
    <w:p>
      <w:pPr>
        <w:pStyle w:val="BodyText"/>
      </w:pPr>
      <w:r>
        <w:t xml:space="preserve">494,989</w:t>
      </w:r>
    </w:p>
    <w:p>
      <w:pPr>
        <w:pStyle w:val="BodyText"/>
      </w:pPr>
      <w:r>
        <w:t xml:space="preserve">433,371</w:t>
      </w:r>
    </w:p>
    <w:p>
      <w:pPr>
        <w:pStyle w:val="BodyText"/>
      </w:pPr>
      <w:r>
        <w:t xml:space="preserve">410,831</w:t>
      </w:r>
    </w:p>
    <w:p>
      <w:pPr>
        <w:pStyle w:val="BodyText"/>
      </w:pPr>
      <w:r>
        <w:t xml:space="preserve">469,796</w:t>
      </w:r>
    </w:p>
    <w:p>
      <w:pPr>
        <w:pStyle w:val="BodyText"/>
      </w:pPr>
      <w:r>
        <w:t xml:space="preserve">459,445</w:t>
      </w:r>
    </w:p>
    <w:p>
      <w:pPr>
        <w:pStyle w:val="BodyText"/>
      </w:pPr>
      <w:r>
        <w:t xml:space="preserve">-7%</w:t>
      </w:r>
    </w:p>
    <w:p>
      <w:pPr>
        <w:pStyle w:val="BodyText"/>
      </w:pPr>
      <w:r>
        <w:t xml:space="preserve">Model 3/Y deliveries</w:t>
      </w:r>
    </w:p>
    <w:p>
      <w:pPr>
        <w:pStyle w:val="BodyText"/>
      </w:pPr>
      <w:r>
        <w:t xml:space="preserve">461,538</w:t>
      </w:r>
    </w:p>
    <w:p>
      <w:pPr>
        <w:pStyle w:val="BodyText"/>
      </w:pPr>
      <w:r>
        <w:t xml:space="preserve">369,783</w:t>
      </w:r>
    </w:p>
    <w:p>
      <w:pPr>
        <w:pStyle w:val="BodyText"/>
      </w:pPr>
      <w:r>
        <w:t xml:space="preserve">422,405</w:t>
      </w:r>
    </w:p>
    <w:p>
      <w:pPr>
        <w:pStyle w:val="BodyText"/>
      </w:pPr>
      <w:r>
        <w:t xml:space="preserve">439,975</w:t>
      </w:r>
    </w:p>
    <w:p>
      <w:pPr>
        <w:pStyle w:val="BodyText"/>
      </w:pPr>
      <w:r>
        <w:t xml:space="preserve">471,930</w:t>
      </w:r>
    </w:p>
    <w:p>
      <w:pPr>
        <w:pStyle w:val="BodyText"/>
      </w:pPr>
      <w:r>
        <w:t xml:space="preserve">2%</w:t>
      </w:r>
    </w:p>
    <w:p>
      <w:pPr>
        <w:pStyle w:val="BodyText"/>
      </w:pPr>
      <w:r>
        <w:t xml:space="preserve">Other models deliveries</w:t>
      </w:r>
    </w:p>
    <w:p>
      <w:pPr>
        <w:pStyle w:val="BodyText"/>
      </w:pPr>
      <w:r>
        <w:t xml:space="preserve">22,969</w:t>
      </w:r>
    </w:p>
    <w:p>
      <w:pPr>
        <w:pStyle w:val="BodyText"/>
      </w:pPr>
      <w:r>
        <w:t xml:space="preserve">17,027</w:t>
      </w:r>
    </w:p>
    <w:p>
      <w:pPr>
        <w:pStyle w:val="BodyText"/>
      </w:pPr>
      <w:r>
        <w:t xml:space="preserve">21,551</w:t>
      </w:r>
    </w:p>
    <w:p>
      <w:pPr>
        <w:pStyle w:val="BodyText"/>
      </w:pPr>
      <w:r>
        <w:t xml:space="preserve">22,915</w:t>
      </w:r>
    </w:p>
    <w:p>
      <w:pPr>
        <w:pStyle w:val="BodyText"/>
      </w:pPr>
      <w:r>
        <w:t xml:space="preserve">23,640</w:t>
      </w:r>
    </w:p>
    <w:p>
      <w:pPr>
        <w:pStyle w:val="BodyText"/>
      </w:pPr>
      <w:r>
        <w:t xml:space="preserve">3%</w:t>
      </w:r>
    </w:p>
    <w:p>
      <w:pPr>
        <w:pStyle w:val="BodyText"/>
      </w:pPr>
      <w:r>
        <w:t xml:space="preserve">Total deliveries</w:t>
      </w:r>
    </w:p>
    <w:p>
      <w:pPr>
        <w:pStyle w:val="BodyText"/>
      </w:pPr>
      <w:r>
        <w:t xml:space="preserve">484,507</w:t>
      </w:r>
    </w:p>
    <w:p>
      <w:pPr>
        <w:pStyle w:val="BodyText"/>
      </w:pPr>
      <w:r>
        <w:t xml:space="preserve">386,810</w:t>
      </w:r>
    </w:p>
    <w:p>
      <w:pPr>
        <w:pStyle w:val="BodyText"/>
      </w:pPr>
      <w:r>
        <w:t xml:space="preserve">443,956</w:t>
      </w:r>
    </w:p>
    <w:p>
      <w:pPr>
        <w:pStyle w:val="BodyText"/>
      </w:pPr>
      <w:r>
        <w:t xml:space="preserve">462,890</w:t>
      </w:r>
    </w:p>
    <w:p>
      <w:pPr>
        <w:pStyle w:val="BodyText"/>
      </w:pPr>
      <w:r>
        <w:t xml:space="preserve">495,570</w:t>
      </w:r>
    </w:p>
    <w:p>
      <w:pPr>
        <w:pStyle w:val="BodyText"/>
      </w:pPr>
      <w:r>
        <w:t xml:space="preserve">2%</w:t>
      </w:r>
    </w:p>
    <w:p>
      <w:pPr>
        <w:pStyle w:val="BodyText"/>
      </w:pPr>
      <w:r>
        <w:t xml:space="preserve">of which subject to operating lease accounting</w:t>
      </w:r>
    </w:p>
    <w:p>
      <w:pPr>
        <w:pStyle w:val="BodyText"/>
      </w:pPr>
      <w:r>
        <w:t xml:space="preserve">10,563</w:t>
      </w:r>
    </w:p>
    <w:p>
      <w:pPr>
        <w:pStyle w:val="BodyText"/>
      </w:pPr>
      <w:r>
        <w:t xml:space="preserve">8,365</w:t>
      </w:r>
    </w:p>
    <w:p>
      <w:pPr>
        <w:pStyle w:val="BodyText"/>
      </w:pPr>
      <w:r>
        <w:t xml:space="preserve">10,227</w:t>
      </w:r>
    </w:p>
    <w:p>
      <w:pPr>
        <w:pStyle w:val="BodyText"/>
      </w:pPr>
      <w:r>
        <w:t xml:space="preserve">14,449</w:t>
      </w:r>
    </w:p>
    <w:p>
      <w:pPr>
        <w:pStyle w:val="BodyText"/>
      </w:pPr>
      <w:r>
        <w:t xml:space="preserve">26,962</w:t>
      </w:r>
    </w:p>
    <w:p>
      <w:pPr>
        <w:pStyle w:val="BodyText"/>
      </w:pPr>
      <w:r>
        <w:t xml:space="preserve">155%</w:t>
      </w:r>
    </w:p>
    <w:p>
      <w:pPr>
        <w:pStyle w:val="BodyText"/>
      </w:pPr>
      <w:r>
        <w:t xml:space="preserve">Total end of quarter operating lease vehicle count</w:t>
      </w:r>
    </w:p>
    <w:p>
      <w:pPr>
        <w:pStyle w:val="BodyText"/>
      </w:pPr>
      <w:r>
        <w:t xml:space="preserve">176,564</w:t>
      </w:r>
    </w:p>
    <w:p>
      <w:pPr>
        <w:pStyle w:val="BodyText"/>
      </w:pPr>
      <w:r>
        <w:t xml:space="preserve">173,131</w:t>
      </w:r>
    </w:p>
    <w:p>
      <w:pPr>
        <w:pStyle w:val="BodyText"/>
      </w:pPr>
      <w:r>
        <w:t xml:space="preserve">171,353</w:t>
      </w:r>
    </w:p>
    <w:p>
      <w:pPr>
        <w:pStyle w:val="BodyText"/>
      </w:pPr>
      <w:r>
        <w:t xml:space="preserve">168,867</w:t>
      </w:r>
    </w:p>
    <w:p>
      <w:pPr>
        <w:pStyle w:val="BodyText"/>
      </w:pPr>
      <w:r>
        <w:t xml:space="preserve">180,523</w:t>
      </w:r>
    </w:p>
    <w:p>
      <w:pPr>
        <w:pStyle w:val="BodyText"/>
      </w:pPr>
      <w:r>
        <w:t xml:space="preserve">2%</w:t>
      </w:r>
    </w:p>
    <w:p>
      <w:pPr>
        <w:pStyle w:val="BodyText"/>
      </w:pPr>
      <w:r>
        <w:t xml:space="preserve">Global vehicle inventory (days of supply)(1)</w:t>
      </w:r>
    </w:p>
    <w:p>
      <w:pPr>
        <w:pStyle w:val="BodyText"/>
      </w:pPr>
      <w:r>
        <w:t xml:space="preserve">15</w:t>
      </w:r>
    </w:p>
    <w:p>
      <w:pPr>
        <w:pStyle w:val="BodyText"/>
      </w:pPr>
      <w:r>
        <w:t xml:space="preserve">28</w:t>
      </w:r>
    </w:p>
    <w:p>
      <w:pPr>
        <w:pStyle w:val="BodyText"/>
      </w:pPr>
      <w:r>
        <w:t xml:space="preserve">18</w:t>
      </w:r>
    </w:p>
    <w:p>
      <w:pPr>
        <w:pStyle w:val="BodyText"/>
      </w:pPr>
      <w:r>
        <w:t xml:space="preserve">19</w:t>
      </w:r>
    </w:p>
    <w:p>
      <w:pPr>
        <w:pStyle w:val="BodyText"/>
      </w:pPr>
      <w:r>
        <w:t xml:space="preserve">12</w:t>
      </w:r>
    </w:p>
    <w:p>
      <w:pPr>
        <w:pStyle w:val="BodyText"/>
      </w:pPr>
      <w:r>
        <w:t xml:space="preserve">-20%</w:t>
      </w:r>
    </w:p>
    <w:p>
      <w:pPr>
        <w:pStyle w:val="BodyText"/>
      </w:pPr>
      <w:r>
        <w:t xml:space="preserve">Storage deployed (GWh)</w:t>
      </w:r>
    </w:p>
    <w:p>
      <w:pPr>
        <w:pStyle w:val="BodyText"/>
      </w:pPr>
      <w:r>
        <w:t xml:space="preserve">3.2</w:t>
      </w:r>
    </w:p>
    <w:p>
      <w:pPr>
        <w:pStyle w:val="BodyText"/>
      </w:pPr>
      <w:r>
        <w:t xml:space="preserve">4.1</w:t>
      </w:r>
    </w:p>
    <w:p>
      <w:pPr>
        <w:pStyle w:val="BodyText"/>
      </w:pPr>
      <w:r>
        <w:t xml:space="preserve">9.4</w:t>
      </w:r>
    </w:p>
    <w:p>
      <w:pPr>
        <w:pStyle w:val="BodyText"/>
      </w:pPr>
      <w:r>
        <w:t xml:space="preserve">6.9</w:t>
      </w:r>
    </w:p>
    <w:p>
      <w:pPr>
        <w:pStyle w:val="BodyText"/>
      </w:pPr>
      <w:r>
        <w:t xml:space="preserve">11.0</w:t>
      </w:r>
    </w:p>
    <w:p>
      <w:pPr>
        <w:pStyle w:val="BodyText"/>
      </w:pPr>
      <w:r>
        <w:t xml:space="preserve">244%</w:t>
      </w:r>
    </w:p>
    <w:p>
      <w:pPr>
        <w:pStyle w:val="BodyText"/>
      </w:pPr>
      <w:r>
        <w:t xml:space="preserve">Tesla locations</w:t>
      </w:r>
    </w:p>
    <w:p>
      <w:pPr>
        <w:pStyle w:val="BodyText"/>
      </w:pPr>
      <w:r>
        <w:t xml:space="preserve">1,208</w:t>
      </w:r>
    </w:p>
    <w:p>
      <w:pPr>
        <w:pStyle w:val="BodyText"/>
      </w:pPr>
      <w:r>
        <w:t xml:space="preserve">1,258</w:t>
      </w:r>
    </w:p>
    <w:p>
      <w:pPr>
        <w:pStyle w:val="BodyText"/>
      </w:pPr>
      <w:r>
        <w:t xml:space="preserve">1,286</w:t>
      </w:r>
    </w:p>
    <w:p>
      <w:pPr>
        <w:pStyle w:val="BodyText"/>
      </w:pPr>
      <w:r>
        <w:t xml:space="preserve">1,306</w:t>
      </w:r>
    </w:p>
    <w:p>
      <w:pPr>
        <w:pStyle w:val="BodyText"/>
      </w:pPr>
      <w:r>
        <w:t xml:space="preserve">1,359</w:t>
      </w:r>
    </w:p>
    <w:p>
      <w:pPr>
        <w:pStyle w:val="BodyText"/>
      </w:pPr>
      <w:r>
        <w:t xml:space="preserve">13%</w:t>
      </w:r>
    </w:p>
    <w:p>
      <w:pPr>
        <w:pStyle w:val="BodyText"/>
      </w:pPr>
      <w:r>
        <w:t xml:space="preserve">Mobile service fleet</w:t>
      </w:r>
    </w:p>
    <w:p>
      <w:pPr>
        <w:pStyle w:val="BodyText"/>
      </w:pPr>
      <w:r>
        <w:t xml:space="preserve">1,909</w:t>
      </w:r>
    </w:p>
    <w:p>
      <w:pPr>
        <w:pStyle w:val="BodyText"/>
      </w:pPr>
      <w:r>
        <w:t xml:space="preserve">1,897</w:t>
      </w:r>
    </w:p>
    <w:p>
      <w:pPr>
        <w:pStyle w:val="BodyText"/>
      </w:pPr>
      <w:r>
        <w:t xml:space="preserve">1,896</w:t>
      </w:r>
    </w:p>
    <w:p>
      <w:pPr>
        <w:pStyle w:val="BodyText"/>
      </w:pPr>
      <w:r>
        <w:t xml:space="preserve">1,933</w:t>
      </w:r>
    </w:p>
    <w:p>
      <w:pPr>
        <w:pStyle w:val="BodyText"/>
      </w:pPr>
      <w:r>
        <w:t xml:space="preserve">1,895</w:t>
      </w:r>
    </w:p>
    <w:p>
      <w:pPr>
        <w:pStyle w:val="BodyText"/>
      </w:pPr>
      <w:r>
        <w:t xml:space="preserve">-1%</w:t>
      </w:r>
    </w:p>
    <w:p>
      <w:pPr>
        <w:pStyle w:val="BodyText"/>
      </w:pPr>
      <w:r>
        <w:t xml:space="preserve">Supercharger stations</w:t>
      </w:r>
    </w:p>
    <w:p>
      <w:pPr>
        <w:pStyle w:val="BodyText"/>
      </w:pPr>
      <w:r>
        <w:t xml:space="preserve">5,952</w:t>
      </w:r>
    </w:p>
    <w:p>
      <w:pPr>
        <w:pStyle w:val="BodyText"/>
      </w:pPr>
      <w:r>
        <w:t xml:space="preserve">6,249</w:t>
      </w:r>
    </w:p>
    <w:p>
      <w:pPr>
        <w:pStyle w:val="BodyText"/>
      </w:pPr>
      <w:r>
        <w:t xml:space="preserve">6,473</w:t>
      </w:r>
    </w:p>
    <w:p>
      <w:pPr>
        <w:pStyle w:val="BodyText"/>
      </w:pPr>
      <w:r>
        <w:t xml:space="preserve">6,706</w:t>
      </w:r>
    </w:p>
    <w:p>
      <w:pPr>
        <w:pStyle w:val="BodyText"/>
      </w:pPr>
      <w:r>
        <w:t xml:space="preserve">6,975</w:t>
      </w:r>
    </w:p>
    <w:p>
      <w:pPr>
        <w:pStyle w:val="BodyText"/>
      </w:pPr>
      <w:r>
        <w:t xml:space="preserve">17%</w:t>
      </w:r>
    </w:p>
    <w:p>
      <w:pPr>
        <w:pStyle w:val="BodyText"/>
      </w:pPr>
      <w:r>
        <w:t xml:space="preserve">Supercharger connectors</w:t>
      </w:r>
    </w:p>
    <w:p>
      <w:pPr>
        <w:pStyle w:val="BodyText"/>
      </w:pPr>
      <w:r>
        <w:t xml:space="preserve">54,892</w:t>
      </w:r>
    </w:p>
    <w:p>
      <w:pPr>
        <w:pStyle w:val="BodyText"/>
      </w:pPr>
      <w:r>
        <w:t xml:space="preserve">57,579</w:t>
      </w:r>
    </w:p>
    <w:p>
      <w:pPr>
        <w:pStyle w:val="BodyText"/>
      </w:pPr>
      <w:r>
        <w:t xml:space="preserve">59,596</w:t>
      </w:r>
    </w:p>
    <w:p>
      <w:pPr>
        <w:pStyle w:val="BodyText"/>
      </w:pPr>
      <w:r>
        <w:t xml:space="preserve">62,421</w:t>
      </w:r>
    </w:p>
    <w:p>
      <w:pPr>
        <w:pStyle w:val="BodyText"/>
      </w:pPr>
      <w:r>
        <w:t xml:space="preserve">65,495</w:t>
      </w:r>
    </w:p>
    <w:p>
      <w:pPr>
        <w:pStyle w:val="BodyText"/>
      </w:pPr>
      <w:r>
        <w:t xml:space="preserve">19%</w:t>
      </w:r>
    </w:p>
    <w:p>
      <w:pPr>
        <w:pStyle w:val="BodyText"/>
      </w:pPr>
      <w:r>
        <w:t xml:space="preserve">O P E R A T I O N A L S U M M A R Y</w:t>
      </w:r>
      <w:r>
        <w:br/>
      </w:r>
      <w:r>
        <w:t xml:space="preserve">(Unaudited)</w:t>
      </w:r>
    </w:p>
    <w:p>
      <w:pPr>
        <w:pStyle w:val="BodyText"/>
      </w:pPr>
      <w:r>
        <w:t xml:space="preserve">2020</w:t>
      </w:r>
    </w:p>
    <w:p>
      <w:pPr>
        <w:pStyle w:val="BodyText"/>
      </w:pPr>
      <w:r>
        <w:t xml:space="preserve">2021</w:t>
      </w:r>
    </w:p>
    <w:p>
      <w:pPr>
        <w:pStyle w:val="BodyText"/>
      </w:pPr>
      <w:r>
        <w:t xml:space="preserve">2022</w:t>
      </w:r>
    </w:p>
    <w:p>
      <w:pPr>
        <w:pStyle w:val="BodyText"/>
      </w:pPr>
      <w:r>
        <w:t xml:space="preserve">2023</w:t>
      </w:r>
    </w:p>
    <w:p>
      <w:pPr>
        <w:pStyle w:val="BodyText"/>
      </w:pPr>
      <w:r>
        <w:t xml:space="preserve">2024</w:t>
      </w:r>
    </w:p>
    <w:p>
      <w:pPr>
        <w:pStyle w:val="BodyText"/>
      </w:pPr>
      <w:r>
        <w:t xml:space="preserve">YoY</w:t>
      </w:r>
    </w:p>
    <w:p>
      <w:pPr>
        <w:pStyle w:val="BodyText"/>
      </w:pPr>
      <w:r>
        <w:t xml:space="preserve">Model 3/Y production</w:t>
      </w:r>
    </w:p>
    <w:p>
      <w:pPr>
        <w:pStyle w:val="BodyText"/>
      </w:pPr>
      <w:r>
        <w:t xml:space="preserve">454,932</w:t>
      </w:r>
    </w:p>
    <w:p>
      <w:pPr>
        <w:pStyle w:val="BodyText"/>
      </w:pPr>
      <w:r>
        <w:t xml:space="preserve">906,032</w:t>
      </w:r>
    </w:p>
    <w:p>
      <w:pPr>
        <w:pStyle w:val="BodyText"/>
      </w:pPr>
      <w:r>
        <w:t xml:space="preserve">1,298,434</w:t>
      </w:r>
    </w:p>
    <w:p>
      <w:pPr>
        <w:pStyle w:val="BodyText"/>
      </w:pPr>
      <w:r>
        <w:t xml:space="preserve">1,775,159</w:t>
      </w:r>
    </w:p>
    <w:p>
      <w:pPr>
        <w:pStyle w:val="BodyText"/>
      </w:pPr>
      <w:r>
        <w:t xml:space="preserve">1,679,338</w:t>
      </w:r>
    </w:p>
    <w:p>
      <w:pPr>
        <w:pStyle w:val="BodyText"/>
      </w:pPr>
      <w:r>
        <w:t xml:space="preserve">-5%</w:t>
      </w:r>
    </w:p>
    <w:p>
      <w:pPr>
        <w:pStyle w:val="BodyText"/>
      </w:pPr>
      <w:r>
        <w:t xml:space="preserve">Other models production</w:t>
      </w:r>
    </w:p>
    <w:p>
      <w:pPr>
        <w:pStyle w:val="BodyText"/>
      </w:pPr>
      <w:r>
        <w:t xml:space="preserve">54,805</w:t>
      </w:r>
    </w:p>
    <w:p>
      <w:pPr>
        <w:pStyle w:val="BodyText"/>
      </w:pPr>
      <w:r>
        <w:t xml:space="preserve">24,390</w:t>
      </w:r>
    </w:p>
    <w:p>
      <w:pPr>
        <w:pStyle w:val="BodyText"/>
      </w:pPr>
      <w:r>
        <w:t xml:space="preserve">71,177</w:t>
      </w:r>
    </w:p>
    <w:p>
      <w:pPr>
        <w:pStyle w:val="BodyText"/>
      </w:pPr>
      <w:r>
        <w:t xml:space="preserve">70,826</w:t>
      </w:r>
    </w:p>
    <w:p>
      <w:pPr>
        <w:pStyle w:val="BodyText"/>
      </w:pPr>
      <w:r>
        <w:t xml:space="preserve">94,105</w:t>
      </w:r>
    </w:p>
    <w:p>
      <w:pPr>
        <w:pStyle w:val="BodyText"/>
      </w:pPr>
      <w:r>
        <w:t xml:space="preserve">33%</w:t>
      </w:r>
    </w:p>
    <w:p>
      <w:pPr>
        <w:pStyle w:val="BodyText"/>
      </w:pPr>
      <w:r>
        <w:t xml:space="preserve">Total production</w:t>
      </w:r>
    </w:p>
    <w:p>
      <w:pPr>
        <w:pStyle w:val="BodyText"/>
      </w:pPr>
      <w:r>
        <w:t xml:space="preserve">509,737</w:t>
      </w:r>
    </w:p>
    <w:p>
      <w:pPr>
        <w:pStyle w:val="BodyText"/>
      </w:pPr>
      <w:r>
        <w:t xml:space="preserve">930,422</w:t>
      </w:r>
    </w:p>
    <w:p>
      <w:pPr>
        <w:pStyle w:val="BodyText"/>
      </w:pPr>
      <w:r>
        <w:t xml:space="preserve">1,369,611</w:t>
      </w:r>
    </w:p>
    <w:p>
      <w:pPr>
        <w:pStyle w:val="BodyText"/>
      </w:pPr>
      <w:r>
        <w:t xml:space="preserve">1,845,985</w:t>
      </w:r>
    </w:p>
    <w:p>
      <w:pPr>
        <w:pStyle w:val="BodyText"/>
      </w:pPr>
      <w:r>
        <w:t xml:space="preserve">1,773,443</w:t>
      </w:r>
    </w:p>
    <w:p>
      <w:pPr>
        <w:pStyle w:val="BodyText"/>
      </w:pPr>
      <w:r>
        <w:t xml:space="preserve">-4%</w:t>
      </w:r>
    </w:p>
    <w:p>
      <w:pPr>
        <w:pStyle w:val="BodyText"/>
      </w:pPr>
      <w:r>
        <w:t xml:space="preserve">Model 3/Y deliveries</w:t>
      </w:r>
    </w:p>
    <w:p>
      <w:pPr>
        <w:pStyle w:val="BodyText"/>
      </w:pPr>
      <w:r>
        <w:t xml:space="preserve">442,562</w:t>
      </w:r>
    </w:p>
    <w:p>
      <w:pPr>
        <w:pStyle w:val="BodyText"/>
      </w:pPr>
      <w:r>
        <w:t xml:space="preserve">911,242</w:t>
      </w:r>
    </w:p>
    <w:p>
      <w:pPr>
        <w:pStyle w:val="BodyText"/>
      </w:pPr>
      <w:r>
        <w:t xml:space="preserve">1,247,146</w:t>
      </w:r>
    </w:p>
    <w:p>
      <w:pPr>
        <w:pStyle w:val="BodyText"/>
      </w:pPr>
      <w:r>
        <w:t xml:space="preserve">1,739,707</w:t>
      </w:r>
    </w:p>
    <w:p>
      <w:pPr>
        <w:pStyle w:val="BodyText"/>
      </w:pPr>
      <w:r>
        <w:t xml:space="preserve">1,704,093</w:t>
      </w:r>
    </w:p>
    <w:p>
      <w:pPr>
        <w:pStyle w:val="BodyText"/>
      </w:pPr>
      <w:r>
        <w:t xml:space="preserve">-2%</w:t>
      </w:r>
    </w:p>
    <w:p>
      <w:pPr>
        <w:pStyle w:val="BodyText"/>
      </w:pPr>
      <w:r>
        <w:t xml:space="preserve">Other models deliveries</w:t>
      </w:r>
    </w:p>
    <w:p>
      <w:pPr>
        <w:pStyle w:val="BodyText"/>
      </w:pPr>
      <w:r>
        <w:t xml:space="preserve">57,085</w:t>
      </w:r>
    </w:p>
    <w:p>
      <w:pPr>
        <w:pStyle w:val="BodyText"/>
      </w:pPr>
      <w:r>
        <w:t xml:space="preserve">24,980</w:t>
      </w:r>
    </w:p>
    <w:p>
      <w:pPr>
        <w:pStyle w:val="BodyText"/>
      </w:pPr>
      <w:r>
        <w:t xml:space="preserve">66,705</w:t>
      </w:r>
    </w:p>
    <w:p>
      <w:pPr>
        <w:pStyle w:val="BodyText"/>
      </w:pPr>
      <w:r>
        <w:t xml:space="preserve">68,874</w:t>
      </w:r>
    </w:p>
    <w:p>
      <w:pPr>
        <w:pStyle w:val="BodyText"/>
      </w:pPr>
      <w:r>
        <w:t xml:space="preserve">85,133</w:t>
      </w:r>
    </w:p>
    <w:p>
      <w:pPr>
        <w:pStyle w:val="BodyText"/>
      </w:pPr>
      <w:r>
        <w:t xml:space="preserve">24%</w:t>
      </w:r>
    </w:p>
    <w:p>
      <w:pPr>
        <w:pStyle w:val="BodyText"/>
      </w:pPr>
      <w:r>
        <w:t xml:space="preserve">Total deliveries</w:t>
      </w:r>
    </w:p>
    <w:p>
      <w:pPr>
        <w:pStyle w:val="BodyText"/>
      </w:pPr>
      <w:r>
        <w:t xml:space="preserve">499,647</w:t>
      </w:r>
    </w:p>
    <w:p>
      <w:pPr>
        <w:pStyle w:val="BodyText"/>
      </w:pPr>
      <w:r>
        <w:t xml:space="preserve">936,222</w:t>
      </w:r>
    </w:p>
    <w:p>
      <w:pPr>
        <w:pStyle w:val="BodyText"/>
      </w:pPr>
      <w:r>
        <w:t xml:space="preserve">1,313,851</w:t>
      </w:r>
    </w:p>
    <w:p>
      <w:pPr>
        <w:pStyle w:val="BodyText"/>
      </w:pPr>
      <w:r>
        <w:t xml:space="preserve">1,808,581</w:t>
      </w:r>
    </w:p>
    <w:p>
      <w:pPr>
        <w:pStyle w:val="BodyText"/>
      </w:pPr>
      <w:r>
        <w:t xml:space="preserve">1,789,226</w:t>
      </w:r>
    </w:p>
    <w:p>
      <w:pPr>
        <w:pStyle w:val="BodyText"/>
      </w:pPr>
      <w:r>
        <w:t xml:space="preserve">-1%</w:t>
      </w:r>
    </w:p>
    <w:p>
      <w:pPr>
        <w:pStyle w:val="BodyText"/>
      </w:pPr>
      <w:r>
        <w:t xml:space="preserve">of which subject to operating lease accounting</w:t>
      </w:r>
    </w:p>
    <w:p>
      <w:pPr>
        <w:pStyle w:val="BodyText"/>
      </w:pPr>
      <w:r>
        <w:t xml:space="preserve">34,470</w:t>
      </w:r>
    </w:p>
    <w:p>
      <w:pPr>
        <w:pStyle w:val="BodyText"/>
      </w:pPr>
      <w:r>
        <w:t xml:space="preserve">60,912</w:t>
      </w:r>
    </w:p>
    <w:p>
      <w:pPr>
        <w:pStyle w:val="BodyText"/>
      </w:pPr>
      <w:r>
        <w:t xml:space="preserve">47,582</w:t>
      </w:r>
    </w:p>
    <w:p>
      <w:pPr>
        <w:pStyle w:val="BodyText"/>
      </w:pPr>
      <w:r>
        <w:t xml:space="preserve">72,226</w:t>
      </w:r>
    </w:p>
    <w:p>
      <w:pPr>
        <w:pStyle w:val="BodyText"/>
      </w:pPr>
      <w:r>
        <w:t xml:space="preserve">60,003</w:t>
      </w:r>
    </w:p>
    <w:p>
      <w:pPr>
        <w:pStyle w:val="BodyText"/>
      </w:pPr>
      <w:r>
        <w:t xml:space="preserve">-17%</w:t>
      </w:r>
    </w:p>
    <w:p>
      <w:pPr>
        <w:pStyle w:val="BodyText"/>
      </w:pPr>
      <w:r>
        <w:t xml:space="preserve">Total end of quarter operating lease vehicle count</w:t>
      </w:r>
    </w:p>
    <w:p>
      <w:pPr>
        <w:pStyle w:val="BodyText"/>
      </w:pPr>
      <w:r>
        <w:t xml:space="preserve">72,089</w:t>
      </w:r>
    </w:p>
    <w:p>
      <w:pPr>
        <w:pStyle w:val="BodyText"/>
      </w:pPr>
      <w:r>
        <w:t xml:space="preserve">120,342</w:t>
      </w:r>
    </w:p>
    <w:p>
      <w:pPr>
        <w:pStyle w:val="BodyText"/>
      </w:pPr>
      <w:r>
        <w:t xml:space="preserve">140,667</w:t>
      </w:r>
    </w:p>
    <w:p>
      <w:pPr>
        <w:pStyle w:val="BodyText"/>
      </w:pPr>
      <w:r>
        <w:t xml:space="preserve">176,564</w:t>
      </w:r>
    </w:p>
    <w:p>
      <w:pPr>
        <w:pStyle w:val="BodyText"/>
      </w:pPr>
      <w:r>
        <w:t xml:space="preserve">180,523</w:t>
      </w:r>
    </w:p>
    <w:p>
      <w:pPr>
        <w:pStyle w:val="BodyText"/>
      </w:pPr>
      <w:r>
        <w:t xml:space="preserve">2%</w:t>
      </w:r>
    </w:p>
    <w:p>
      <w:pPr>
        <w:pStyle w:val="BodyText"/>
      </w:pPr>
      <w:r>
        <w:t xml:space="preserve">Global vehicle inventory (days of supply)(1)</w:t>
      </w:r>
    </w:p>
    <w:p>
      <w:pPr>
        <w:pStyle w:val="BodyText"/>
      </w:pPr>
      <w:r>
        <w:t xml:space="preserve">15</w:t>
      </w:r>
    </w:p>
    <w:p>
      <w:pPr>
        <w:pStyle w:val="BodyText"/>
      </w:pPr>
      <w:r>
        <w:t xml:space="preserve">6</w:t>
      </w:r>
    </w:p>
    <w:p>
      <w:pPr>
        <w:pStyle w:val="BodyText"/>
      </w:pPr>
      <w:r>
        <w:t xml:space="preserve">16</w:t>
      </w:r>
    </w:p>
    <w:p>
      <w:pPr>
        <w:pStyle w:val="BodyText"/>
      </w:pPr>
      <w:r>
        <w:t xml:space="preserve">16</w:t>
      </w:r>
    </w:p>
    <w:p>
      <w:pPr>
        <w:pStyle w:val="BodyText"/>
      </w:pPr>
      <w:r>
        <w:t xml:space="preserve">13</w:t>
      </w:r>
    </w:p>
    <w:p>
      <w:pPr>
        <w:pStyle w:val="BodyText"/>
      </w:pPr>
      <w:r>
        <w:t xml:space="preserve">-19%</w:t>
      </w:r>
    </w:p>
    <w:p>
      <w:pPr>
        <w:pStyle w:val="BodyText"/>
      </w:pPr>
      <w:r>
        <w:t xml:space="preserve">Storage deployed (GWh)</w:t>
      </w:r>
    </w:p>
    <w:p>
      <w:pPr>
        <w:pStyle w:val="BodyText"/>
      </w:pPr>
      <w:r>
        <w:t xml:space="preserve">3.0</w:t>
      </w:r>
    </w:p>
    <w:p>
      <w:pPr>
        <w:pStyle w:val="BodyText"/>
      </w:pPr>
      <w:r>
        <w:t xml:space="preserve">4.0</w:t>
      </w:r>
    </w:p>
    <w:p>
      <w:pPr>
        <w:pStyle w:val="BodyText"/>
      </w:pPr>
      <w:r>
        <w:t xml:space="preserve">6.5</w:t>
      </w:r>
    </w:p>
    <w:p>
      <w:pPr>
        <w:pStyle w:val="BodyText"/>
      </w:pPr>
      <w:r>
        <w:t xml:space="preserve">14.7</w:t>
      </w:r>
    </w:p>
    <w:p>
      <w:pPr>
        <w:pStyle w:val="BodyText"/>
      </w:pPr>
      <w:r>
        <w:t xml:space="preserve">31.4</w:t>
      </w:r>
    </w:p>
    <w:p>
      <w:pPr>
        <w:pStyle w:val="BodyText"/>
      </w:pPr>
      <w:r>
        <w:t xml:space="preserve">114%</w:t>
      </w:r>
    </w:p>
    <w:p>
      <w:pPr>
        <w:pStyle w:val="BodyText"/>
      </w:pPr>
      <w:r>
        <w:t xml:space="preserve">Tesla locations</w:t>
      </w:r>
    </w:p>
    <w:p>
      <w:pPr>
        <w:pStyle w:val="BodyText"/>
      </w:pPr>
      <w:r>
        <w:t xml:space="preserve">523</w:t>
      </w:r>
    </w:p>
    <w:p>
      <w:pPr>
        <w:pStyle w:val="BodyText"/>
      </w:pPr>
      <w:r>
        <w:t xml:space="preserve">644</w:t>
      </w:r>
    </w:p>
    <w:p>
      <w:pPr>
        <w:pStyle w:val="BodyText"/>
      </w:pPr>
      <w:r>
        <w:t xml:space="preserve">963</w:t>
      </w:r>
    </w:p>
    <w:p>
      <w:pPr>
        <w:pStyle w:val="BodyText"/>
      </w:pPr>
      <w:r>
        <w:t xml:space="preserve">1,208</w:t>
      </w:r>
    </w:p>
    <w:p>
      <w:pPr>
        <w:pStyle w:val="BodyText"/>
      </w:pPr>
      <w:r>
        <w:t xml:space="preserve">1,359</w:t>
      </w:r>
    </w:p>
    <w:p>
      <w:pPr>
        <w:pStyle w:val="BodyText"/>
      </w:pPr>
      <w:r>
        <w:t xml:space="preserve">13%</w:t>
      </w:r>
    </w:p>
    <w:p>
      <w:pPr>
        <w:pStyle w:val="BodyText"/>
      </w:pPr>
      <w:r>
        <w:t xml:space="preserve">Mobile service fleet</w:t>
      </w:r>
    </w:p>
    <w:p>
      <w:pPr>
        <w:pStyle w:val="BodyText"/>
      </w:pPr>
      <w:r>
        <w:t xml:space="preserve">894</w:t>
      </w:r>
    </w:p>
    <w:p>
      <w:pPr>
        <w:pStyle w:val="BodyText"/>
      </w:pPr>
      <w:r>
        <w:t xml:space="preserve">1,281</w:t>
      </w:r>
    </w:p>
    <w:p>
      <w:pPr>
        <w:pStyle w:val="BodyText"/>
      </w:pPr>
      <w:r>
        <w:t xml:space="preserve">1,584</w:t>
      </w:r>
    </w:p>
    <w:p>
      <w:pPr>
        <w:pStyle w:val="BodyText"/>
      </w:pPr>
      <w:r>
        <w:t xml:space="preserve">1,909</w:t>
      </w:r>
    </w:p>
    <w:p>
      <w:pPr>
        <w:pStyle w:val="BodyText"/>
      </w:pPr>
      <w:r>
        <w:t xml:space="preserve">1,895</w:t>
      </w:r>
    </w:p>
    <w:p>
      <w:pPr>
        <w:pStyle w:val="BodyText"/>
      </w:pPr>
      <w:r>
        <w:t xml:space="preserve">-1%</w:t>
      </w:r>
    </w:p>
    <w:p>
      <w:pPr>
        <w:pStyle w:val="BodyText"/>
      </w:pPr>
      <w:r>
        <w:t xml:space="preserve">Supercharger stations</w:t>
      </w:r>
    </w:p>
    <w:p>
      <w:pPr>
        <w:pStyle w:val="BodyText"/>
      </w:pPr>
      <w:r>
        <w:t xml:space="preserve">2,564</w:t>
      </w:r>
    </w:p>
    <w:p>
      <w:pPr>
        <w:pStyle w:val="BodyText"/>
      </w:pPr>
      <w:r>
        <w:t xml:space="preserve">3,476</w:t>
      </w:r>
    </w:p>
    <w:p>
      <w:pPr>
        <w:pStyle w:val="BodyText"/>
      </w:pPr>
      <w:r>
        <w:t xml:space="preserve">4,678</w:t>
      </w:r>
    </w:p>
    <w:p>
      <w:pPr>
        <w:pStyle w:val="BodyText"/>
      </w:pPr>
      <w:r>
        <w:t xml:space="preserve">5,952</w:t>
      </w:r>
    </w:p>
    <w:p>
      <w:pPr>
        <w:pStyle w:val="BodyText"/>
      </w:pPr>
      <w:r>
        <w:t xml:space="preserve">6,975</w:t>
      </w:r>
    </w:p>
    <w:p>
      <w:pPr>
        <w:pStyle w:val="BodyText"/>
      </w:pPr>
      <w:r>
        <w:t xml:space="preserve">17%</w:t>
      </w:r>
    </w:p>
    <w:p>
      <w:pPr>
        <w:pStyle w:val="BodyText"/>
      </w:pPr>
      <w:r>
        <w:t xml:space="preserve">Supercharger connectors</w:t>
      </w:r>
    </w:p>
    <w:p>
      <w:pPr>
        <w:pStyle w:val="BodyText"/>
      </w:pPr>
      <w:r>
        <w:t xml:space="preserve">23,277</w:t>
      </w:r>
    </w:p>
    <w:p>
      <w:pPr>
        <w:pStyle w:val="BodyText"/>
      </w:pPr>
      <w:r>
        <w:t xml:space="preserve">31,498</w:t>
      </w:r>
    </w:p>
    <w:p>
      <w:pPr>
        <w:pStyle w:val="BodyText"/>
      </w:pPr>
      <w:r>
        <w:t xml:space="preserve">42,419</w:t>
      </w:r>
    </w:p>
    <w:p>
      <w:pPr>
        <w:pStyle w:val="BodyText"/>
      </w:pPr>
      <w:r>
        <w:t xml:space="preserve">54,892</w:t>
      </w:r>
    </w:p>
    <w:p>
      <w:pPr>
        <w:pStyle w:val="BodyText"/>
      </w:pPr>
      <w:r>
        <w:t xml:space="preserve">65,495</w:t>
      </w:r>
    </w:p>
    <w:p>
      <w:pPr>
        <w:pStyle w:val="BodyText"/>
      </w:pPr>
      <w:r>
        <w:t xml:space="preserve">19%</w:t>
      </w:r>
    </w:p>
    <w:p>
      <w:pPr>
        <w:pStyle w:val="BodyText"/>
      </w:pPr>
      <w:r>
        <w:t xml:space="preserve">Preparations are underway across our existing factories for the launch of new products in 2025, including more affordable models. New Model Y has launched on the configurator globally with production ramp and deliveries beginning later in Q1.</w:t>
      </w:r>
    </w:p>
    <w:bookmarkEnd w:id="17"/>
    <w:bookmarkStart w:id="18" w:name="us-california-nevada-and-texas"/>
    <w:p>
      <w:pPr>
        <w:pStyle w:val="Heading1"/>
      </w:pPr>
      <w:r>
        <w:t xml:space="preserve">US: California, Nevada and Texas</w:t>
      </w:r>
    </w:p>
    <w:p>
      <w:pPr>
        <w:pStyle w:val="FirstParagraph"/>
      </w:pPr>
      <w:r>
        <w:t xml:space="preserve">Semi Factory construction continued in Q4 and recently completed roof and wall enclosure of the main building area. First truck builds are scheduled to start by end of 2025 with ramp beginning in early 2026. Preparation is underway for Cybercab lines at Gigafactory Texas with volume production planned for 2026.</w:t>
      </w:r>
    </w:p>
    <w:p>
      <w:pPr>
        <w:pStyle w:val="BodyText"/>
      </w:pPr>
      <w:r>
        <w:t xml:space="preserve">Given its unique functionality – including Powershare, stainless steel exterior, enhanced durability and bioweapon defense mode – we deployed a fleet of Cybertrucks equipped with Starlink in the Los Angeles area to help first responders and those impacted by the fires get access to electricity and Wi-Fi. We expect Cybertruck to be eligible for the IRA consumer tax credit, helping to improve affordability and access for even more customers.</w:t>
      </w:r>
    </w:p>
    <w:bookmarkEnd w:id="18"/>
    <w:bookmarkStart w:id="19" w:name="apac-shanghai"/>
    <w:p>
      <w:pPr>
        <w:pStyle w:val="Heading1"/>
      </w:pPr>
      <w:r>
        <w:t xml:space="preserve">APAC: Shanghai</w:t>
      </w:r>
    </w:p>
    <w:p>
      <w:pPr>
        <w:pStyle w:val="FirstParagraph"/>
      </w:pPr>
      <w:r>
        <w:t xml:space="preserve">In Q4, we achieved record deliveries in China as Model Y became the best-selling vehicle for the full year. Tesla also became the fastest growing brand in South Korea, and we launched vehicle sales in the Philippines.</w:t>
      </w:r>
    </w:p>
    <w:bookmarkEnd w:id="19"/>
    <w:bookmarkStart w:id="20" w:name="europe-berlin-brandenburg"/>
    <w:p>
      <w:pPr>
        <w:pStyle w:val="Heading1"/>
      </w:pPr>
      <w:r>
        <w:t xml:space="preserve">Europe: Berlin-Brandenburg</w:t>
      </w:r>
    </w:p>
    <w:p>
      <w:pPr>
        <w:pStyle w:val="FirstParagraph"/>
      </w:pPr>
      <w:r>
        <w:t xml:space="preserve">In 2024, Model Y was the best-selling vehicle of any type in Denmark, Norway, Sweden, Switzerland and the Netherlands and we expect Model Y to have been the second best-selling vehicle of any type in Europe. Tesla was the most sold brand in Norway for the fourth year in a row with Model Y and Model 3 the best- and second-best selling cars of any type in 2024.</w:t>
      </w:r>
    </w:p>
    <w:p>
      <w:pPr>
        <w:pStyle w:val="BodyText"/>
      </w:pPr>
      <w:r>
        <w:t xml:space="preserve">Current Installed Annual Vehicle Capacity</w:t>
      </w:r>
    </w:p>
    <w:p>
      <w:pPr>
        <w:pStyle w:val="BodyText"/>
      </w:pPr>
      <w:r>
        <w:t xml:space="preserve">Region</w:t>
      </w:r>
    </w:p>
    <w:p>
      <w:pPr>
        <w:pStyle w:val="BodyText"/>
      </w:pPr>
      <w:r>
        <w:t xml:space="preserve">Model</w:t>
      </w:r>
    </w:p>
    <w:p>
      <w:pPr>
        <w:pStyle w:val="BodyText"/>
      </w:pPr>
      <w:r>
        <w:t xml:space="preserve">Capacity</w:t>
      </w:r>
    </w:p>
    <w:p>
      <w:pPr>
        <w:pStyle w:val="BodyText"/>
      </w:pPr>
      <w:r>
        <w:t xml:space="preserve">Status</w:t>
      </w:r>
    </w:p>
    <w:p>
      <w:pPr>
        <w:pStyle w:val="BodyText"/>
      </w:pPr>
      <w:r>
        <w:t xml:space="preserve">California</w:t>
      </w:r>
    </w:p>
    <w:p>
      <w:pPr>
        <w:pStyle w:val="BodyText"/>
      </w:pPr>
      <w:r>
        <w:t xml:space="preserve">Model S / Model X</w:t>
      </w:r>
    </w:p>
    <w:p>
      <w:pPr>
        <w:pStyle w:val="BodyText"/>
      </w:pPr>
      <w:r>
        <w:t xml:space="preserve">100,000</w:t>
      </w:r>
    </w:p>
    <w:p>
      <w:pPr>
        <w:pStyle w:val="BodyText"/>
      </w:pPr>
      <w:r>
        <w:t xml:space="preserve">Production</w:t>
      </w:r>
    </w:p>
    <w:p>
      <w:pPr>
        <w:pStyle w:val="BodyText"/>
      </w:pPr>
      <w:r>
        <w:t xml:space="preserve">Model 3 / Model Y</w:t>
      </w:r>
    </w:p>
    <w:p>
      <w:pPr>
        <w:pStyle w:val="BodyText"/>
      </w:pPr>
      <w:r>
        <w:t xml:space="preserve">&gt;550,000</w:t>
      </w:r>
    </w:p>
    <w:p>
      <w:pPr>
        <w:pStyle w:val="BodyText"/>
      </w:pPr>
      <w:r>
        <w:t xml:space="preserve">Production</w:t>
      </w:r>
    </w:p>
    <w:p>
      <w:pPr>
        <w:pStyle w:val="BodyText"/>
      </w:pPr>
      <w:r>
        <w:t xml:space="preserve">Shanghai</w:t>
      </w:r>
    </w:p>
    <w:p>
      <w:pPr>
        <w:pStyle w:val="BodyText"/>
      </w:pPr>
      <w:r>
        <w:t xml:space="preserve">Model 3 / Model Y</w:t>
      </w:r>
    </w:p>
    <w:p>
      <w:pPr>
        <w:pStyle w:val="BodyText"/>
      </w:pPr>
      <w:r>
        <w:t xml:space="preserve">&gt;950,000</w:t>
      </w:r>
    </w:p>
    <w:p>
      <w:pPr>
        <w:pStyle w:val="BodyText"/>
      </w:pPr>
      <w:r>
        <w:t xml:space="preserve">Production</w:t>
      </w:r>
    </w:p>
    <w:p>
      <w:pPr>
        <w:pStyle w:val="BodyText"/>
      </w:pPr>
      <w:r>
        <w:t xml:space="preserve">Berlin</w:t>
      </w:r>
    </w:p>
    <w:p>
      <w:pPr>
        <w:pStyle w:val="BodyText"/>
      </w:pPr>
      <w:r>
        <w:t xml:space="preserve">Model Y</w:t>
      </w:r>
    </w:p>
    <w:p>
      <w:pPr>
        <w:pStyle w:val="BodyText"/>
      </w:pPr>
      <w:r>
        <w:t xml:space="preserve">&gt;375,000</w:t>
      </w:r>
    </w:p>
    <w:p>
      <w:pPr>
        <w:pStyle w:val="BodyText"/>
      </w:pPr>
      <w:r>
        <w:t xml:space="preserve">Production</w:t>
      </w:r>
    </w:p>
    <w:p>
      <w:pPr>
        <w:pStyle w:val="BodyText"/>
      </w:pPr>
      <w:r>
        <w:t xml:space="preserve">Texas</w:t>
      </w:r>
    </w:p>
    <w:p>
      <w:pPr>
        <w:pStyle w:val="BodyText"/>
      </w:pPr>
      <w:r>
        <w:t xml:space="preserve">Model Y</w:t>
      </w:r>
    </w:p>
    <w:p>
      <w:pPr>
        <w:pStyle w:val="BodyText"/>
      </w:pPr>
      <w:r>
        <w:t xml:space="preserve">&gt;250,000</w:t>
      </w:r>
    </w:p>
    <w:p>
      <w:pPr>
        <w:pStyle w:val="BodyText"/>
      </w:pPr>
      <w:r>
        <w:t xml:space="preserve">Production</w:t>
      </w:r>
    </w:p>
    <w:p>
      <w:pPr>
        <w:pStyle w:val="BodyText"/>
      </w:pPr>
      <w:r>
        <w:t xml:space="preserve">Cybertruck</w:t>
      </w:r>
    </w:p>
    <w:p>
      <w:pPr>
        <w:pStyle w:val="BodyText"/>
      </w:pPr>
      <w:r>
        <w:t xml:space="preserve">&gt;125,000</w:t>
      </w:r>
    </w:p>
    <w:p>
      <w:pPr>
        <w:pStyle w:val="BodyText"/>
      </w:pPr>
      <w:r>
        <w:t xml:space="preserve">Production</w:t>
      </w:r>
    </w:p>
    <w:p>
      <w:pPr>
        <w:pStyle w:val="BodyText"/>
      </w:pPr>
      <w:r>
        <w:t xml:space="preserve">Cybercab</w:t>
      </w:r>
    </w:p>
    <w:p>
      <w:pPr>
        <w:pStyle w:val="BodyText"/>
      </w:pPr>
      <w:r>
        <w:t xml:space="preserve">-</w:t>
      </w:r>
    </w:p>
    <w:p>
      <w:pPr>
        <w:pStyle w:val="BodyText"/>
      </w:pPr>
      <w:r>
        <w:t xml:space="preserve">In development</w:t>
      </w:r>
    </w:p>
    <w:p>
      <w:pPr>
        <w:pStyle w:val="BodyText"/>
      </w:pPr>
      <w:r>
        <w:t xml:space="preserve">Nevada</w:t>
      </w:r>
    </w:p>
    <w:p>
      <w:pPr>
        <w:pStyle w:val="BodyText"/>
      </w:pPr>
      <w:r>
        <w:t xml:space="preserve">Tesla Semi</w:t>
      </w:r>
    </w:p>
    <w:p>
      <w:pPr>
        <w:pStyle w:val="BodyText"/>
      </w:pPr>
      <w:r>
        <w:t xml:space="preserve">-</w:t>
      </w:r>
    </w:p>
    <w:p>
      <w:pPr>
        <w:pStyle w:val="BodyText"/>
      </w:pPr>
      <w:r>
        <w:t xml:space="preserve">Pilot production</w:t>
      </w:r>
    </w:p>
    <w:p>
      <w:pPr>
        <w:pStyle w:val="BodyText"/>
      </w:pPr>
      <w:r>
        <w:t xml:space="preserve">TBD</w:t>
      </w:r>
    </w:p>
    <w:p>
      <w:pPr>
        <w:pStyle w:val="BodyText"/>
      </w:pPr>
      <w:r>
        <w:t xml:space="preserve">Roadster</w:t>
      </w:r>
    </w:p>
    <w:p>
      <w:pPr>
        <w:pStyle w:val="BodyText"/>
      </w:pPr>
      <w:r>
        <w:t xml:space="preserve">-</w:t>
      </w:r>
    </w:p>
    <w:p>
      <w:pPr>
        <w:pStyle w:val="BodyText"/>
      </w:pPr>
      <w:r>
        <w:t xml:space="preserve">In development</w:t>
      </w:r>
    </w:p>
    <w:p>
      <w:pPr>
        <w:pStyle w:val="BodyText"/>
      </w:pPr>
      <w:r>
        <w:t xml:space="preserve">Installed capacity ≠ current production rate and there may be limitations discovered as production rates approach capacity. Production rates depend on a variety of factors, including equipment uptime, component supply, downtime related to factory upgrades, regulatory considerations and other factors.</w:t>
      </w:r>
    </w:p>
    <w:p>
      <w:pPr>
        <w:pStyle w:val="BodyText"/>
      </w:pPr>
    </w:p>
    <w:p>
      <w:pPr>
        <w:pStyle w:val="BodyText"/>
      </w:pPr>
      <w:r>
        <w:t xml:space="preserv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US/Canada</w:t>
            </w:r>
          </w:p>
        </w:tc>
        <w:tc>
          <w:tcPr/>
          <w:p>
            <w:pPr>
              <w:pStyle w:val="Compact"/>
            </w:pPr>
            <w:r>
              <w:t xml:space="preserve">Europe</w:t>
            </w:r>
          </w:p>
        </w:tc>
        <w:tc>
          <w:tcPr/>
          <w:p>
            <w:pPr>
              <w:pStyle w:val="Compact"/>
            </w:pPr>
            <w:r>
              <w:t xml:space="preserve">China</w:t>
            </w:r>
          </w:p>
        </w:tc>
      </w:tr>
      <w:tr>
        <w:tc>
          <w:tcPr/>
          <w:p>
            <w:pPr>
              <w:pStyle w:val="Compact"/>
            </w:pPr>
            <w:r>
              <w:t xml:space="preserve">Q1 2019</w:t>
            </w:r>
          </w:p>
        </w:tc>
        <w:tc>
          <w:tcPr/>
          <w:p>
            <w:pPr>
              <w:pStyle w:val="Compact"/>
            </w:pPr>
            <w:r>
              <w:t xml:space="preserve">1.0%</w:t>
            </w:r>
          </w:p>
        </w:tc>
        <w:tc>
          <w:tcPr/>
          <w:p>
            <w:pPr>
              <w:pStyle w:val="Compact"/>
            </w:pPr>
            <w:r>
              <w:t xml:space="preserve">0.3%</w:t>
            </w:r>
          </w:p>
        </w:tc>
        <w:tc>
          <w:tcPr/>
          <w:p>
            <w:pPr>
              <w:pStyle w:val="Compact"/>
            </w:pPr>
            <w:r>
              <w:t xml:space="preserve">0.1%</w:t>
            </w:r>
          </w:p>
        </w:tc>
      </w:tr>
      <w:tr>
        <w:tc>
          <w:tcPr/>
          <w:p>
            <w:pPr>
              <w:pStyle w:val="Compact"/>
            </w:pPr>
            <w:r>
              <w:t xml:space="preserve">Q2 2019</w:t>
            </w:r>
          </w:p>
        </w:tc>
        <w:tc>
          <w:tcPr/>
          <w:p>
            <w:pPr>
              <w:pStyle w:val="Compact"/>
            </w:pPr>
            <w:r>
              <w:t xml:space="preserve">1.2%</w:t>
            </w:r>
          </w:p>
        </w:tc>
        <w:tc>
          <w:tcPr/>
          <w:p>
            <w:pPr>
              <w:pStyle w:val="Compact"/>
            </w:pPr>
            <w:r>
              <w:t xml:space="preserve">0.4%</w:t>
            </w:r>
          </w:p>
        </w:tc>
        <w:tc>
          <w:tcPr/>
          <w:p>
            <w:pPr>
              <w:pStyle w:val="Compact"/>
            </w:pPr>
            <w:r>
              <w:t xml:space="preserve">0.2%</w:t>
            </w:r>
          </w:p>
        </w:tc>
      </w:tr>
      <w:tr>
        <w:tc>
          <w:tcPr/>
          <w:p>
            <w:pPr>
              <w:pStyle w:val="Compact"/>
            </w:pPr>
            <w:r>
              <w:t xml:space="preserve">Q3 2019</w:t>
            </w:r>
          </w:p>
        </w:tc>
        <w:tc>
          <w:tcPr/>
          <w:p>
            <w:pPr>
              <w:pStyle w:val="Compact"/>
            </w:pPr>
            <w:r>
              <w:t xml:space="preserve">1.1%</w:t>
            </w:r>
          </w:p>
        </w:tc>
        <w:tc>
          <w:tcPr/>
          <w:p>
            <w:pPr>
              <w:pStyle w:val="Compact"/>
            </w:pPr>
            <w:r>
              <w:t xml:space="preserve">0.5%</w:t>
            </w:r>
          </w:p>
        </w:tc>
        <w:tc>
          <w:tcPr/>
          <w:p>
            <w:pPr>
              <w:pStyle w:val="Compact"/>
            </w:pPr>
            <w:r>
              <w:t xml:space="preserve">0.3%</w:t>
            </w:r>
          </w:p>
        </w:tc>
      </w:tr>
      <w:tr>
        <w:tc>
          <w:tcPr/>
          <w:p>
            <w:pPr>
              <w:pStyle w:val="Compact"/>
            </w:pPr>
            <w:r>
              <w:t xml:space="preserve">Q4 2019</w:t>
            </w:r>
          </w:p>
        </w:tc>
        <w:tc>
          <w:tcPr/>
          <w:p>
            <w:pPr>
              <w:pStyle w:val="Compact"/>
            </w:pPr>
            <w:r>
              <w:t xml:space="preserve">1.0%</w:t>
            </w:r>
          </w:p>
        </w:tc>
        <w:tc>
          <w:tcPr/>
          <w:p>
            <w:pPr>
              <w:pStyle w:val="Compact"/>
            </w:pPr>
            <w:r>
              <w:t xml:space="preserve">0.6%</w:t>
            </w:r>
          </w:p>
        </w:tc>
        <w:tc>
          <w:tcPr/>
          <w:p>
            <w:pPr>
              <w:pStyle w:val="Compact"/>
            </w:pPr>
            <w:r>
              <w:t xml:space="preserve">0.4%</w:t>
            </w:r>
          </w:p>
        </w:tc>
      </w:tr>
      <w:tr>
        <w:tc>
          <w:tcPr/>
          <w:p>
            <w:pPr>
              <w:pStyle w:val="Compact"/>
            </w:pPr>
            <w:r>
              <w:t xml:space="preserve">Q1 2020</w:t>
            </w:r>
          </w:p>
        </w:tc>
        <w:tc>
          <w:tcPr/>
          <w:p>
            <w:pPr>
              <w:pStyle w:val="Compact"/>
            </w:pPr>
            <w:r>
              <w:t xml:space="preserve">1.1%</w:t>
            </w:r>
          </w:p>
        </w:tc>
        <w:tc>
          <w:tcPr/>
          <w:p>
            <w:pPr>
              <w:pStyle w:val="Compact"/>
            </w:pPr>
            <w:r>
              <w:t xml:space="preserve">0.7%</w:t>
            </w:r>
          </w:p>
        </w:tc>
        <w:tc>
          <w:tcPr/>
          <w:p>
            <w:pPr>
              <w:pStyle w:val="Compact"/>
            </w:pPr>
            <w:r>
              <w:t xml:space="preserve">0.5%</w:t>
            </w:r>
          </w:p>
        </w:tc>
      </w:tr>
      <w:tr>
        <w:tc>
          <w:tcPr/>
          <w:p>
            <w:pPr>
              <w:pStyle w:val="Compact"/>
            </w:pPr>
            <w:r>
              <w:t xml:space="preserve">Q2 2020</w:t>
            </w:r>
          </w:p>
        </w:tc>
        <w:tc>
          <w:tcPr/>
          <w:p>
            <w:pPr>
              <w:pStyle w:val="Compact"/>
            </w:pPr>
            <w:r>
              <w:t xml:space="preserve">1.1%</w:t>
            </w:r>
          </w:p>
        </w:tc>
        <w:tc>
          <w:tcPr/>
          <w:p>
            <w:pPr>
              <w:pStyle w:val="Compact"/>
            </w:pPr>
            <w:r>
              <w:t xml:space="preserve">0.8%</w:t>
            </w:r>
          </w:p>
        </w:tc>
        <w:tc>
          <w:tcPr/>
          <w:p>
            <w:pPr>
              <w:pStyle w:val="Compact"/>
            </w:pPr>
            <w:r>
              <w:t xml:space="preserve">0.6%</w:t>
            </w:r>
          </w:p>
        </w:tc>
      </w:tr>
      <w:tr>
        <w:tc>
          <w:tcPr/>
          <w:p>
            <w:pPr>
              <w:pStyle w:val="Compact"/>
            </w:pPr>
            <w:r>
              <w:t xml:space="preserve">Q3 2020</w:t>
            </w:r>
          </w:p>
        </w:tc>
        <w:tc>
          <w:tcPr/>
          <w:p>
            <w:pPr>
              <w:pStyle w:val="Compact"/>
            </w:pPr>
            <w:r>
              <w:t xml:space="preserve">1.2%</w:t>
            </w:r>
          </w:p>
        </w:tc>
        <w:tc>
          <w:tcPr/>
          <w:p>
            <w:pPr>
              <w:pStyle w:val="Compact"/>
            </w:pPr>
            <w:r>
              <w:t xml:space="preserve">0.8%</w:t>
            </w:r>
          </w:p>
        </w:tc>
        <w:tc>
          <w:tcPr/>
          <w:p>
            <w:pPr>
              <w:pStyle w:val="Compact"/>
            </w:pPr>
            <w:r>
              <w:t xml:space="preserve">0.7%</w:t>
            </w:r>
          </w:p>
        </w:tc>
      </w:tr>
      <w:tr>
        <w:tc>
          <w:tcPr/>
          <w:p>
            <w:pPr>
              <w:pStyle w:val="Compact"/>
            </w:pPr>
            <w:r>
              <w:t xml:space="preserve">Q4 2020</w:t>
            </w:r>
          </w:p>
        </w:tc>
        <w:tc>
          <w:tcPr/>
          <w:p>
            <w:pPr>
              <w:pStyle w:val="Compact"/>
            </w:pPr>
            <w:r>
              <w:t xml:space="preserve">1.3%</w:t>
            </w:r>
          </w:p>
        </w:tc>
        <w:tc>
          <w:tcPr/>
          <w:p>
            <w:pPr>
              <w:pStyle w:val="Compact"/>
            </w:pPr>
            <w:r>
              <w:t xml:space="preserve">0.8%</w:t>
            </w:r>
          </w:p>
        </w:tc>
        <w:tc>
          <w:tcPr/>
          <w:p>
            <w:pPr>
              <w:pStyle w:val="Compact"/>
            </w:pPr>
            <w:r>
              <w:t xml:space="preserve">0.8%</w:t>
            </w:r>
          </w:p>
        </w:tc>
      </w:tr>
      <w:tr>
        <w:tc>
          <w:tcPr/>
          <w:p>
            <w:pPr>
              <w:pStyle w:val="Compact"/>
            </w:pPr>
            <w:r>
              <w:t xml:space="preserve">Q1 2021</w:t>
            </w:r>
          </w:p>
        </w:tc>
        <w:tc>
          <w:tcPr/>
          <w:p>
            <w:pPr>
              <w:pStyle w:val="Compact"/>
            </w:pPr>
            <w:r>
              <w:t xml:space="preserve">1.5%</w:t>
            </w:r>
          </w:p>
        </w:tc>
        <w:tc>
          <w:tcPr/>
          <w:p>
            <w:pPr>
              <w:pStyle w:val="Compact"/>
            </w:pPr>
            <w:r>
              <w:t xml:space="preserve">0.9%</w:t>
            </w:r>
          </w:p>
        </w:tc>
        <w:tc>
          <w:tcPr/>
          <w:p>
            <w:pPr>
              <w:pStyle w:val="Compact"/>
            </w:pPr>
            <w:r>
              <w:t xml:space="preserve">0.9%</w:t>
            </w:r>
          </w:p>
        </w:tc>
      </w:tr>
      <w:tr>
        <w:tc>
          <w:tcPr/>
          <w:p>
            <w:pPr>
              <w:pStyle w:val="Compact"/>
            </w:pPr>
            <w:r>
              <w:t xml:space="preserve">Q2 2021</w:t>
            </w:r>
          </w:p>
        </w:tc>
        <w:tc>
          <w:tcPr/>
          <w:p>
            <w:pPr>
              <w:pStyle w:val="Compact"/>
            </w:pPr>
            <w:r>
              <w:t xml:space="preserve">1.6%</w:t>
            </w:r>
          </w:p>
        </w:tc>
        <w:tc>
          <w:tcPr/>
          <w:p>
            <w:pPr>
              <w:pStyle w:val="Compact"/>
            </w:pPr>
            <w:r>
              <w:t xml:space="preserve">0.9%</w:t>
            </w:r>
          </w:p>
        </w:tc>
        <w:tc>
          <w:tcPr/>
          <w:p>
            <w:pPr>
              <w:pStyle w:val="Compact"/>
            </w:pPr>
            <w:r>
              <w:t xml:space="preserve">1.0%</w:t>
            </w:r>
          </w:p>
        </w:tc>
      </w:tr>
      <w:tr>
        <w:tc>
          <w:tcPr/>
          <w:p>
            <w:pPr>
              <w:pStyle w:val="Compact"/>
            </w:pPr>
            <w:r>
              <w:t xml:space="preserve">Q3 2021</w:t>
            </w:r>
          </w:p>
        </w:tc>
        <w:tc>
          <w:tcPr/>
          <w:p>
            <w:pPr>
              <w:pStyle w:val="Compact"/>
            </w:pPr>
            <w:r>
              <w:t xml:space="preserve">1.8%</w:t>
            </w:r>
          </w:p>
        </w:tc>
        <w:tc>
          <w:tcPr/>
          <w:p>
            <w:pPr>
              <w:pStyle w:val="Compact"/>
            </w:pPr>
            <w:r>
              <w:t xml:space="preserve">1.0%</w:t>
            </w:r>
          </w:p>
        </w:tc>
        <w:tc>
          <w:tcPr/>
          <w:p>
            <w:pPr>
              <w:pStyle w:val="Compact"/>
            </w:pPr>
            <w:r>
              <w:t xml:space="preserve">1.1%</w:t>
            </w:r>
          </w:p>
        </w:tc>
      </w:tr>
      <w:tr>
        <w:tc>
          <w:tcPr/>
          <w:p>
            <w:pPr>
              <w:pStyle w:val="Compact"/>
            </w:pPr>
            <w:r>
              <w:t xml:space="preserve">Q4 2021</w:t>
            </w:r>
          </w:p>
        </w:tc>
        <w:tc>
          <w:tcPr/>
          <w:p>
            <w:pPr>
              <w:pStyle w:val="Compact"/>
            </w:pPr>
            <w:r>
              <w:t xml:space="preserve">2.0%</w:t>
            </w:r>
          </w:p>
        </w:tc>
        <w:tc>
          <w:tcPr/>
          <w:p>
            <w:pPr>
              <w:pStyle w:val="Compact"/>
            </w:pPr>
            <w:r>
              <w:t xml:space="preserve">1.2%</w:t>
            </w:r>
          </w:p>
        </w:tc>
        <w:tc>
          <w:tcPr/>
          <w:p>
            <w:pPr>
              <w:pStyle w:val="Compact"/>
            </w:pPr>
            <w:r>
              <w:t xml:space="preserve">1.3%</w:t>
            </w:r>
          </w:p>
        </w:tc>
      </w:tr>
      <w:tr>
        <w:tc>
          <w:tcPr/>
          <w:p>
            <w:pPr>
              <w:pStyle w:val="Compact"/>
            </w:pPr>
            <w:r>
              <w:t xml:space="preserve">Q1 2022</w:t>
            </w:r>
          </w:p>
        </w:tc>
        <w:tc>
          <w:tcPr/>
          <w:p>
            <w:pPr>
              <w:pStyle w:val="Compact"/>
            </w:pPr>
            <w:r>
              <w:t xml:space="preserve">2.5%</w:t>
            </w:r>
          </w:p>
        </w:tc>
        <w:tc>
          <w:tcPr/>
          <w:p>
            <w:pPr>
              <w:pStyle w:val="Compact"/>
            </w:pPr>
            <w:r>
              <w:t xml:space="preserve">1.7%</w:t>
            </w:r>
          </w:p>
        </w:tc>
        <w:tc>
          <w:tcPr/>
          <w:p>
            <w:pPr>
              <w:pStyle w:val="Compact"/>
            </w:pPr>
            <w:r>
              <w:t xml:space="preserve">1.6%</w:t>
            </w:r>
          </w:p>
        </w:tc>
      </w:tr>
      <w:tr>
        <w:tc>
          <w:tcPr/>
          <w:p>
            <w:pPr>
              <w:pStyle w:val="Compact"/>
            </w:pPr>
            <w:r>
              <w:t xml:space="preserve">Q2 2022</w:t>
            </w:r>
          </w:p>
        </w:tc>
        <w:tc>
          <w:tcPr/>
          <w:p>
            <w:pPr>
              <w:pStyle w:val="Compact"/>
            </w:pPr>
            <w:r>
              <w:t xml:space="preserve">3.0%</w:t>
            </w:r>
          </w:p>
        </w:tc>
        <w:tc>
          <w:tcPr/>
          <w:p>
            <w:pPr>
              <w:pStyle w:val="Compact"/>
            </w:pPr>
            <w:r>
              <w:t xml:space="preserve">1.7%</w:t>
            </w:r>
          </w:p>
        </w:tc>
        <w:tc>
          <w:tcPr/>
          <w:p>
            <w:pPr>
              <w:pStyle w:val="Compact"/>
            </w:pPr>
            <w:r>
              <w:t xml:space="preserve">1.7%</w:t>
            </w:r>
          </w:p>
        </w:tc>
      </w:tr>
      <w:tr>
        <w:tc>
          <w:tcPr/>
          <w:p>
            <w:pPr>
              <w:pStyle w:val="Compact"/>
            </w:pPr>
            <w:r>
              <w:t xml:space="preserve">Q3 2022</w:t>
            </w:r>
          </w:p>
        </w:tc>
        <w:tc>
          <w:tcPr/>
          <w:p>
            <w:pPr>
              <w:pStyle w:val="Compact"/>
            </w:pPr>
            <w:r>
              <w:t xml:space="preserve">3.2%</w:t>
            </w:r>
          </w:p>
        </w:tc>
        <w:tc>
          <w:tcPr/>
          <w:p>
            <w:pPr>
              <w:pStyle w:val="Compact"/>
            </w:pPr>
            <w:r>
              <w:t xml:space="preserve">1.8%</w:t>
            </w:r>
          </w:p>
        </w:tc>
        <w:tc>
          <w:tcPr/>
          <w:p>
            <w:pPr>
              <w:pStyle w:val="Compact"/>
            </w:pPr>
            <w:r>
              <w:t xml:space="preserve">1.8%</w:t>
            </w:r>
          </w:p>
        </w:tc>
      </w:tr>
      <w:tr>
        <w:tc>
          <w:tcPr/>
          <w:p>
            <w:pPr>
              <w:pStyle w:val="Compact"/>
            </w:pPr>
            <w:r>
              <w:t xml:space="preserve">Q4 2022</w:t>
            </w:r>
          </w:p>
        </w:tc>
        <w:tc>
          <w:tcPr/>
          <w:p>
            <w:pPr>
              <w:pStyle w:val="Compact"/>
            </w:pPr>
            <w:r>
              <w:t xml:space="preserve">3.5%</w:t>
            </w:r>
          </w:p>
        </w:tc>
        <w:tc>
          <w:tcPr/>
          <w:p>
            <w:pPr>
              <w:pStyle w:val="Compact"/>
            </w:pPr>
            <w:r>
              <w:t xml:space="preserve">2.0%</w:t>
            </w:r>
          </w:p>
        </w:tc>
        <w:tc>
          <w:tcPr/>
          <w:p>
            <w:pPr>
              <w:pStyle w:val="Compact"/>
            </w:pPr>
            <w:r>
              <w:t xml:space="preserve">1.9%</w:t>
            </w:r>
          </w:p>
        </w:tc>
      </w:tr>
      <w:tr>
        <w:tc>
          <w:tcPr/>
          <w:p>
            <w:pPr>
              <w:pStyle w:val="Compact"/>
            </w:pPr>
            <w:r>
              <w:t xml:space="preserve">Q1 2023</w:t>
            </w:r>
          </w:p>
        </w:tc>
        <w:tc>
          <w:tcPr/>
          <w:p>
            <w:pPr>
              <w:pStyle w:val="Compact"/>
            </w:pPr>
            <w:r>
              <w:t xml:space="preserve">3.7%</w:t>
            </w:r>
          </w:p>
        </w:tc>
        <w:tc>
          <w:tcPr/>
          <w:p>
            <w:pPr>
              <w:pStyle w:val="Compact"/>
            </w:pPr>
            <w:r>
              <w:t xml:space="preserve">2.2%</w:t>
            </w:r>
          </w:p>
        </w:tc>
        <w:tc>
          <w:tcPr/>
          <w:p>
            <w:pPr>
              <w:pStyle w:val="Compact"/>
            </w:pPr>
            <w:r>
              <w:t xml:space="preserve">2.0%</w:t>
            </w:r>
          </w:p>
        </w:tc>
      </w:tr>
      <w:tr>
        <w:tc>
          <w:tcPr/>
          <w:p>
            <w:pPr>
              <w:pStyle w:val="Compact"/>
            </w:pPr>
            <w:r>
              <w:t xml:space="preserve">Q2 2023</w:t>
            </w:r>
          </w:p>
        </w:tc>
        <w:tc>
          <w:tcPr/>
          <w:p>
            <w:pPr>
              <w:pStyle w:val="Compact"/>
            </w:pPr>
            <w:r>
              <w:t xml:space="preserve">3.8%</w:t>
            </w:r>
          </w:p>
        </w:tc>
        <w:tc>
          <w:tcPr/>
          <w:p>
            <w:pPr>
              <w:pStyle w:val="Compact"/>
            </w:pPr>
            <w:r>
              <w:t xml:space="preserve">2.6%</w:t>
            </w:r>
          </w:p>
        </w:tc>
        <w:tc>
          <w:tcPr/>
          <w:p>
            <w:pPr>
              <w:pStyle w:val="Compact"/>
            </w:pPr>
            <w:r>
              <w:t xml:space="preserve">2.1%</w:t>
            </w:r>
          </w:p>
        </w:tc>
      </w:tr>
      <w:tr>
        <w:tc>
          <w:tcPr/>
          <w:p>
            <w:pPr>
              <w:pStyle w:val="Compact"/>
            </w:pPr>
            <w:r>
              <w:t xml:space="preserve">Q3 2023</w:t>
            </w:r>
          </w:p>
        </w:tc>
        <w:tc>
          <w:tcPr/>
          <w:p>
            <w:pPr>
              <w:pStyle w:val="Compact"/>
            </w:pPr>
            <w:r>
              <w:t xml:space="preserve">3.9%</w:t>
            </w:r>
          </w:p>
        </w:tc>
        <w:tc>
          <w:tcPr/>
          <w:p>
            <w:pPr>
              <w:pStyle w:val="Compact"/>
            </w:pPr>
            <w:r>
              <w:t xml:space="preserve">2.8%</w:t>
            </w:r>
          </w:p>
        </w:tc>
        <w:tc>
          <w:tcPr/>
          <w:p>
            <w:pPr>
              <w:pStyle w:val="Compact"/>
            </w:pPr>
            <w:r>
              <w:t xml:space="preserve">2.2%</w:t>
            </w:r>
          </w:p>
        </w:tc>
      </w:tr>
      <w:tr>
        <w:tc>
          <w:tcPr/>
          <w:p>
            <w:pPr>
              <w:pStyle w:val="Compact"/>
            </w:pPr>
            <w:r>
              <w:t xml:space="preserve">Q4 2023</w:t>
            </w:r>
          </w:p>
        </w:tc>
        <w:tc>
          <w:tcPr/>
          <w:p>
            <w:pPr>
              <w:pStyle w:val="Compact"/>
            </w:pPr>
            <w:r>
              <w:t xml:space="preserve">4.0%</w:t>
            </w:r>
          </w:p>
        </w:tc>
        <w:tc>
          <w:tcPr/>
          <w:p>
            <w:pPr>
              <w:pStyle w:val="Compact"/>
            </w:pPr>
            <w:r>
              <w:t xml:space="preserve">2.8%</w:t>
            </w:r>
          </w:p>
        </w:tc>
        <w:tc>
          <w:tcPr/>
          <w:p>
            <w:pPr>
              <w:pStyle w:val="Compact"/>
            </w:pPr>
            <w:r>
              <w:t xml:space="preserve">2.3%</w:t>
            </w:r>
          </w:p>
        </w:tc>
      </w:tr>
      <w:tr>
        <w:tc>
          <w:tcPr/>
          <w:p>
            <w:pPr>
              <w:pStyle w:val="Compact"/>
            </w:pPr>
            <w:r>
              <w:t xml:space="preserve">Q1 2024</w:t>
            </w:r>
          </w:p>
        </w:tc>
        <w:tc>
          <w:tcPr/>
          <w:p>
            <w:pPr>
              <w:pStyle w:val="Compact"/>
            </w:pPr>
            <w:r>
              <w:t xml:space="preserve">3.8%</w:t>
            </w:r>
          </w:p>
        </w:tc>
        <w:tc>
          <w:tcPr/>
          <w:p>
            <w:pPr>
              <w:pStyle w:val="Compact"/>
            </w:pPr>
            <w:r>
              <w:t xml:space="preserve">2.7%</w:t>
            </w:r>
          </w:p>
        </w:tc>
        <w:tc>
          <w:tcPr/>
          <w:p>
            <w:pPr>
              <w:pStyle w:val="Compact"/>
            </w:pPr>
            <w:r>
              <w:t xml:space="preserve">2.2%</w:t>
            </w:r>
          </w:p>
        </w:tc>
      </w:tr>
      <w:tr>
        <w:tc>
          <w:tcPr/>
          <w:p>
            <w:pPr>
              <w:pStyle w:val="Compact"/>
            </w:pPr>
            <w:r>
              <w:t xml:space="preserve">Q2 2024</w:t>
            </w:r>
          </w:p>
        </w:tc>
        <w:tc>
          <w:tcPr/>
          <w:p>
            <w:pPr>
              <w:pStyle w:val="Compact"/>
            </w:pPr>
            <w:r>
              <w:t xml:space="preserve">3.8%</w:t>
            </w:r>
          </w:p>
        </w:tc>
        <w:tc>
          <w:tcPr/>
          <w:p>
            <w:pPr>
              <w:pStyle w:val="Compact"/>
            </w:pPr>
            <w:r>
              <w:t xml:space="preserve">2.6%</w:t>
            </w:r>
          </w:p>
        </w:tc>
        <w:tc>
          <w:tcPr/>
          <w:p>
            <w:pPr>
              <w:pStyle w:val="Compact"/>
            </w:pPr>
            <w:r>
              <w:t xml:space="preserve">2.2%</w:t>
            </w:r>
          </w:p>
        </w:tc>
      </w:tr>
      <w:tr>
        <w:tc>
          <w:tcPr/>
          <w:p>
            <w:pPr>
              <w:pStyle w:val="Compact"/>
            </w:pPr>
            <w:r>
              <w:t xml:space="preserve">Q3 2024</w:t>
            </w:r>
          </w:p>
        </w:tc>
        <w:tc>
          <w:tcPr/>
          <w:p>
            <w:pPr>
              <w:pStyle w:val="Compact"/>
            </w:pPr>
            <w:r>
              <w:t xml:space="preserve">3.8%</w:t>
            </w:r>
          </w:p>
        </w:tc>
        <w:tc>
          <w:tcPr/>
          <w:p>
            <w:pPr>
              <w:pStyle w:val="Compact"/>
            </w:pPr>
            <w:r>
              <w:t xml:space="preserve">2.5%</w:t>
            </w:r>
          </w:p>
        </w:tc>
        <w:tc>
          <w:tcPr/>
          <w:p>
            <w:pPr>
              <w:pStyle w:val="Compact"/>
            </w:pPr>
            <w:r>
              <w:t xml:space="preserve">2.3%</w:t>
            </w:r>
          </w:p>
        </w:tc>
      </w:tr>
      <w:tr>
        <w:tc>
          <w:tcPr/>
          <w:p>
            <w:pPr>
              <w:pStyle w:val="Compact"/>
            </w:pPr>
            <w:r>
              <w:t xml:space="preserve">Q4 2024</w:t>
            </w:r>
          </w:p>
        </w:tc>
        <w:tc>
          <w:tcPr/>
          <w:p>
            <w:pPr>
              <w:pStyle w:val="Compact"/>
            </w:pPr>
            <w:r>
              <w:t xml:space="preserve">3.7%</w:t>
            </w:r>
          </w:p>
        </w:tc>
        <w:tc>
          <w:tcPr/>
          <w:p>
            <w:pPr>
              <w:pStyle w:val="Compact"/>
            </w:pPr>
            <w:r>
              <w:t xml:space="preserve">2.5%</w:t>
            </w:r>
          </w:p>
        </w:tc>
        <w:tc>
          <w:tcPr/>
          <w:p>
            <w:pPr>
              <w:pStyle w:val="Compact"/>
            </w:pPr>
            <w:r>
              <w:t xml:space="preserve">2.4%</w:t>
            </w:r>
          </w:p>
        </w:tc>
      </w:tr>
    </w:tbl>
    <w:p>
      <w:pPr>
        <w:pStyle w:val="BodyText"/>
      </w:pPr>
      <w:r>
        <w:t xml:space="preserve">Source: Tesla estimates based on latest available data from ACEA; Autonews.com; CAAM – light-duty vehicles</w:t>
      </w:r>
      <w:r>
        <w:br/>
      </w:r>
      <w:r>
        <w:t xml:space="preserve">only; TTM = Trailing twelve months</w:t>
      </w:r>
    </w:p>
    <w:bookmarkEnd w:id="20"/>
    <w:bookmarkStart w:id="21" w:name="X917f65a0cb59805779b8c3da9883eb280798f83"/>
    <w:p>
      <w:pPr>
        <w:pStyle w:val="Heading1"/>
      </w:pPr>
      <w:r>
        <w:t xml:space="preserve">Artificial Intelligence Software and Hardware</w:t>
      </w:r>
    </w:p>
    <w:p>
      <w:pPr>
        <w:pStyle w:val="FirstParagraph"/>
      </w:pPr>
      <w:r>
        <w:t xml:space="preserve">In Q4, we completed the deployment of Cortex, a ~50k H100 training cluster at Gigafactory Texas. Cortex helped enable V13 of FSD (Supervised)1, which boasts major improvements in safety and comfort thanks to 4.2x increase in data, higher resolution video inputs, 2x reduction in photon-to-control latency and redesigned controller, among other enhancements. FSD (Supervised) can now start from park and perform unpark, reverse and park capabilities. In Q4, Tesla vehicles using Autopilot technology drove 5.94 million miles between accidents2 – the best Q4 ever – compared to the U.S. average of .70 million miles. Progress on Optimus hardware and software continued in Q4, including the latest generation hand, robust locomotion and training on additional tasks, ahead of planned pilot production in 2025.</w:t>
      </w:r>
    </w:p>
    <w:bookmarkEnd w:id="21"/>
    <w:bookmarkStart w:id="22" w:name="vehicle-and-other-software"/>
    <w:p>
      <w:pPr>
        <w:pStyle w:val="Heading1"/>
      </w:pPr>
      <w:r>
        <w:t xml:space="preserve">Vehicle and Other Software</w:t>
      </w:r>
    </w:p>
    <w:p>
      <w:pPr>
        <w:pStyle w:val="FirstParagraph"/>
      </w:pPr>
      <w:r>
        <w:t xml:space="preserve">The holiday release included Apple Watch support - customers can pair their watch as a key to unlock and lock their vehicle without ever pressing a button just like the phone key. With a Premium Connectivity subscription, Dashcam and Sentry Mode clips can be viewed and downloaded directly from the Tesla mobile app. An animated three-hour precipitation forecast can be viewed on the map, and SiriusXM is now available to our full lineup with launch as a native app for Model 3, Model Y and Cybertruck.</w:t>
      </w:r>
    </w:p>
    <w:bookmarkEnd w:id="22"/>
    <w:bookmarkStart w:id="23" w:name="battery-powertrain-and-manufacturing"/>
    <w:p>
      <w:pPr>
        <w:pStyle w:val="Heading1"/>
      </w:pPr>
      <w:r>
        <w:t xml:space="preserve">Battery, Powertrain and Manufacturing</w:t>
      </w:r>
    </w:p>
    <w:p>
      <w:pPr>
        <w:pStyle w:val="FirstParagraph"/>
      </w:pPr>
      <w:r>
        <w:t xml:space="preserve">We processed our first spodumene (lithium-containing concentrate) through the front-end of the lithium refinery only 18 months after ground-breaking: much faster than any plant we know of outside of Asia. The intermediate material was on-spec, and we are on track to commission the plant in 2025. Our in-house 4680 cell hit a production rate exceeding 2.5k Cybertrucks/week.</w:t>
      </w:r>
    </w:p>
    <w:p>
      <w:pPr>
        <w:pStyle w:val="BodyText"/>
      </w:pPr>
    </w:p>
    <w:p>
      <w:pPr>
        <w:pStyle w:val="BodyText"/>
      </w:pPr>
      <w:r>
        <w:t xml:space="preserve">bar_stacked</w:t>
      </w:r>
    </w:p>
    <w:tbl>
      <w:tblPr>
        <w:tblStyle w:val="Table"/>
        <w:tblW w:type="pct" w:w="5000"/>
        <w:tblLayout w:type="fixed"/>
        <w:tblLook w:firstRow="1" w:lastRow="0" w:firstColumn="0" w:lastColumn="0" w:noHBand="0" w:noVBand="0" w:val="0020"/>
      </w:tblPr>
      <w:tblGrid>
        <w:gridCol w:w="1237"/>
        <w:gridCol w:w="3341"/>
        <w:gridCol w:w="3341"/>
      </w:tblGrid>
      <w:tr>
        <w:trPr>
          <w:tblHeader w:val="on"/>
        </w:trPr>
        <w:tc>
          <w:tcPr/>
          <w:p>
            <w:pPr>
              <w:pStyle w:val="Compact"/>
            </w:pPr>
            <w:r>
              <w:t xml:space="preserve">Date</w:t>
            </w:r>
          </w:p>
        </w:tc>
        <w:tc>
          <w:tcPr/>
          <w:p>
            <w:pPr>
              <w:pStyle w:val="Compact"/>
            </w:pPr>
            <w:r>
              <w:t xml:space="preserve">FSD Miles on V12 and Beyond</w:t>
            </w:r>
          </w:p>
        </w:tc>
        <w:tc>
          <w:tcPr/>
          <w:p>
            <w:pPr>
              <w:pStyle w:val="Compact"/>
            </w:pPr>
            <w:r>
              <w:t xml:space="preserve">FSD Miles on V11 and Before</w:t>
            </w:r>
          </w:p>
        </w:tc>
      </w:tr>
      <w:tr>
        <w:tc>
          <w:tcPr/>
          <w:p>
            <w:pPr>
              <w:pStyle w:val="Compact"/>
            </w:pPr>
            <w:r>
              <w:t xml:space="preserve">Dec-2024</w:t>
            </w:r>
          </w:p>
        </w:tc>
        <w:tc>
          <w:tcPr/>
          <w:p>
            <w:pPr>
              <w:pStyle w:val="Compact"/>
            </w:pPr>
            <w:r>
              <w:t xml:space="preserve">2.8</w:t>
            </w:r>
          </w:p>
        </w:tc>
        <w:tc>
          <w:tcPr/>
          <w:p>
            <w:pPr>
              <w:pStyle w:val="Compact"/>
            </w:pPr>
            <w:r>
              <w:t xml:space="preserve">0.9</w:t>
            </w:r>
          </w:p>
        </w:tc>
      </w:tr>
      <w:tr>
        <w:tc>
          <w:tcPr/>
          <w:p>
            <w:pPr>
              <w:pStyle w:val="Compact"/>
            </w:pPr>
            <w:r>
              <w:t xml:space="preserve">Mar-2024</w:t>
            </w:r>
          </w:p>
        </w:tc>
        <w:tc>
          <w:tcPr/>
          <w:p>
            <w:pPr>
              <w:pStyle w:val="Compact"/>
            </w:pPr>
            <w:r>
              <w:t xml:space="preserve">0.9</w:t>
            </w:r>
          </w:p>
        </w:tc>
        <w:tc>
          <w:tcPr/>
          <w:p>
            <w:pPr>
              <w:pStyle w:val="Compact"/>
            </w:pPr>
            <w:r>
              <w:t xml:space="preserve">0.9</w:t>
            </w:r>
          </w:p>
        </w:tc>
      </w:tr>
      <w:tr>
        <w:tc>
          <w:tcPr/>
          <w:p>
            <w:pPr>
              <w:pStyle w:val="Compact"/>
            </w:pPr>
            <w:r>
              <w:t xml:space="preserve">Jun-2024</w:t>
            </w:r>
          </w:p>
        </w:tc>
        <w:tc>
          <w:tcPr/>
          <w:p>
            <w:pPr>
              <w:pStyle w:val="Compact"/>
            </w:pPr>
            <w:r>
              <w:t xml:space="preserve">1.4</w:t>
            </w:r>
          </w:p>
        </w:tc>
        <w:tc>
          <w:tcPr/>
          <w:p>
            <w:pPr>
              <w:pStyle w:val="Compact"/>
            </w:pPr>
            <w:r>
              <w:t xml:space="preserve">0.9</w:t>
            </w:r>
          </w:p>
        </w:tc>
      </w:tr>
      <w:tr>
        <w:tc>
          <w:tcPr/>
          <w:p>
            <w:pPr>
              <w:pStyle w:val="Compact"/>
            </w:pPr>
            <w:r>
              <w:t xml:space="preserve">Sep-2024</w:t>
            </w:r>
          </w:p>
        </w:tc>
        <w:tc>
          <w:tcPr/>
          <w:p>
            <w:pPr>
              <w:pStyle w:val="Compact"/>
            </w:pPr>
            <w:r>
              <w:t xml:space="preserve">2.1</w:t>
            </w:r>
          </w:p>
        </w:tc>
        <w:tc>
          <w:tcPr/>
          <w:p>
            <w:pPr>
              <w:pStyle w:val="Compact"/>
            </w:pPr>
            <w:r>
              <w:t xml:space="preserve">0.9</w:t>
            </w:r>
          </w:p>
        </w:tc>
      </w:tr>
      <w:tr>
        <w:tc>
          <w:tcPr/>
          <w:p>
            <w:pPr>
              <w:pStyle w:val="Compact"/>
            </w:pPr>
            <w:r>
              <w:t xml:space="preserve">Dec-2024</w:t>
            </w:r>
          </w:p>
        </w:tc>
        <w:tc>
          <w:tcPr/>
          <w:p>
            <w:pPr>
              <w:pStyle w:val="Compact"/>
            </w:pPr>
            <w:r>
              <w:t xml:space="preserve">2.9</w:t>
            </w:r>
          </w:p>
        </w:tc>
        <w:tc>
          <w:tcPr/>
          <w:p>
            <w:pPr>
              <w:pStyle w:val="Compact"/>
            </w:pPr>
            <w:r>
              <w:t xml:space="preserve">0.9</w:t>
            </w:r>
          </w:p>
        </w:tc>
      </w:tr>
    </w:tbl>
    <w:p>
      <w:pPr>
        <w:pStyle w:val="BodyText"/>
      </w:pPr>
      <w:r>
        <w:t xml:space="preserve">Cumulative miles driven with FSD (Supervised) (billions)</w:t>
      </w:r>
    </w:p>
    <w:p>
      <w:pPr>
        <w:pStyle w:val="BodyText"/>
      </w:pPr>
    </w:p>
    <w:p>
      <w:pPr>
        <w:pStyle w:val="BodyText"/>
      </w:pPr>
      <w:r>
        <w:t xml:space="preserve">line</w:t>
      </w:r>
    </w:p>
    <w:tbl>
      <w:tblPr>
        <w:tblStyle w:val="Table"/>
        <w:tblW w:type="pct" w:w="5000"/>
        <w:tblLayout w:type="fixed"/>
        <w:tblLook w:firstRow="1" w:lastRow="0" w:firstColumn="0" w:lastColumn="0" w:noHBand="0" w:noVBand="0" w:val="0020"/>
      </w:tblPr>
      <w:tblGrid>
        <w:gridCol w:w="740"/>
        <w:gridCol w:w="3108"/>
        <w:gridCol w:w="3478"/>
        <w:gridCol w:w="592"/>
      </w:tblGrid>
      <w:tr>
        <w:trPr>
          <w:tblHeader w:val="on"/>
        </w:trPr>
        <w:tc>
          <w:tcPr/>
          <w:p>
            <w:pPr>
              <w:pStyle w:val="Compact"/>
            </w:pPr>
            <w:r>
              <w:t xml:space="preserve">Quarter</w:t>
            </w:r>
          </w:p>
        </w:tc>
        <w:tc>
          <w:tcPr/>
          <w:p>
            <w:pPr>
              <w:pStyle w:val="Compact"/>
            </w:pPr>
            <w:r>
              <w:t xml:space="preserve">Tesla vehicles using Autopilot technology</w:t>
            </w:r>
          </w:p>
        </w:tc>
        <w:tc>
          <w:tcPr/>
          <w:p>
            <w:pPr>
              <w:pStyle w:val="Compact"/>
            </w:pPr>
            <w:r>
              <w:t xml:space="preserve">Tesla vehicles not using Autopilot technology</w:t>
            </w:r>
          </w:p>
        </w:tc>
        <w:tc>
          <w:tcPr/>
          <w:p>
            <w:pPr>
              <w:pStyle w:val="Compact"/>
            </w:pPr>
            <w:r>
              <w:t xml:space="preserve">U.S. avg</w:t>
            </w:r>
          </w:p>
        </w:tc>
      </w:tr>
      <w:tr>
        <w:tc>
          <w:tcPr/>
          <w:p>
            <w:pPr>
              <w:pStyle w:val="Compact"/>
            </w:pPr>
            <w:r>
              <w:t xml:space="preserve">Q4 2019</w:t>
            </w:r>
          </w:p>
        </w:tc>
        <w:tc>
          <w:tcPr/>
          <w:p>
            <w:pPr>
              <w:pStyle w:val="Compact"/>
            </w:pPr>
            <w:r>
              <w:t xml:space="preserve">3.1</w:t>
            </w:r>
          </w:p>
        </w:tc>
        <w:tc>
          <w:tcPr/>
          <w:p>
            <w:pPr>
              <w:pStyle w:val="Compact"/>
            </w:pPr>
            <w:r>
              <w:t xml:space="preserve">1.5</w:t>
            </w:r>
          </w:p>
        </w:tc>
        <w:tc>
          <w:tcPr/>
          <w:p>
            <w:pPr>
              <w:pStyle w:val="Compact"/>
            </w:pPr>
            <w:r>
              <w:t xml:space="preserve">0.5</w:t>
            </w:r>
          </w:p>
        </w:tc>
      </w:tr>
      <w:tr>
        <w:tc>
          <w:tcPr/>
          <w:p>
            <w:pPr>
              <w:pStyle w:val="Compact"/>
            </w:pPr>
            <w:r>
              <w:t xml:space="preserve">Q4 2020</w:t>
            </w:r>
          </w:p>
        </w:tc>
        <w:tc>
          <w:tcPr/>
          <w:p>
            <w:pPr>
              <w:pStyle w:val="Compact"/>
            </w:pPr>
            <w:r>
              <w:t xml:space="preserve">3.8</w:t>
            </w:r>
          </w:p>
        </w:tc>
        <w:tc>
          <w:tcPr/>
          <w:p>
            <w:pPr>
              <w:pStyle w:val="Compact"/>
            </w:pPr>
            <w:r>
              <w:t xml:space="preserve">1.3</w:t>
            </w:r>
          </w:p>
        </w:tc>
        <w:tc>
          <w:tcPr/>
          <w:p>
            <w:pPr>
              <w:pStyle w:val="Compact"/>
            </w:pPr>
            <w:r>
              <w:t xml:space="preserve">0.6</w:t>
            </w:r>
          </w:p>
        </w:tc>
      </w:tr>
      <w:tr>
        <w:tc>
          <w:tcPr/>
          <w:p>
            <w:pPr>
              <w:pStyle w:val="Compact"/>
            </w:pPr>
            <w:r>
              <w:t xml:space="preserve">Q4 2021</w:t>
            </w:r>
          </w:p>
        </w:tc>
        <w:tc>
          <w:tcPr/>
          <w:p>
            <w:pPr>
              <w:pStyle w:val="Compact"/>
            </w:pPr>
            <w:r>
              <w:t xml:space="preserve">4.4</w:t>
            </w:r>
          </w:p>
        </w:tc>
        <w:tc>
          <w:tcPr/>
          <w:p>
            <w:pPr>
              <w:pStyle w:val="Compact"/>
            </w:pPr>
            <w:r>
              <w:t xml:space="preserve">1.5</w:t>
            </w:r>
          </w:p>
        </w:tc>
        <w:tc>
          <w:tcPr/>
          <w:p>
            <w:pPr>
              <w:pStyle w:val="Compact"/>
            </w:pPr>
            <w:r>
              <w:t xml:space="preserve">0.7</w:t>
            </w:r>
          </w:p>
        </w:tc>
      </w:tr>
      <w:tr>
        <w:tc>
          <w:tcPr/>
          <w:p>
            <w:pPr>
              <w:pStyle w:val="Compact"/>
            </w:pPr>
            <w:r>
              <w:t xml:space="preserve">Q4 2022</w:t>
            </w:r>
          </w:p>
        </w:tc>
        <w:tc>
          <w:tcPr/>
          <w:p>
            <w:pPr>
              <w:pStyle w:val="Compact"/>
            </w:pPr>
            <w:r>
              <w:t xml:space="preserve">4.9</w:t>
            </w:r>
          </w:p>
        </w:tc>
        <w:tc>
          <w:tcPr/>
          <w:p>
            <w:pPr>
              <w:pStyle w:val="Compact"/>
            </w:pPr>
            <w:r>
              <w:t xml:space="preserve">1.4</w:t>
            </w:r>
          </w:p>
        </w:tc>
        <w:tc>
          <w:tcPr/>
          <w:p>
            <w:pPr>
              <w:pStyle w:val="Compact"/>
            </w:pPr>
            <w:r>
              <w:t xml:space="preserve">0.7</w:t>
            </w:r>
          </w:p>
        </w:tc>
      </w:tr>
      <w:tr>
        <w:tc>
          <w:tcPr/>
          <w:p>
            <w:pPr>
              <w:pStyle w:val="Compact"/>
            </w:pPr>
            <w:r>
              <w:t xml:space="preserve">Q4 2023</w:t>
            </w:r>
          </w:p>
        </w:tc>
        <w:tc>
          <w:tcPr/>
          <w:p>
            <w:pPr>
              <w:pStyle w:val="Compact"/>
            </w:pPr>
            <w:r>
              <w:t xml:space="preserve">5.4</w:t>
            </w:r>
          </w:p>
        </w:tc>
        <w:tc>
          <w:tcPr/>
          <w:p>
            <w:pPr>
              <w:pStyle w:val="Compact"/>
            </w:pPr>
            <w:r>
              <w:t xml:space="preserve">1.0</w:t>
            </w:r>
          </w:p>
        </w:tc>
        <w:tc>
          <w:tcPr/>
          <w:p>
            <w:pPr>
              <w:pStyle w:val="Compact"/>
            </w:pPr>
            <w:r>
              <w:t xml:space="preserve">0.7</w:t>
            </w:r>
          </w:p>
        </w:tc>
      </w:tr>
      <w:tr>
        <w:tc>
          <w:tcPr/>
          <w:p>
            <w:pPr>
              <w:pStyle w:val="Compact"/>
            </w:pPr>
            <w:r>
              <w:t xml:space="preserve">Q4 2024</w:t>
            </w:r>
          </w:p>
        </w:tc>
        <w:tc>
          <w:tcPr/>
          <w:p>
            <w:pPr>
              <w:pStyle w:val="Compact"/>
            </w:pPr>
            <w:r>
              <w:t xml:space="preserve">6.0</w:t>
            </w:r>
          </w:p>
        </w:tc>
        <w:tc>
          <w:tcPr/>
          <w:p>
            <w:pPr>
              <w:pStyle w:val="Compact"/>
            </w:pPr>
            <w:r>
              <w:t xml:space="preserve">1.1</w:t>
            </w:r>
          </w:p>
        </w:tc>
        <w:tc>
          <w:tcPr/>
          <w:p>
            <w:pPr>
              <w:pStyle w:val="Compact"/>
            </w:pPr>
            <w:r>
              <w:t xml:space="preserve">0.7</w:t>
            </w:r>
          </w:p>
        </w:tc>
      </w:tr>
    </w:tbl>
    <w:p>
      <w:pPr>
        <w:pStyle w:val="BodyText"/>
      </w:pPr>
      <w:r>
        <w:t xml:space="preserve">Million miles driven before an accident occurs</w:t>
      </w:r>
      <w:r>
        <w:br/>
      </w:r>
      <w:r>
        <w:t xml:space="preserve">(1) Active driver supervision required; does not make the vehicle autonomous</w:t>
      </w:r>
      <w:r>
        <w:br/>
      </w:r>
      <w:r>
        <w:t xml:space="preserve">(2) For more information, see our Vehicle Safety Report</w:t>
      </w:r>
    </w:p>
    <w:p>
      <w:pPr>
        <w:pStyle w:val="BodyText"/>
      </w:pPr>
      <w:r>
        <w:t xml:space="preserve">Our Energy business continued to grow rapidly in 2024 as we expand capacity for both Megapack and Powerwall to meet demand. Services and Other – a collection of businesses that support new vehicle sales – achieved its third year in a row of profitability in 2024.</w:t>
      </w:r>
    </w:p>
    <w:bookmarkEnd w:id="23"/>
    <w:bookmarkStart w:id="24" w:name="energy-generation-and-storage"/>
    <w:p>
      <w:pPr>
        <w:pStyle w:val="Heading1"/>
      </w:pPr>
      <w:r>
        <w:t xml:space="preserve">Energy Generation and Storage</w:t>
      </w:r>
    </w:p>
    <w:p>
      <w:pPr>
        <w:pStyle w:val="FirstParagraph"/>
      </w:pPr>
      <w:r>
        <w:t xml:space="preserve">The Energy business achieved record deployments for both Powerwall and Megapack at a combined 11.0 GWh, resulting in a record gross profit in Q4. Material and other costs continued to come down in Q4 at the Lathrop Megafactory. Both Powerwall and Megapack continue to be supply constrained as we open new markets and demand for energy storage products continues to grow. With construction completed, Shanghai Megafactory will begin ramping in Q1.</w:t>
      </w:r>
    </w:p>
    <w:bookmarkEnd w:id="24"/>
    <w:bookmarkStart w:id="25" w:name="services-and-other"/>
    <w:p>
      <w:pPr>
        <w:pStyle w:val="Heading1"/>
      </w:pPr>
      <w:r>
        <w:t xml:space="preserve">Services and Other</w:t>
      </w:r>
    </w:p>
    <w:p>
      <w:pPr>
        <w:pStyle w:val="FirstParagraph"/>
      </w:pPr>
      <w:r>
        <w:t xml:space="preserve">In Q4, we added over 3k Supercharger stalls to the network and delivered 1.4 TWh of energy. We unveiled our V4 cabinet, which supports 400V-1,000V vehicle architectures, charges up to 500kW for passenger vehicles and 1.2MW for Tesla Semi and has cutting-edge power electronics with 3x the power density. We launched Battery Heating at Superchargers, a feature that gets vehicles with LFP battery packs back on the road up to 4x faster. We also continued to welcome more OEMs to the North American Supercharger network, including the first NACS native vehicles. Overall, in 2024, we launched Superchargers in three new countries, added over 10k new Supercharger stalls, and grew the network by 19% year-over-year, for a total of 65k+ Superchargers worldwide. We delivered 5.2+ TWh, offsetting over 5.5 billion kg of direct CO2 emissions and 2.4 billion liters of gasoline.</w:t>
      </w:r>
    </w:p>
    <w:p>
      <w:pPr>
        <w:pStyle w:val="BodyText"/>
      </w:pPr>
    </w:p>
    <w:p>
      <w:pPr>
        <w:pStyle w:val="BodyText"/>
      </w:pPr>
      <w:r>
        <w:t xml:space="preserve">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Quarter</w:t>
            </w:r>
          </w:p>
        </w:tc>
        <w:tc>
          <w:tcPr/>
          <w:p>
            <w:pPr>
              <w:pStyle w:val="Compact"/>
            </w:pPr>
            <w:r>
              <w:t xml:space="preserve">Value</w:t>
            </w:r>
          </w:p>
        </w:tc>
      </w:tr>
      <w:tr>
        <w:tc>
          <w:tcPr/>
          <w:p>
            <w:pPr>
              <w:pStyle w:val="Compact"/>
            </w:pPr>
            <w:r>
              <w:t xml:space="preserve">Q1 2018</w:t>
            </w:r>
          </w:p>
        </w:tc>
        <w:tc>
          <w:tcPr/>
          <w:p>
            <w:pPr>
              <w:pStyle w:val="Compact"/>
            </w:pPr>
            <w:r>
              <w:t xml:space="preserve">-50</w:t>
            </w:r>
          </w:p>
        </w:tc>
      </w:tr>
      <w:tr>
        <w:tc>
          <w:tcPr/>
          <w:p>
            <w:pPr>
              <w:pStyle w:val="Compact"/>
            </w:pPr>
            <w:r>
              <w:t xml:space="preserve">Q2 2018</w:t>
            </w:r>
          </w:p>
        </w:tc>
        <w:tc>
          <w:tcPr/>
          <w:p>
            <w:pPr>
              <w:pStyle w:val="Compact"/>
            </w:pPr>
            <w:r>
              <w:t xml:space="preserve">-50</w:t>
            </w:r>
          </w:p>
        </w:tc>
      </w:tr>
      <w:tr>
        <w:tc>
          <w:tcPr/>
          <w:p>
            <w:pPr>
              <w:pStyle w:val="Compact"/>
            </w:pPr>
            <w:r>
              <w:t xml:space="preserve">Q3 2018</w:t>
            </w:r>
          </w:p>
        </w:tc>
        <w:tc>
          <w:tcPr/>
          <w:p>
            <w:pPr>
              <w:pStyle w:val="Compact"/>
            </w:pPr>
            <w:r>
              <w:t xml:space="preserve">-50</w:t>
            </w:r>
          </w:p>
        </w:tc>
      </w:tr>
      <w:tr>
        <w:tc>
          <w:tcPr/>
          <w:p>
            <w:pPr>
              <w:pStyle w:val="Compact"/>
            </w:pPr>
            <w:r>
              <w:t xml:space="preserve">Q4 2018</w:t>
            </w:r>
          </w:p>
        </w:tc>
        <w:tc>
          <w:tcPr/>
          <w:p>
            <w:pPr>
              <w:pStyle w:val="Compact"/>
            </w:pPr>
            <w:r>
              <w:t xml:space="preserve">-75</w:t>
            </w:r>
          </w:p>
        </w:tc>
      </w:tr>
      <w:tr>
        <w:tc>
          <w:tcPr/>
          <w:p>
            <w:pPr>
              <w:pStyle w:val="Compact"/>
            </w:pPr>
            <w:r>
              <w:t xml:space="preserve">Q1 2019</w:t>
            </w:r>
          </w:p>
        </w:tc>
        <w:tc>
          <w:tcPr/>
          <w:p>
            <w:pPr>
              <w:pStyle w:val="Compact"/>
            </w:pPr>
            <w:r>
              <w:t xml:space="preserve">-180</w:t>
            </w:r>
          </w:p>
        </w:tc>
      </w:tr>
      <w:tr>
        <w:tc>
          <w:tcPr/>
          <w:p>
            <w:pPr>
              <w:pStyle w:val="Compact"/>
            </w:pPr>
            <w:r>
              <w:t xml:space="preserve">Q2 2019</w:t>
            </w:r>
          </w:p>
        </w:tc>
        <w:tc>
          <w:tcPr/>
          <w:p>
            <w:pPr>
              <w:pStyle w:val="Compact"/>
            </w:pPr>
            <w:r>
              <w:t xml:space="preserve">-75</w:t>
            </w:r>
          </w:p>
        </w:tc>
      </w:tr>
      <w:tr>
        <w:tc>
          <w:tcPr/>
          <w:p>
            <w:pPr>
              <w:pStyle w:val="Compact"/>
            </w:pPr>
            <w:r>
              <w:t xml:space="preserve">Q3 2019</w:t>
            </w:r>
          </w:p>
        </w:tc>
        <w:tc>
          <w:tcPr/>
          <w:p>
            <w:pPr>
              <w:pStyle w:val="Compact"/>
            </w:pPr>
            <w:r>
              <w:t xml:space="preserve">-25</w:t>
            </w:r>
          </w:p>
        </w:tc>
      </w:tr>
      <w:tr>
        <w:tc>
          <w:tcPr/>
          <w:p>
            <w:pPr>
              <w:pStyle w:val="Compact"/>
            </w:pPr>
            <w:r>
              <w:t xml:space="preserve">Q4 2019</w:t>
            </w:r>
          </w:p>
        </w:tc>
        <w:tc>
          <w:tcPr/>
          <w:p>
            <w:pPr>
              <w:pStyle w:val="Compact"/>
            </w:pPr>
            <w:r>
              <w:t xml:space="preserve">-25</w:t>
            </w:r>
          </w:p>
        </w:tc>
      </w:tr>
      <w:tr>
        <w:tc>
          <w:tcPr/>
          <w:p>
            <w:pPr>
              <w:pStyle w:val="Compact"/>
            </w:pPr>
            <w:r>
              <w:t xml:space="preserve">Q1 2020</w:t>
            </w:r>
          </w:p>
        </w:tc>
        <w:tc>
          <w:tcPr/>
          <w:p>
            <w:pPr>
              <w:pStyle w:val="Compact"/>
            </w:pPr>
            <w:r>
              <w:t xml:space="preserve">-50</w:t>
            </w:r>
          </w:p>
        </w:tc>
      </w:tr>
      <w:tr>
        <w:tc>
          <w:tcPr/>
          <w:p>
            <w:pPr>
              <w:pStyle w:val="Compact"/>
            </w:pPr>
            <w:r>
              <w:t xml:space="preserve">Q2 2020</w:t>
            </w:r>
          </w:p>
        </w:tc>
        <w:tc>
          <w:tcPr/>
          <w:p>
            <w:pPr>
              <w:pStyle w:val="Compact"/>
            </w:pPr>
            <w:r>
              <w:t xml:space="preserve">-50</w:t>
            </w:r>
          </w:p>
        </w:tc>
      </w:tr>
      <w:tr>
        <w:tc>
          <w:tcPr/>
          <w:p>
            <w:pPr>
              <w:pStyle w:val="Compact"/>
            </w:pPr>
            <w:r>
              <w:t xml:space="preserve">Q3 2020</w:t>
            </w:r>
          </w:p>
        </w:tc>
        <w:tc>
          <w:tcPr/>
          <w:p>
            <w:pPr>
              <w:pStyle w:val="Compact"/>
            </w:pPr>
            <w:r>
              <w:t xml:space="preserve">-25</w:t>
            </w:r>
          </w:p>
        </w:tc>
      </w:tr>
      <w:tr>
        <w:tc>
          <w:tcPr/>
          <w:p>
            <w:pPr>
              <w:pStyle w:val="Compact"/>
            </w:pPr>
            <w:r>
              <w:t xml:space="preserve">Q4 2020</w:t>
            </w:r>
          </w:p>
        </w:tc>
        <w:tc>
          <w:tcPr/>
          <w:p>
            <w:pPr>
              <w:pStyle w:val="Compact"/>
            </w:pPr>
            <w:r>
              <w:t xml:space="preserve">-180</w:t>
            </w:r>
          </w:p>
        </w:tc>
      </w:tr>
      <w:tr>
        <w:tc>
          <w:tcPr/>
          <w:p>
            <w:pPr>
              <w:pStyle w:val="Compact"/>
            </w:pPr>
            <w:r>
              <w:t xml:space="preserve">Q1 2021</w:t>
            </w:r>
          </w:p>
        </w:tc>
        <w:tc>
          <w:tcPr/>
          <w:p>
            <w:pPr>
              <w:pStyle w:val="Compact"/>
            </w:pPr>
            <w:r>
              <w:t xml:space="preserve">-180</w:t>
            </w:r>
          </w:p>
        </w:tc>
      </w:tr>
      <w:tr>
        <w:tc>
          <w:tcPr/>
          <w:p>
            <w:pPr>
              <w:pStyle w:val="Compact"/>
            </w:pPr>
            <w:r>
              <w:t xml:space="preserve">Q2 2021</w:t>
            </w:r>
          </w:p>
        </w:tc>
        <w:tc>
          <w:tcPr/>
          <w:p>
            <w:pPr>
              <w:pStyle w:val="Compact"/>
            </w:pPr>
            <w:r>
              <w:t xml:space="preserve">-25</w:t>
            </w:r>
          </w:p>
        </w:tc>
      </w:tr>
      <w:tr>
        <w:tc>
          <w:tcPr/>
          <w:p>
            <w:pPr>
              <w:pStyle w:val="Compact"/>
            </w:pPr>
            <w:r>
              <w:t xml:space="preserve">Q3 2021</w:t>
            </w:r>
          </w:p>
        </w:tc>
        <w:tc>
          <w:tcPr/>
          <w:p>
            <w:pPr>
              <w:pStyle w:val="Compact"/>
            </w:pPr>
            <w:r>
              <w:t xml:space="preserve">-25</w:t>
            </w:r>
          </w:p>
        </w:tc>
      </w:tr>
      <w:tr>
        <w:tc>
          <w:tcPr/>
          <w:p>
            <w:pPr>
              <w:pStyle w:val="Compact"/>
            </w:pPr>
            <w:r>
              <w:t xml:space="preserve">Q4 2021</w:t>
            </w:r>
          </w:p>
        </w:tc>
        <w:tc>
          <w:tcPr/>
          <w:p>
            <w:pPr>
              <w:pStyle w:val="Compact"/>
            </w:pPr>
            <w:r>
              <w:t xml:space="preserve">-25</w:t>
            </w:r>
          </w:p>
        </w:tc>
      </w:tr>
      <w:tr>
        <w:tc>
          <w:tcPr/>
          <w:p>
            <w:pPr>
              <w:pStyle w:val="Compact"/>
            </w:pPr>
            <w:r>
              <w:t xml:space="preserve">Q1 2022</w:t>
            </w:r>
          </w:p>
        </w:tc>
        <w:tc>
          <w:tcPr/>
          <w:p>
            <w:pPr>
              <w:pStyle w:val="Compact"/>
            </w:pPr>
            <w:r>
              <w:t xml:space="preserve">-75</w:t>
            </w:r>
          </w:p>
        </w:tc>
      </w:tr>
      <w:tr>
        <w:tc>
          <w:tcPr/>
          <w:p>
            <w:pPr>
              <w:pStyle w:val="Compact"/>
            </w:pPr>
            <w:r>
              <w:t xml:space="preserve">Q2 2022</w:t>
            </w:r>
          </w:p>
        </w:tc>
        <w:tc>
          <w:tcPr/>
          <w:p>
            <w:pPr>
              <w:pStyle w:val="Compact"/>
            </w:pPr>
            <w:r>
              <w:t xml:space="preserve">150</w:t>
            </w:r>
          </w:p>
        </w:tc>
      </w:tr>
      <w:tr>
        <w:tc>
          <w:tcPr/>
          <w:p>
            <w:pPr>
              <w:pStyle w:val="Compact"/>
            </w:pPr>
            <w:r>
              <w:t xml:space="preserve">Q3 2022</w:t>
            </w:r>
          </w:p>
        </w:tc>
        <w:tc>
          <w:tcPr/>
          <w:p>
            <w:pPr>
              <w:pStyle w:val="Compact"/>
            </w:pPr>
            <w:r>
              <w:t xml:space="preserve">175</w:t>
            </w:r>
          </w:p>
        </w:tc>
      </w:tr>
      <w:tr>
        <w:tc>
          <w:tcPr/>
          <w:p>
            <w:pPr>
              <w:pStyle w:val="Compact"/>
            </w:pPr>
            <w:r>
              <w:t xml:space="preserve">Q4 2022</w:t>
            </w:r>
          </w:p>
        </w:tc>
        <w:tc>
          <w:tcPr/>
          <w:p>
            <w:pPr>
              <w:pStyle w:val="Compact"/>
            </w:pPr>
            <w:r>
              <w:t xml:space="preserve">250</w:t>
            </w:r>
          </w:p>
        </w:tc>
      </w:tr>
      <w:tr>
        <w:tc>
          <w:tcPr/>
          <w:p>
            <w:pPr>
              <w:pStyle w:val="Compact"/>
            </w:pPr>
            <w:r>
              <w:t xml:space="preserve">Q1 2023</w:t>
            </w:r>
          </w:p>
        </w:tc>
        <w:tc>
          <w:tcPr/>
          <w:p>
            <w:pPr>
              <w:pStyle w:val="Compact"/>
            </w:pPr>
            <w:r>
              <w:t xml:space="preserve">300</w:t>
            </w:r>
          </w:p>
        </w:tc>
      </w:tr>
      <w:tr>
        <w:tc>
          <w:tcPr/>
          <w:p>
            <w:pPr>
              <w:pStyle w:val="Compact"/>
            </w:pPr>
            <w:r>
              <w:t xml:space="preserve">Q2 2023</w:t>
            </w:r>
          </w:p>
        </w:tc>
        <w:tc>
          <w:tcPr/>
          <w:p>
            <w:pPr>
              <w:pStyle w:val="Compact"/>
            </w:pPr>
            <w:r>
              <w:t xml:space="preserve">450</w:t>
            </w:r>
          </w:p>
        </w:tc>
      </w:tr>
      <w:tr>
        <w:tc>
          <w:tcPr/>
          <w:p>
            <w:pPr>
              <w:pStyle w:val="Compact"/>
            </w:pPr>
            <w:r>
              <w:t xml:space="preserve">Q3 2023</w:t>
            </w:r>
          </w:p>
        </w:tc>
        <w:tc>
          <w:tcPr/>
          <w:p>
            <w:pPr>
              <w:pStyle w:val="Compact"/>
            </w:pPr>
            <w:r>
              <w:t xml:space="preserve">510</w:t>
            </w:r>
          </w:p>
        </w:tc>
      </w:tr>
      <w:tr>
        <w:tc>
          <w:tcPr/>
          <w:p>
            <w:pPr>
              <w:pStyle w:val="Compact"/>
            </w:pPr>
            <w:r>
              <w:t xml:space="preserve">Q4 2023</w:t>
            </w:r>
          </w:p>
        </w:tc>
        <w:tc>
          <w:tcPr/>
          <w:p>
            <w:pPr>
              <w:pStyle w:val="Compact"/>
            </w:pPr>
            <w:r>
              <w:t xml:space="preserve">380</w:t>
            </w:r>
          </w:p>
        </w:tc>
      </w:tr>
      <w:tr>
        <w:tc>
          <w:tcPr/>
          <w:p>
            <w:pPr>
              <w:pStyle w:val="Compact"/>
            </w:pPr>
            <w:r>
              <w:t xml:space="preserve">Q1 2024</w:t>
            </w:r>
          </w:p>
        </w:tc>
        <w:tc>
          <w:tcPr/>
          <w:p>
            <w:pPr>
              <w:pStyle w:val="Compact"/>
            </w:pPr>
            <w:r>
              <w:t xml:space="preserve">480</w:t>
            </w:r>
          </w:p>
        </w:tc>
      </w:tr>
      <w:tr>
        <w:tc>
          <w:tcPr/>
          <w:p>
            <w:pPr>
              <w:pStyle w:val="Compact"/>
            </w:pPr>
            <w:r>
              <w:t xml:space="preserve">Q2 2024</w:t>
            </w:r>
          </w:p>
        </w:tc>
        <w:tc>
          <w:tcPr/>
          <w:p>
            <w:pPr>
              <w:pStyle w:val="Compact"/>
            </w:pPr>
            <w:r>
              <w:t xml:space="preserve">900</w:t>
            </w:r>
          </w:p>
        </w:tc>
      </w:tr>
      <w:tr>
        <w:tc>
          <w:tcPr/>
          <w:p>
            <w:pPr>
              <w:pStyle w:val="Compact"/>
            </w:pPr>
            <w:r>
              <w:t xml:space="preserve">Q3 2024</w:t>
            </w:r>
          </w:p>
        </w:tc>
        <w:tc>
          <w:tcPr/>
          <w:p>
            <w:pPr>
              <w:pStyle w:val="Compact"/>
            </w:pPr>
            <w:r>
              <w:t xml:space="preserve">980</w:t>
            </w:r>
          </w:p>
        </w:tc>
      </w:tr>
      <w:tr>
        <w:tc>
          <w:tcPr/>
          <w:p>
            <w:pPr>
              <w:pStyle w:val="Compact"/>
            </w:pPr>
            <w:r>
              <w:t xml:space="preserve">Q4 2024</w:t>
            </w:r>
          </w:p>
        </w:tc>
        <w:tc>
          <w:tcPr/>
          <w:p>
            <w:pPr>
              <w:pStyle w:val="Compact"/>
            </w:pPr>
            <w:r>
              <w:t xml:space="preserve">900</w:t>
            </w:r>
          </w:p>
        </w:tc>
      </w:tr>
    </w:tbl>
    <w:p>
      <w:pPr>
        <w:pStyle w:val="BodyText"/>
      </w:pPr>
      <w:r>
        <w:t xml:space="preserve">Energy and Services and Other gross profit ($M)</w:t>
      </w:r>
    </w:p>
    <w:p>
      <w:pPr>
        <w:pStyle w:val="BodyText"/>
      </w:pPr>
    </w:p>
    <w:p>
      <w:pPr>
        <w:pStyle w:val="BodyText"/>
      </w:pPr>
      <w:r>
        <w:t xml:space="preserve">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Quarter</w:t>
            </w:r>
          </w:p>
        </w:tc>
        <w:tc>
          <w:tcPr/>
          <w:p>
            <w:pPr>
              <w:pStyle w:val="Compact"/>
            </w:pPr>
            <w:r>
              <w:t xml:space="preserve">Value</w:t>
            </w:r>
          </w:p>
        </w:tc>
      </w:tr>
      <w:tr>
        <w:tc>
          <w:tcPr/>
          <w:p>
            <w:pPr>
              <w:pStyle w:val="Compact"/>
            </w:pPr>
            <w:r>
              <w:t xml:space="preserve">Q1 2018</w:t>
            </w:r>
          </w:p>
        </w:tc>
        <w:tc>
          <w:tcPr/>
          <w:p>
            <w:pPr>
              <w:pStyle w:val="Compact"/>
            </w:pPr>
            <w:r>
              <w:t xml:space="preserve">0.3</w:t>
            </w:r>
          </w:p>
        </w:tc>
      </w:tr>
      <w:tr>
        <w:tc>
          <w:tcPr/>
          <w:p>
            <w:pPr>
              <w:pStyle w:val="Compact"/>
            </w:pPr>
            <w:r>
              <w:t xml:space="preserve">Q2 2018</w:t>
            </w:r>
          </w:p>
        </w:tc>
        <w:tc>
          <w:tcPr/>
          <w:p>
            <w:pPr>
              <w:pStyle w:val="Compact"/>
            </w:pPr>
            <w:r>
              <w:t xml:space="preserve">0.1</w:t>
            </w:r>
          </w:p>
        </w:tc>
      </w:tr>
      <w:tr>
        <w:tc>
          <w:tcPr/>
          <w:p>
            <w:pPr>
              <w:pStyle w:val="Compact"/>
            </w:pPr>
            <w:r>
              <w:t xml:space="preserve">Q3 2018</w:t>
            </w:r>
          </w:p>
        </w:tc>
        <w:tc>
          <w:tcPr/>
          <w:p>
            <w:pPr>
              <w:pStyle w:val="Compact"/>
            </w:pPr>
            <w:r>
              <w:t xml:space="preserve">0.2</w:t>
            </w:r>
          </w:p>
        </w:tc>
      </w:tr>
      <w:tr>
        <w:tc>
          <w:tcPr/>
          <w:p>
            <w:pPr>
              <w:pStyle w:val="Compact"/>
            </w:pPr>
            <w:r>
              <w:t xml:space="preserve">Q4 2018</w:t>
            </w:r>
          </w:p>
        </w:tc>
        <w:tc>
          <w:tcPr/>
          <w:p>
            <w:pPr>
              <w:pStyle w:val="Compact"/>
            </w:pPr>
            <w:r>
              <w:t xml:space="preserve">0.15</w:t>
            </w:r>
          </w:p>
        </w:tc>
      </w:tr>
      <w:tr>
        <w:tc>
          <w:tcPr/>
          <w:p>
            <w:pPr>
              <w:pStyle w:val="Compact"/>
            </w:pPr>
            <w:r>
              <w:t xml:space="preserve">Q1 2019</w:t>
            </w:r>
          </w:p>
        </w:tc>
        <w:tc>
          <w:tcPr/>
          <w:p>
            <w:pPr>
              <w:pStyle w:val="Compact"/>
            </w:pPr>
            <w:r>
              <w:t xml:space="preserve">0.15</w:t>
            </w:r>
          </w:p>
        </w:tc>
      </w:tr>
      <w:tr>
        <w:tc>
          <w:tcPr/>
          <w:p>
            <w:pPr>
              <w:pStyle w:val="Compact"/>
            </w:pPr>
            <w:r>
              <w:t xml:space="preserve">Q2 2019</w:t>
            </w:r>
          </w:p>
        </w:tc>
        <w:tc>
          <w:tcPr/>
          <w:p>
            <w:pPr>
              <w:pStyle w:val="Compact"/>
            </w:pPr>
            <w:r>
              <w:t xml:space="preserve">0.2</w:t>
            </w:r>
          </w:p>
        </w:tc>
      </w:tr>
      <w:tr>
        <w:tc>
          <w:tcPr/>
          <w:p>
            <w:pPr>
              <w:pStyle w:val="Compact"/>
            </w:pPr>
            <w:r>
              <w:t xml:space="preserve">Q3 2019</w:t>
            </w:r>
          </w:p>
        </w:tc>
        <w:tc>
          <w:tcPr/>
          <w:p>
            <w:pPr>
              <w:pStyle w:val="Compact"/>
            </w:pPr>
            <w:r>
              <w:t xml:space="preserve">0.35</w:t>
            </w:r>
          </w:p>
        </w:tc>
      </w:tr>
      <w:tr>
        <w:tc>
          <w:tcPr/>
          <w:p>
            <w:pPr>
              <w:pStyle w:val="Compact"/>
            </w:pPr>
            <w:r>
              <w:t xml:space="preserve">Q4 2019</w:t>
            </w:r>
          </w:p>
        </w:tc>
        <w:tc>
          <w:tcPr/>
          <w:p>
            <w:pPr>
              <w:pStyle w:val="Compact"/>
            </w:pPr>
            <w:r>
              <w:t xml:space="preserve">0.4</w:t>
            </w:r>
          </w:p>
        </w:tc>
      </w:tr>
      <w:tr>
        <w:tc>
          <w:tcPr/>
          <w:p>
            <w:pPr>
              <w:pStyle w:val="Compact"/>
            </w:pPr>
            <w:r>
              <w:t xml:space="preserve">Q1 2020</w:t>
            </w:r>
          </w:p>
        </w:tc>
        <w:tc>
          <w:tcPr/>
          <w:p>
            <w:pPr>
              <w:pStyle w:val="Compact"/>
            </w:pPr>
            <w:r>
              <w:t xml:space="preserve">0.5</w:t>
            </w:r>
          </w:p>
        </w:tc>
      </w:tr>
      <w:tr>
        <w:tc>
          <w:tcPr/>
          <w:p>
            <w:pPr>
              <w:pStyle w:val="Compact"/>
            </w:pPr>
            <w:r>
              <w:t xml:space="preserve">Q2 2020</w:t>
            </w:r>
          </w:p>
        </w:tc>
        <w:tc>
          <w:tcPr/>
          <w:p>
            <w:pPr>
              <w:pStyle w:val="Compact"/>
            </w:pPr>
            <w:r>
              <w:t xml:space="preserve">0.2</w:t>
            </w:r>
          </w:p>
        </w:tc>
      </w:tr>
      <w:tr>
        <w:tc>
          <w:tcPr/>
          <w:p>
            <w:pPr>
              <w:pStyle w:val="Compact"/>
            </w:pPr>
            <w:r>
              <w:t xml:space="preserve">Q3 2020</w:t>
            </w:r>
          </w:p>
        </w:tc>
        <w:tc>
          <w:tcPr/>
          <w:p>
            <w:pPr>
              <w:pStyle w:val="Compact"/>
            </w:pPr>
            <w:r>
              <w:t xml:space="preserve">0.35</w:t>
            </w:r>
          </w:p>
        </w:tc>
      </w:tr>
      <w:tr>
        <w:tc>
          <w:tcPr/>
          <w:p>
            <w:pPr>
              <w:pStyle w:val="Compact"/>
            </w:pPr>
            <w:r>
              <w:t xml:space="preserve">Q4 2020</w:t>
            </w:r>
          </w:p>
        </w:tc>
        <w:tc>
          <w:tcPr/>
          <w:p>
            <w:pPr>
              <w:pStyle w:val="Compact"/>
            </w:pPr>
            <w:r>
              <w:t xml:space="preserve">0.7</w:t>
            </w:r>
          </w:p>
        </w:tc>
      </w:tr>
      <w:tr>
        <w:tc>
          <w:tcPr/>
          <w:p>
            <w:pPr>
              <w:pStyle w:val="Compact"/>
            </w:pPr>
            <w:r>
              <w:t xml:space="preserve">Q1 2021</w:t>
            </w:r>
          </w:p>
        </w:tc>
        <w:tc>
          <w:tcPr/>
          <w:p>
            <w:pPr>
              <w:pStyle w:val="Compact"/>
            </w:pPr>
            <w:r>
              <w:t xml:space="preserve">1.6</w:t>
            </w:r>
          </w:p>
        </w:tc>
      </w:tr>
      <w:tr>
        <w:tc>
          <w:tcPr/>
          <w:p>
            <w:pPr>
              <w:pStyle w:val="Compact"/>
            </w:pPr>
            <w:r>
              <w:t xml:space="preserve">Q2 2021</w:t>
            </w:r>
          </w:p>
        </w:tc>
        <w:tc>
          <w:tcPr/>
          <w:p>
            <w:pPr>
              <w:pStyle w:val="Compact"/>
            </w:pPr>
            <w:r>
              <w:t xml:space="preserve">0.4</w:t>
            </w:r>
          </w:p>
        </w:tc>
      </w:tr>
      <w:tr>
        <w:tc>
          <w:tcPr/>
          <w:p>
            <w:pPr>
              <w:pStyle w:val="Compact"/>
            </w:pPr>
            <w:r>
              <w:t xml:space="preserve">Q3 2021</w:t>
            </w:r>
          </w:p>
        </w:tc>
        <w:tc>
          <w:tcPr/>
          <w:p>
            <w:pPr>
              <w:pStyle w:val="Compact"/>
            </w:pPr>
            <w:r>
              <w:t xml:space="preserve">1.25</w:t>
            </w:r>
          </w:p>
        </w:tc>
      </w:tr>
      <w:tr>
        <w:tc>
          <w:tcPr/>
          <w:p>
            <w:pPr>
              <w:pStyle w:val="Compact"/>
            </w:pPr>
            <w:r>
              <w:t xml:space="preserve">Q4 2021</w:t>
            </w:r>
          </w:p>
        </w:tc>
        <w:tc>
          <w:tcPr/>
          <w:p>
            <w:pPr>
              <w:pStyle w:val="Compact"/>
            </w:pPr>
            <w:r>
              <w:t xml:space="preserve">1.25</w:t>
            </w:r>
          </w:p>
        </w:tc>
      </w:tr>
      <w:tr>
        <w:tc>
          <w:tcPr/>
          <w:p>
            <w:pPr>
              <w:pStyle w:val="Compact"/>
            </w:pPr>
            <w:r>
              <w:t xml:space="preserve">Q1 2022</w:t>
            </w:r>
          </w:p>
        </w:tc>
        <w:tc>
          <w:tcPr/>
          <w:p>
            <w:pPr>
              <w:pStyle w:val="Compact"/>
            </w:pPr>
            <w:r>
              <w:t xml:space="preserve">0.95</w:t>
            </w:r>
          </w:p>
        </w:tc>
      </w:tr>
      <w:tr>
        <w:tc>
          <w:tcPr/>
          <w:p>
            <w:pPr>
              <w:pStyle w:val="Compact"/>
            </w:pPr>
            <w:r>
              <w:t xml:space="preserve">Q2 2022</w:t>
            </w:r>
          </w:p>
        </w:tc>
        <w:tc>
          <w:tcPr/>
          <w:p>
            <w:pPr>
              <w:pStyle w:val="Compact"/>
            </w:pPr>
            <w:r>
              <w:t xml:space="preserve">0.8</w:t>
            </w:r>
          </w:p>
        </w:tc>
      </w:tr>
      <w:tr>
        <w:tc>
          <w:tcPr/>
          <w:p>
            <w:pPr>
              <w:pStyle w:val="Compact"/>
            </w:pPr>
            <w:r>
              <w:t xml:space="preserve">Q3 2022</w:t>
            </w:r>
          </w:p>
        </w:tc>
        <w:tc>
          <w:tcPr/>
          <w:p>
            <w:pPr>
              <w:pStyle w:val="Compact"/>
            </w:pPr>
            <w:r>
              <w:t xml:space="preserve">1.1</w:t>
            </w:r>
          </w:p>
        </w:tc>
      </w:tr>
      <w:tr>
        <w:tc>
          <w:tcPr/>
          <w:p>
            <w:pPr>
              <w:pStyle w:val="Compact"/>
            </w:pPr>
            <w:r>
              <w:t xml:space="preserve">Q4 2022</w:t>
            </w:r>
          </w:p>
        </w:tc>
        <w:tc>
          <w:tcPr/>
          <w:p>
            <w:pPr>
              <w:pStyle w:val="Compact"/>
            </w:pPr>
            <w:r>
              <w:t xml:space="preserve">2.1</w:t>
            </w:r>
          </w:p>
        </w:tc>
      </w:tr>
      <w:tr>
        <w:tc>
          <w:tcPr/>
          <w:p>
            <w:pPr>
              <w:pStyle w:val="Compact"/>
            </w:pPr>
            <w:r>
              <w:t xml:space="preserve">Q1 2023</w:t>
            </w:r>
          </w:p>
        </w:tc>
        <w:tc>
          <w:tcPr/>
          <w:p>
            <w:pPr>
              <w:pStyle w:val="Compact"/>
            </w:pPr>
            <w:r>
              <w:t xml:space="preserve">2.45</w:t>
            </w:r>
          </w:p>
        </w:tc>
      </w:tr>
      <w:tr>
        <w:tc>
          <w:tcPr/>
          <w:p>
            <w:pPr>
              <w:pStyle w:val="Compact"/>
            </w:pPr>
            <w:r>
              <w:t xml:space="preserve">Q2 2023</w:t>
            </w:r>
          </w:p>
        </w:tc>
        <w:tc>
          <w:tcPr/>
          <w:p>
            <w:pPr>
              <w:pStyle w:val="Compact"/>
            </w:pPr>
            <w:r>
              <w:t xml:space="preserve">3.9</w:t>
            </w:r>
          </w:p>
        </w:tc>
      </w:tr>
      <w:tr>
        <w:tc>
          <w:tcPr/>
          <w:p>
            <w:pPr>
              <w:pStyle w:val="Compact"/>
            </w:pPr>
            <w:r>
              <w:t xml:space="preserve">Q3 2023</w:t>
            </w:r>
          </w:p>
        </w:tc>
        <w:tc>
          <w:tcPr/>
          <w:p>
            <w:pPr>
              <w:pStyle w:val="Compact"/>
            </w:pPr>
            <w:r>
              <w:t xml:space="preserve">3.65</w:t>
            </w:r>
          </w:p>
        </w:tc>
      </w:tr>
      <w:tr>
        <w:tc>
          <w:tcPr/>
          <w:p>
            <w:pPr>
              <w:pStyle w:val="Compact"/>
            </w:pPr>
            <w:r>
              <w:t xml:space="preserve">Q4 2023</w:t>
            </w:r>
          </w:p>
        </w:tc>
        <w:tc>
          <w:tcPr/>
          <w:p>
            <w:pPr>
              <w:pStyle w:val="Compact"/>
            </w:pPr>
            <w:r>
              <w:t xml:space="preserve">4.0</w:t>
            </w:r>
          </w:p>
        </w:tc>
      </w:tr>
      <w:tr>
        <w:tc>
          <w:tcPr/>
          <w:p>
            <w:pPr>
              <w:pStyle w:val="Compact"/>
            </w:pPr>
            <w:r>
              <w:t xml:space="preserve">Q1 2024</w:t>
            </w:r>
          </w:p>
        </w:tc>
        <w:tc>
          <w:tcPr/>
          <w:p>
            <w:pPr>
              <w:pStyle w:val="Compact"/>
            </w:pPr>
            <w:r>
              <w:t xml:space="preserve">3.2</w:t>
            </w:r>
          </w:p>
        </w:tc>
      </w:tr>
      <w:tr>
        <w:tc>
          <w:tcPr/>
          <w:p>
            <w:pPr>
              <w:pStyle w:val="Compact"/>
            </w:pPr>
            <w:r>
              <w:t xml:space="preserve">Q2 2024</w:t>
            </w:r>
          </w:p>
        </w:tc>
        <w:tc>
          <w:tcPr/>
          <w:p>
            <w:pPr>
              <w:pStyle w:val="Compact"/>
            </w:pPr>
            <w:r>
              <w:t xml:space="preserve">4.05</w:t>
            </w:r>
          </w:p>
        </w:tc>
      </w:tr>
      <w:tr>
        <w:tc>
          <w:tcPr/>
          <w:p>
            <w:pPr>
              <w:pStyle w:val="Compact"/>
            </w:pPr>
            <w:r>
              <w:t xml:space="preserve">Q3 2024</w:t>
            </w:r>
          </w:p>
        </w:tc>
        <w:tc>
          <w:tcPr/>
          <w:p>
            <w:pPr>
              <w:pStyle w:val="Compact"/>
            </w:pPr>
            <w:r>
              <w:t xml:space="preserve">9.4</w:t>
            </w:r>
          </w:p>
        </w:tc>
      </w:tr>
      <w:tr>
        <w:tc>
          <w:tcPr/>
          <w:p>
            <w:pPr>
              <w:pStyle w:val="Compact"/>
            </w:pPr>
            <w:r>
              <w:t xml:space="preserve">Q4 2024</w:t>
            </w:r>
          </w:p>
        </w:tc>
        <w:tc>
          <w:tcPr/>
          <w:p>
            <w:pPr>
              <w:pStyle w:val="Compact"/>
            </w:pPr>
            <w:r>
              <w:t xml:space="preserve">7.0</w:t>
            </w:r>
          </w:p>
        </w:tc>
      </w:tr>
      <w:tr>
        <w:tc>
          <w:tcPr/>
          <w:p>
            <w:pPr>
              <w:pStyle w:val="Compact"/>
            </w:pPr>
            <w:r>
              <w:t xml:space="preserve">Q1 2025</w:t>
            </w:r>
          </w:p>
        </w:tc>
        <w:tc>
          <w:tcPr/>
          <w:p>
            <w:pPr>
              <w:pStyle w:val="Compact"/>
            </w:pPr>
            <w:r>
              <w:t xml:space="preserve">11.0</w:t>
            </w:r>
          </w:p>
        </w:tc>
      </w:tr>
    </w:tbl>
    <w:p>
      <w:pPr>
        <w:pStyle w:val="BodyText"/>
      </w:pPr>
      <w:r>
        <w:t xml:space="preserve">Energy Storage deployments (GWh)</w:t>
      </w:r>
    </w:p>
    <w:bookmarkEnd w:id="25"/>
    <w:bookmarkStart w:id="26" w:name="o-u-t-l-o-o-k"/>
    <w:p>
      <w:pPr>
        <w:pStyle w:val="Heading1"/>
      </w:pPr>
      <w:r>
        <w:t xml:space="preserve">O U T L O O K</w:t>
      </w:r>
    </w:p>
    <w:bookmarkEnd w:id="26"/>
    <w:bookmarkStart w:id="27" w:name="volume"/>
    <w:p>
      <w:pPr>
        <w:pStyle w:val="Heading1"/>
      </w:pPr>
      <w:r>
        <w:t xml:space="preserve">Volume</w:t>
      </w:r>
    </w:p>
    <w:p>
      <w:pPr>
        <w:pStyle w:val="FirstParagraph"/>
      </w:pPr>
      <w:r>
        <w:t xml:space="preserve">With the advancements in vehicle autonomy and the introduction of new products, we expect the vehicle business to return to growth in 2025. The rate of growth will depend on a variety of factors, including the rate of acceleration of our autonomy efforts, production ramp at our factories and the broader macroeconomic environment. We expect energy storage deployments to grow at least 50% year-over-year in 2025.</w:t>
      </w:r>
    </w:p>
    <w:bookmarkEnd w:id="27"/>
    <w:bookmarkStart w:id="28" w:name="cash-2"/>
    <w:p>
      <w:pPr>
        <w:pStyle w:val="Heading1"/>
      </w:pPr>
      <w:r>
        <w:t xml:space="preserve">Cash</w:t>
      </w:r>
    </w:p>
    <w:p>
      <w:pPr>
        <w:pStyle w:val="FirstParagraph"/>
      </w:pPr>
      <w:r>
        <w:t xml:space="preserve">We have sufficient liquidity to fund our product roadmap, long-term capacity expansion plans and other expenses. Furthermore, we will manage the business such that we maintain a strong balance sheet during this uncertain period.</w:t>
      </w:r>
    </w:p>
    <w:bookmarkEnd w:id="28"/>
    <w:bookmarkStart w:id="29" w:name="profit"/>
    <w:p>
      <w:pPr>
        <w:pStyle w:val="Heading1"/>
      </w:pPr>
      <w:r>
        <w:t xml:space="preserve">Profit</w:t>
      </w:r>
    </w:p>
    <w:p>
      <w:pPr>
        <w:pStyle w:val="FirstParagraph"/>
      </w:pPr>
      <w:r>
        <w:t xml:space="preserve">While we continue to execute on innovations to reduce the cost of manufacturing and operations, over time, we expect our hardwarerelated profits to be accompanied by an acceleration of AI, software and fleet-based profits.</w:t>
      </w:r>
    </w:p>
    <w:bookmarkEnd w:id="29"/>
    <w:bookmarkStart w:id="30" w:name="product"/>
    <w:p>
      <w:pPr>
        <w:pStyle w:val="Heading1"/>
      </w:pPr>
      <w:r>
        <w:t xml:space="preserve">Product</w:t>
      </w:r>
    </w:p>
    <w:p>
      <w:pPr>
        <w:pStyle w:val="FirstParagraph"/>
      </w:pPr>
      <w:r>
        <w:t xml:space="preserve">Plans for new vehicles, including more affordable models, remain on track for start of production in the first half of 2025. These vehicles will utilize aspects of the next generation platform as well as aspects of our current platforms and will be produced on the same manufacturing lines as our current vehicle line-up.</w:t>
      </w:r>
    </w:p>
    <w:p>
      <w:pPr>
        <w:pStyle w:val="BodyText"/>
      </w:pPr>
      <w:r>
        <w:t xml:space="preserve">This approach will result in achieving less cost reduction than previously expected but enables us to prudently grow our vehicle volumes in a more capex efficient manner during uncertain times. This should help us fully utilize our current expected maximum capacity of close to three million vehicles, enabling more than 60% growth over 2024 production before investing in new manufacturing lines.</w:t>
      </w:r>
    </w:p>
    <w:p>
      <w:pPr>
        <w:pStyle w:val="BodyText"/>
      </w:pPr>
      <w:r>
        <w:t xml:space="preserve">Our purpose-built Robotaxi product – Cybercab – will continue to pursue a revolutionary “unboxed” manufacturing strategy and is scheduled for volume production starting in 2026.</w:t>
      </w:r>
    </w:p>
    <w:p>
      <w:pPr>
        <w:pStyle w:val="BodyText"/>
      </w:pPr>
      <w:r>
        <w:t xml:space="preserve">P H O T O S &amp; C H A R T S</w:t>
      </w:r>
    </w:p>
    <w:p>
      <w:pPr>
        <w:pStyle w:val="BodyText"/>
      </w:pPr>
      <w:r>
        <w:t xml:space="preserve">A V E R A G E C O G S P E R V E H I C L E * A C H I E V E D A N A L L – T I M E L O W I N Q 4 2 0 2 4</w:t>
      </w:r>
      <w:r>
        <w:br/>
      </w:r>
    </w:p>
    <w:p>
      <w:pPr>
        <w:pStyle w:val="BodyText"/>
      </w:pPr>
      <w:r>
        <w:t xml:space="preserve">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Quarter</w:t>
            </w:r>
          </w:p>
        </w:tc>
        <w:tc>
          <w:tcPr/>
          <w:p>
            <w:pPr>
              <w:pStyle w:val="Compact"/>
            </w:pPr>
            <w:r>
              <w:t xml:space="preserve">Value</w:t>
            </w:r>
          </w:p>
        </w:tc>
      </w:tr>
      <w:tr>
        <w:tc>
          <w:tcPr/>
          <w:p>
            <w:pPr>
              <w:pStyle w:val="Compact"/>
            </w:pPr>
            <w:r>
              <w:t xml:space="preserve">Q1 2023</w:t>
            </w:r>
          </w:p>
        </w:tc>
        <w:tc>
          <w:tcPr/>
          <w:p>
            <w:pPr>
              <w:pStyle w:val="Compact"/>
            </w:pPr>
            <w:r>
              <w:t xml:space="preserve">$38,500</w:t>
            </w:r>
          </w:p>
        </w:tc>
      </w:tr>
      <w:tr>
        <w:tc>
          <w:tcPr/>
          <w:p>
            <w:pPr>
              <w:pStyle w:val="Compact"/>
            </w:pPr>
            <w:r>
              <w:t xml:space="preserve">Q2 2023</w:t>
            </w:r>
          </w:p>
        </w:tc>
        <w:tc>
          <w:tcPr/>
          <w:p>
            <w:pPr>
              <w:pStyle w:val="Compact"/>
            </w:pPr>
            <w:r>
              <w:t xml:space="preserve">$37,900</w:t>
            </w:r>
          </w:p>
        </w:tc>
      </w:tr>
      <w:tr>
        <w:tc>
          <w:tcPr/>
          <w:p>
            <w:pPr>
              <w:pStyle w:val="Compact"/>
            </w:pPr>
            <w:r>
              <w:t xml:space="preserve">Q3 2023</w:t>
            </w:r>
          </w:p>
        </w:tc>
        <w:tc>
          <w:tcPr/>
          <w:p>
            <w:pPr>
              <w:pStyle w:val="Compact"/>
            </w:pPr>
            <w:r>
              <w:t xml:space="preserve">$37,500</w:t>
            </w:r>
          </w:p>
        </w:tc>
      </w:tr>
      <w:tr>
        <w:tc>
          <w:tcPr/>
          <w:p>
            <w:pPr>
              <w:pStyle w:val="Compact"/>
            </w:pPr>
            <w:r>
              <w:t xml:space="preserve">Q4 2023</w:t>
            </w:r>
          </w:p>
        </w:tc>
        <w:tc>
          <w:tcPr/>
          <w:p>
            <w:pPr>
              <w:pStyle w:val="Compact"/>
            </w:pPr>
            <w:r>
              <w:t xml:space="preserve">$36,300</w:t>
            </w:r>
          </w:p>
        </w:tc>
      </w:tr>
      <w:tr>
        <w:tc>
          <w:tcPr/>
          <w:p>
            <w:pPr>
              <w:pStyle w:val="Compact"/>
            </w:pPr>
            <w:r>
              <w:t xml:space="preserve">Q1 2024</w:t>
            </w:r>
          </w:p>
        </w:tc>
        <w:tc>
          <w:tcPr/>
          <w:p>
            <w:pPr>
              <w:pStyle w:val="Compact"/>
            </w:pPr>
            <w:r>
              <w:t xml:space="preserve">$36,700</w:t>
            </w:r>
          </w:p>
        </w:tc>
      </w:tr>
      <w:tr>
        <w:tc>
          <w:tcPr/>
          <w:p>
            <w:pPr>
              <w:pStyle w:val="Compact"/>
            </w:pPr>
            <w:r>
              <w:t xml:space="preserve">Q2 2024</w:t>
            </w:r>
          </w:p>
        </w:tc>
        <w:tc>
          <w:tcPr/>
          <w:p>
            <w:pPr>
              <w:pStyle w:val="Compact"/>
            </w:pPr>
            <w:r>
              <w:t xml:space="preserve">$36,800</w:t>
            </w:r>
          </w:p>
        </w:tc>
      </w:tr>
      <w:tr>
        <w:tc>
          <w:tcPr/>
          <w:p>
            <w:pPr>
              <w:pStyle w:val="Compact"/>
            </w:pPr>
            <w:r>
              <w:t xml:space="preserve">Q3 2024</w:t>
            </w:r>
          </w:p>
        </w:tc>
        <w:tc>
          <w:tcPr/>
          <w:p>
            <w:pPr>
              <w:pStyle w:val="Compact"/>
            </w:pPr>
            <w:r>
              <w:t xml:space="preserve">$35,100</w:t>
            </w:r>
          </w:p>
        </w:tc>
      </w:tr>
      <w:tr>
        <w:tc>
          <w:tcPr/>
          <w:p>
            <w:pPr>
              <w:pStyle w:val="Compact"/>
            </w:pPr>
            <w:r>
              <w:t xml:space="preserve">Q4 2024</w:t>
            </w:r>
          </w:p>
        </w:tc>
        <w:tc>
          <w:tcPr/>
          <w:p>
            <w:pPr>
              <w:pStyle w:val="Compact"/>
            </w:pPr>
            <w:r>
              <w:t xml:space="preserve">$34,600</w:t>
            </w:r>
          </w:p>
        </w:tc>
      </w:tr>
    </w:tbl>
    <w:p>
      <w:pPr>
        <w:pStyle w:val="BodyText"/>
      </w:pPr>
      <w:r>
        <w:t xml:space="preserve">C Y B E R T R U C K - A D V A N C E M E N T S I N V E H I C L E T E C H N O L O G Y A N D A R C H I T E C T U R E</w:t>
      </w:r>
    </w:p>
    <w:p>
      <w:pPr>
        <w:pStyle w:val="BodyText"/>
      </w:pPr>
      <w:r>
        <w:t xml:space="preserve">Technology</w:t>
      </w:r>
    </w:p>
    <w:p>
      <w:pPr>
        <w:pStyle w:val="BodyText"/>
      </w:pPr>
      <w:r>
        <w:t xml:space="preserve">Description</w:t>
      </w:r>
    </w:p>
    <w:p>
      <w:pPr>
        <w:pStyle w:val="BodyText"/>
      </w:pPr>
      <w:r>
        <w:t xml:space="preserve">Use in Future Vehicles</w:t>
      </w:r>
    </w:p>
    <w:p>
      <w:pPr>
        <w:pStyle w:val="BodyText"/>
      </w:pPr>
      <w:r>
        <w:t xml:space="preserve">Manufacturing and Design</w:t>
      </w:r>
    </w:p>
    <w:p>
      <w:pPr>
        <w:pStyle w:val="BodyText"/>
      </w:pPr>
      <w:r>
        <w:t xml:space="preserve">Stainless Steel Exoskeleton</w:t>
      </w:r>
    </w:p>
    <w:p>
      <w:pPr>
        <w:pStyle w:val="BodyText"/>
      </w:pPr>
      <w:r>
        <w:t xml:space="preserve">Cold-rolled full hard stainless steel exoskeleton carries crash loads and increases torsional stiffness of the bodyIconic visual design; high dent- and corrosion- resistance reduce concerns over daily wear and tear</w:t>
      </w:r>
    </w:p>
    <w:p>
      <w:pPr>
        <w:pStyle w:val="BodyText"/>
      </w:pPr>
      <w:r>
        <w:t xml:space="preserve">Air Bending Manufacturing Process</w:t>
      </w:r>
    </w:p>
    <w:p>
      <w:pPr>
        <w:pStyle w:val="BodyText"/>
      </w:pPr>
      <w:r>
        <w:t xml:space="preserve">First-of-its-kind automated tooling developed by Tesla that can bend full hard stainless steel without touching itEnables the use of full hard stainless steel as an A-surface without getting scratched by tooling</w:t>
      </w:r>
    </w:p>
    <w:p>
      <w:pPr>
        <w:pStyle w:val="BodyText"/>
      </w:pPr>
      <w:r>
        <w:t xml:space="preserve">Giga-castings</w:t>
      </w:r>
    </w:p>
    <w:p>
      <w:pPr>
        <w:pStyle w:val="BodyText"/>
      </w:pPr>
      <w:r>
        <w:t xml:space="preserve">Our largest castings ever - custom alloy and a 9,000-ton press combine to make front and rear vehicle structuresReduces number of parts and manufacturing complexity, and, as a bonus, scrap is fully recyclable</w:t>
      </w:r>
    </w:p>
    <w:p>
      <w:pPr>
        <w:pStyle w:val="BodyText"/>
      </w:pPr>
      <w:r>
        <w:t xml:space="preserve">√</w:t>
      </w:r>
    </w:p>
    <w:p>
      <w:pPr>
        <w:pStyle w:val="BodyText"/>
      </w:pPr>
      <w:r>
        <w:t xml:space="preserve">Integrated Audio with Body Structure</w:t>
      </w:r>
    </w:p>
    <w:p>
      <w:pPr>
        <w:pStyle w:val="BodyText"/>
      </w:pPr>
      <w:r>
        <w:t xml:space="preserve">Utilizes the body structure as the reactive volume for dual subwoofersGiant sound in extremely dense packaging</w:t>
      </w:r>
    </w:p>
    <w:p>
      <w:pPr>
        <w:pStyle w:val="BodyText"/>
      </w:pPr>
      <w:r>
        <w:t xml:space="preserve">√</w:t>
      </w:r>
    </w:p>
    <w:p>
      <w:pPr>
        <w:pStyle w:val="BodyText"/>
      </w:pPr>
      <w:r>
        <w:t xml:space="preserve">Powertrain and Electrical Architecture</w:t>
      </w:r>
    </w:p>
    <w:p>
      <w:pPr>
        <w:pStyle w:val="BodyText"/>
      </w:pPr>
      <w:r>
        <w:t xml:space="preserve">48-Volt Electrical Architecture</w:t>
      </w:r>
    </w:p>
    <w:p>
      <w:pPr>
        <w:pStyle w:val="BodyText"/>
      </w:pPr>
      <w:r>
        <w:t xml:space="preserve">48-volt electrical system reduces current by 4x and heat generated by 16x compared to typical automotive voltageReduction in vehicle harness reduces vehicle weight, increases energy efficiency and simplifies electrical systems</w:t>
      </w:r>
    </w:p>
    <w:p>
      <w:pPr>
        <w:pStyle w:val="BodyText"/>
      </w:pPr>
      <w:r>
        <w:t xml:space="preserve">√</w:t>
      </w:r>
    </w:p>
    <w:p>
      <w:pPr>
        <w:pStyle w:val="BodyText"/>
      </w:pPr>
      <w:r>
        <w:t xml:space="preserve">800-Volt Battery System</w:t>
      </w:r>
    </w:p>
    <w:p>
      <w:pPr>
        <w:pStyle w:val="BodyText"/>
      </w:pPr>
      <w:r>
        <w:t xml:space="preserve">Higher voltage powertrain is more energy efficient for high power vehicles such as Cybertruck and Tesla SemiEnables smaller cables which reduces cost and mass while also enabling higher power (500kW) charging</w:t>
      </w:r>
    </w:p>
    <w:p>
      <w:pPr>
        <w:pStyle w:val="BodyText"/>
      </w:pPr>
      <w:r>
        <w:t xml:space="preserve">√</w:t>
      </w:r>
    </w:p>
    <w:p>
      <w:pPr>
        <w:pStyle w:val="BodyText"/>
      </w:pPr>
      <w:r>
        <w:t xml:space="preserve">Etherloop Communication Architecture</w:t>
      </w:r>
    </w:p>
    <w:p>
      <w:pPr>
        <w:pStyle w:val="BodyText"/>
      </w:pPr>
      <w:r>
        <w:t xml:space="preserve">Gigabit ethernet communication is 1,000x faster than traditional automotive communication standardsEnables distributed controller architecture which improves redundancy and eliminates 70% of cross-vehicle wires</w:t>
      </w:r>
    </w:p>
    <w:p>
      <w:pPr>
        <w:pStyle w:val="BodyText"/>
      </w:pPr>
      <w:r>
        <w:t xml:space="preserve">√</w:t>
      </w:r>
    </w:p>
    <w:p>
      <w:pPr>
        <w:pStyle w:val="BodyText"/>
      </w:pPr>
      <w:r>
        <w:t xml:space="preserve">Bidirectional Charging (Powershare)</w:t>
      </w:r>
    </w:p>
    <w:p>
      <w:pPr>
        <w:pStyle w:val="BodyText"/>
      </w:pPr>
      <w:r>
        <w:t xml:space="preserve">The Cybertruck can provide power to your jobsite, home or other devices (Vehicle-to-Grid or Vehicle-to-Home)Turns vehicles into mobile energy storage units with up to 11.5kW of onboard power, enabling hours of work</w:t>
      </w:r>
    </w:p>
    <w:p>
      <w:pPr>
        <w:pStyle w:val="BodyText"/>
      </w:pPr>
      <w:r>
        <w:t xml:space="preserve">√</w:t>
      </w:r>
    </w:p>
    <w:p>
      <w:pPr>
        <w:pStyle w:val="BodyText"/>
      </w:pPr>
      <w:r>
        <w:t xml:space="preserve">Ride and Comfort</w:t>
      </w:r>
    </w:p>
    <w:p>
      <w:pPr>
        <w:pStyle w:val="BodyText"/>
      </w:pPr>
      <w:r>
        <w:t xml:space="preserve">Custom Laminated Glass</w:t>
      </w:r>
    </w:p>
    <w:p>
      <w:pPr>
        <w:pStyle w:val="BodyText"/>
      </w:pPr>
      <w:r>
        <w:t xml:space="preserve">Novel glass and laminate developed by Tesla for increased comfort and strengthImproves sound isolation and blocks harmful UV, keeping the cabin cool while maintaining a panoramic view</w:t>
      </w:r>
    </w:p>
    <w:p>
      <w:pPr>
        <w:pStyle w:val="BodyText"/>
      </w:pPr>
      <w:r>
        <w:t xml:space="preserve">√</w:t>
      </w:r>
    </w:p>
    <w:p>
      <w:pPr>
        <w:pStyle w:val="BodyText"/>
      </w:pPr>
      <w:r>
        <w:t xml:space="preserve">Adaptive Air Suspension</w:t>
      </w:r>
    </w:p>
    <w:p>
      <w:pPr>
        <w:pStyle w:val="BodyText"/>
      </w:pPr>
      <w:r>
        <w:t xml:space="preserve">Adjusts ride height and damping for different terrains with 12" of adjustment getting up to 16" of ground clearanceImproves on-road comfort and stability without sacrificing off-road capability</w:t>
      </w:r>
    </w:p>
    <w:p>
      <w:pPr>
        <w:pStyle w:val="BodyText"/>
      </w:pPr>
      <w:r>
        <w:t xml:space="preserve">√</w:t>
      </w:r>
    </w:p>
    <w:p>
      <w:pPr>
        <w:pStyle w:val="BodyText"/>
      </w:pPr>
      <w:r>
        <w:t xml:space="preserve">Steer-by-Wire</w:t>
      </w:r>
    </w:p>
    <w:p>
      <w:pPr>
        <w:pStyle w:val="BodyText"/>
      </w:pPr>
      <w:r>
        <w:t xml:space="preserve">Replaces traditional steer shaft with redundant controllers and motors, enabling an adjustable steering ratio for different speeds and driving stylesReduces the amount you need to turn the wheel, enabling more agility at low speeds and more stability at high speeds</w:t>
      </w:r>
    </w:p>
    <w:p>
      <w:pPr>
        <w:pStyle w:val="BodyText"/>
      </w:pPr>
      <w:r>
        <w:t xml:space="preserve">√</w:t>
      </w:r>
    </w:p>
    <w:p>
      <w:pPr>
        <w:pStyle w:val="BodyText"/>
      </w:pPr>
      <w:r>
        <w:t xml:space="preserve">Rear Wheel Steering</w:t>
      </w:r>
    </w:p>
    <w:p>
      <w:pPr>
        <w:pStyle w:val="BodyText"/>
      </w:pPr>
      <w:r>
        <w:t xml:space="preserve">Leveraging steer-by-wire, enables approximately ten degrees of steering on the rear wheelsImproves turning radius at low speeds and increases stability at high speeds</w:t>
      </w:r>
    </w:p>
    <w:p>
      <w:pPr>
        <w:pStyle w:val="BodyText"/>
      </w:pPr>
      <w:r>
        <w:t xml:space="preserve">√</w:t>
      </w:r>
    </w:p>
    <w:bookmarkEnd w:id="30"/>
    <w:bookmarkStart w:id="31" w:name="X537212c59180711c179aab52ebdeeb526a923b6"/>
    <w:p>
      <w:pPr>
        <w:pStyle w:val="Heading1"/>
      </w:pPr>
      <w:r>
        <w:t xml:space="preserve">N E W M O D E L Y - T H E W O R L D ’ S B E S T S E L L I N G V E H I C L E I S N O W E V E N B E T T E R</w:t>
      </w:r>
    </w:p>
    <w:p>
      <w:pPr>
        <w:pStyle w:val="FirstParagraph"/>
      </w:pPr>
    </w:p>
    <w:p>
      <w:pPr>
        <w:pStyle w:val="BodyText"/>
      </w:pPr>
      <w:r>
        <w:t xml:space="preserve">natural_image</w:t>
      </w:r>
    </w:p>
    <w:p>
      <w:pPr>
        <w:pStyle w:val="BodyText"/>
      </w:pPr>
      <w:r>
        <w:t xml:space="preserve">Side profile of a modern silver sedan against a dark blue studio background (no visible text or symbols)</w:t>
      </w:r>
    </w:p>
    <w:p>
      <w:pPr>
        <w:pStyle w:val="BodyText"/>
      </w:pPr>
    </w:p>
    <w:p>
      <w:pPr>
        <w:pStyle w:val="BodyText"/>
      </w:pPr>
      <w:r>
        <w:t xml:space="preserve">natural_image</w:t>
      </w:r>
    </w:p>
    <w:p>
      <w:pPr>
        <w:pStyle w:val="BodyText"/>
      </w:pPr>
      <w:r>
        <w:t xml:space="preserve">Exterior view of a modern electric sedan against a dark background (no visible text or symbols)</w:t>
      </w:r>
    </w:p>
    <w:bookmarkEnd w:id="31"/>
    <w:bookmarkStart w:id="32" w:name="Xa742707eb44d8f1445fe14adee4722628e86e00"/>
    <w:p>
      <w:pPr>
        <w:pStyle w:val="Heading1"/>
      </w:pPr>
      <w:r>
        <w:t xml:space="preserve">N E W M O D E L Y - T H E W O R L D ’ S B E S T S E L L I N G V E H I C L E I S N O W E V E N B E T T E R</w:t>
      </w:r>
    </w:p>
    <w:p>
      <w:pPr>
        <w:pStyle w:val="FirstParagraph"/>
      </w:pPr>
    </w:p>
    <w:p>
      <w:pPr>
        <w:pStyle w:val="BodyText"/>
      </w:pPr>
      <w:r>
        <w:t xml:space="preserve">natural_image</w:t>
      </w:r>
    </w:p>
    <w:p>
      <w:pPr>
        <w:pStyle w:val="BodyText"/>
      </w:pPr>
      <w:r>
        <w:t xml:space="preserve">Interior view of a Tesla car cockpit with digital dashboard and steering wheel (no visible text or symbols)</w:t>
      </w:r>
    </w:p>
    <w:p>
      <w:pPr>
        <w:pStyle w:val="BodyText"/>
      </w:pPr>
    </w:p>
    <w:p>
      <w:pPr>
        <w:pStyle w:val="BodyText"/>
      </w:pPr>
      <w:r>
        <w:t xml:space="preserve">natural_image</w:t>
      </w:r>
    </w:p>
    <w:p>
      <w:pPr>
        <w:pStyle w:val="BodyText"/>
      </w:pPr>
      <w:r>
        <w:t xml:space="preserve">Interior view of a modern electric vehicle with white leather seats, dashboard, and digital display (no visible text or symbols)</w:t>
      </w:r>
    </w:p>
    <w:p>
      <w:pPr>
        <w:pStyle w:val="BodyText"/>
      </w:pPr>
    </w:p>
    <w:p>
      <w:pPr>
        <w:pStyle w:val="BodyText"/>
      </w:pPr>
      <w:r>
        <w:t xml:space="preserve">natural_image</w:t>
      </w:r>
    </w:p>
    <w:p>
      <w:pPr>
        <w:pStyle w:val="BodyText"/>
      </w:pPr>
      <w:r>
        <w:t xml:space="preserve">Exterior view of a modern silver electric SUV (no visible text or symbols)</w:t>
      </w:r>
    </w:p>
    <w:p>
      <w:pPr>
        <w:pStyle w:val="BodyText"/>
      </w:pPr>
      <w:r>
        <w:t xml:space="preserve">NewModel Y</w:t>
      </w:r>
    </w:p>
    <w:p>
      <w:pPr>
        <w:pStyle w:val="BodyText"/>
      </w:pPr>
    </w:p>
    <w:p>
      <w:pPr>
        <w:pStyle w:val="BodyText"/>
      </w:pPr>
      <w:r>
        <w:t xml:space="preserve">natural_image</w:t>
      </w:r>
    </w:p>
    <w:p>
      <w:pPr>
        <w:pStyle w:val="BodyText"/>
      </w:pPr>
      <w:r>
        <w:t xml:space="preserve">Exterior view of a modern white Tesla Model 3 SUV (no visible text or symbols)</w:t>
      </w:r>
    </w:p>
    <w:p>
      <w:pPr>
        <w:pStyle w:val="BodyText"/>
      </w:pPr>
      <w:r>
        <w:t xml:space="preserve">modely</w:t>
      </w:r>
    </w:p>
    <w:p>
      <w:pPr>
        <w:pStyle w:val="BodyText"/>
      </w:pPr>
      <w:r>
        <w:t xml:space="preserve">Model Y</w:t>
      </w:r>
    </w:p>
    <w:p>
      <w:pPr>
        <w:pStyle w:val="BodyText"/>
      </w:pPr>
      <w:r>
        <w:t xml:space="preserve">New Model Y</w:t>
      </w:r>
    </w:p>
    <w:p>
      <w:pPr>
        <w:pStyle w:val="BodyText"/>
      </w:pPr>
      <w:r>
        <w:t xml:space="preserve">Trim</w:t>
      </w:r>
    </w:p>
    <w:p>
      <w:pPr>
        <w:pStyle w:val="BodyText"/>
      </w:pPr>
      <w:r>
        <w:t xml:space="preserve">Long Range All-Wheel Drive</w:t>
      </w:r>
    </w:p>
    <w:p>
      <w:pPr>
        <w:pStyle w:val="BodyText"/>
      </w:pPr>
      <w:r>
        <w:t xml:space="preserve">Long Range All-Wheel Drive</w:t>
      </w:r>
    </w:p>
    <w:p>
      <w:pPr>
        <w:pStyle w:val="BodyText"/>
      </w:pPr>
      <w:r>
        <w:t xml:space="preserve">Delivery Timing</w:t>
      </w:r>
    </w:p>
    <w:p>
      <w:pPr>
        <w:pStyle w:val="BodyText"/>
      </w:pPr>
      <w:r>
        <w:t xml:space="preserve">Available Now</w:t>
      </w:r>
    </w:p>
    <w:p>
      <w:pPr>
        <w:pStyle w:val="BodyText"/>
      </w:pPr>
      <w:r>
        <w:t xml:space="preserve">Available starting March</w:t>
      </w:r>
    </w:p>
    <w:p>
      <w:pPr>
        <w:pStyle w:val="BodyText"/>
      </w:pPr>
      <w:r>
        <w:t xml:space="preserve">Starting Price After Est. Savings</w:t>
      </w:r>
    </w:p>
    <w:p>
      <w:pPr>
        <w:pStyle w:val="BodyText"/>
      </w:pPr>
      <w:r>
        <w:t xml:space="preserve">$34,490*</w:t>
      </w:r>
    </w:p>
    <w:p>
      <w:pPr>
        <w:pStyle w:val="BodyText"/>
      </w:pPr>
      <w:r>
        <w:t xml:space="preserve">$46,490*</w:t>
      </w:r>
    </w:p>
    <w:p>
      <w:pPr>
        <w:pStyle w:val="BodyText"/>
      </w:pPr>
      <w:r>
        <w:t xml:space="preserve">Range**</w:t>
      </w:r>
    </w:p>
    <w:p>
      <w:pPr>
        <w:pStyle w:val="BodyText"/>
      </w:pPr>
      <w:r>
        <w:t xml:space="preserve">311 miles (EPA est.)</w:t>
      </w:r>
    </w:p>
    <w:p>
      <w:pPr>
        <w:pStyle w:val="BodyText"/>
      </w:pPr>
      <w:r>
        <w:t xml:space="preserve">320 miles (est.)</w:t>
      </w:r>
    </w:p>
    <w:p>
      <w:pPr>
        <w:pStyle w:val="BodyText"/>
      </w:pPr>
      <w:r>
        <w:t xml:space="preserve">Seating</w:t>
      </w:r>
    </w:p>
    <w:p>
      <w:pPr>
        <w:pStyle w:val="BodyText"/>
      </w:pPr>
      <w:r>
        <w:t xml:space="preserve">First row: power recline and heatedSecond row: manual fold and heated</w:t>
      </w:r>
    </w:p>
    <w:p>
      <w:pPr>
        <w:pStyle w:val="BodyText"/>
      </w:pPr>
      <w:r>
        <w:t xml:space="preserve">First row: power recline, heated and ventilatedSecond row: power two-way folding and heated</w:t>
      </w:r>
    </w:p>
    <w:p>
      <w:pPr>
        <w:pStyle w:val="BodyText"/>
      </w:pPr>
      <w:r>
        <w:t xml:space="preserve">Displays</w:t>
      </w:r>
    </w:p>
    <w:p>
      <w:pPr>
        <w:pStyle w:val="BodyText"/>
      </w:pPr>
      <w:r>
        <w:t xml:space="preserve">15.4" front-row touchscreen</w:t>
      </w:r>
    </w:p>
    <w:p>
      <w:pPr>
        <w:pStyle w:val="BodyText"/>
      </w:pPr>
      <w:r>
        <w:t xml:space="preserve">15.4" front-row touchscreen8" second-row touchscreen</w:t>
      </w:r>
    </w:p>
    <w:p>
      <w:pPr>
        <w:pStyle w:val="BodyText"/>
      </w:pPr>
      <w:r>
        <w:t xml:space="preserve">Ride Comfort</w:t>
      </w:r>
    </w:p>
    <w:p>
      <w:pPr>
        <w:pStyle w:val="BodyText"/>
      </w:pPr>
      <w:r>
        <w:t xml:space="preserve">First-generation suspensionFirst-generation noise reduction hardware</w:t>
      </w:r>
    </w:p>
    <w:p>
      <w:pPr>
        <w:pStyle w:val="BodyText"/>
      </w:pPr>
      <w:r>
        <w:t xml:space="preserve">Second-generation suspensionSecond-generation noise reduction hardware</w:t>
      </w:r>
    </w:p>
    <w:p>
      <w:pPr>
        <w:pStyle w:val="BodyText"/>
      </w:pPr>
      <w:r>
        <w:t xml:space="preserve">Cameras</w:t>
      </w:r>
    </w:p>
    <w:p>
      <w:pPr>
        <w:pStyle w:val="BodyText"/>
      </w:pPr>
      <w:r>
        <w:t xml:space="preserve">7 exterior cameras</w:t>
      </w:r>
    </w:p>
    <w:p>
      <w:pPr>
        <w:pStyle w:val="BodyText"/>
      </w:pPr>
      <w:r>
        <w:t xml:space="preserve">8 exterior cameras (includes new front-facing camera)</w:t>
      </w:r>
    </w:p>
    <w:p>
      <w:pPr>
        <w:pStyle w:val="BodyText"/>
      </w:pPr>
      <w:r>
        <w:t xml:space="preserve">Audio</w:t>
      </w:r>
    </w:p>
    <w:p>
      <w:pPr>
        <w:pStyle w:val="BodyText"/>
      </w:pPr>
      <w:r>
        <w:t xml:space="preserve">13 speakers, 1 subwoofer</w:t>
      </w:r>
    </w:p>
    <w:p>
      <w:pPr>
        <w:pStyle w:val="BodyText"/>
      </w:pPr>
      <w:r>
        <w:t xml:space="preserve">15 speakers, 1 subwoofer</w:t>
      </w:r>
    </w:p>
    <w:p>
      <w:pPr>
        <w:pStyle w:val="BodyText"/>
      </w:pPr>
      <w:r>
        <w:t xml:space="preserve">Connectivity</w:t>
      </w:r>
    </w:p>
    <w:p>
      <w:pPr>
        <w:pStyle w:val="BodyText"/>
      </w:pPr>
      <w:r>
        <w:t xml:space="preserve">First-generation hardware</w:t>
      </w:r>
    </w:p>
    <w:p>
      <w:pPr>
        <w:pStyle w:val="BodyText"/>
      </w:pPr>
      <w:r>
        <w:t xml:space="preserve">Second-generation hardware</w:t>
      </w:r>
    </w:p>
    <w:p>
      <w:pPr>
        <w:pStyle w:val="BodyText"/>
      </w:pPr>
      <w:r>
        <w:t xml:space="preserve">Trunk</w:t>
      </w:r>
    </w:p>
    <w:p>
      <w:pPr>
        <w:pStyle w:val="BodyText"/>
      </w:pPr>
      <w:r>
        <w:t xml:space="preserve">Power open</w:t>
      </w:r>
    </w:p>
    <w:p>
      <w:pPr>
        <w:pStyle w:val="BodyText"/>
      </w:pPr>
      <w:r>
        <w:t xml:space="preserve">Hands-free power open on approach</w:t>
      </w:r>
    </w:p>
    <w:p>
      <w:pPr>
        <w:pStyle w:val="BodyText"/>
      </w:pPr>
      <w:r>
        <w:t xml:space="preserve">Interior</w:t>
      </w:r>
    </w:p>
    <w:p>
      <w:pPr>
        <w:pStyle w:val="BodyText"/>
      </w:pPr>
      <w:r>
        <w:t xml:space="preserve">Footwell and door pocket ambient lightingWooden detailing with black interior</w:t>
      </w:r>
    </w:p>
    <w:p>
      <w:pPr>
        <w:pStyle w:val="BodyText"/>
      </w:pPr>
      <w:r>
        <w:t xml:space="preserve">Footwell and door pocket ambient lightingWrap-around ambient lightingAluminum detailing and premium textiles</w:t>
      </w:r>
    </w:p>
    <w:p>
      <w:pPr>
        <w:pStyle w:val="BodyText"/>
      </w:pPr>
      <w:r>
        <w:t xml:space="preserve">Climate</w:t>
      </w:r>
    </w:p>
    <w:p>
      <w:pPr>
        <w:pStyle w:val="BodyText"/>
      </w:pPr>
      <w:r>
        <w:t xml:space="preserve">Tinted and laminated safety glassPower-actuated first-row air ventsManual second-row air vents</w:t>
      </w:r>
    </w:p>
    <w:p>
      <w:pPr>
        <w:pStyle w:val="BodyText"/>
      </w:pPr>
      <w:r>
        <w:t xml:space="preserve">Laminated safety glass on cabin windows and roofTinted safety glass with metallic infrared reflective coating across the roofPower-actuated first- and second-row air vents</w:t>
      </w:r>
    </w:p>
    <w:bookmarkEnd w:id="32"/>
    <w:bookmarkStart w:id="33" w:name="Xdd93cb0faa63a40000df35a43f60b08eb3b9f05"/>
    <w:p>
      <w:pPr>
        <w:pStyle w:val="Heading1"/>
      </w:pPr>
      <w:r>
        <w:t xml:space="preserve">S E M I F A C T O R Y - F I R S T T R U C K B U I L D S S C H E D U L E D L A T E R T H I S Y E A R</w:t>
      </w:r>
    </w:p>
    <w:p>
      <w:pPr>
        <w:pStyle w:val="FirstParagraph"/>
      </w:pPr>
    </w:p>
    <w:p>
      <w:pPr>
        <w:pStyle w:val="BodyText"/>
      </w:pPr>
      <w:r>
        <w:t xml:space="preserve">natural_image</w:t>
      </w:r>
    </w:p>
    <w:p>
      <w:pPr>
        <w:pStyle w:val="BodyText"/>
      </w:pPr>
      <w:r>
        <w:t xml:space="preserve">Aerial view of a large industrial complex surrounded by arid hills, with no visible text or signage.</w:t>
      </w:r>
    </w:p>
    <w:bookmarkEnd w:id="33"/>
    <w:bookmarkStart w:id="34" w:name="X55a3ec9869b237c78efcc2899cf1fcebf402bab"/>
    <w:p>
      <w:pPr>
        <w:pStyle w:val="Heading1"/>
      </w:pPr>
      <w:r>
        <w:t xml:space="preserve">M E G A F A C T O R Y S H A N G H A I - W I T H G I G A F A C T O R Y S H A N G H A I I N T H E B A C K G R O U N D</w:t>
      </w:r>
    </w:p>
    <w:p>
      <w:pPr>
        <w:pStyle w:val="FirstParagraph"/>
      </w:pPr>
    </w:p>
    <w:p>
      <w:pPr>
        <w:pStyle w:val="BodyText"/>
      </w:pPr>
      <w:r>
        <w:t xml:space="preserve">natural_image</w:t>
      </w:r>
    </w:p>
    <w:p>
      <w:pPr>
        <w:pStyle w:val="BodyText"/>
      </w:pPr>
      <w:r>
        <w:t xml:space="preserve">Aerial view of a large industrial park with Tesla-branded buildings, parking lots, and a river running through the area (no visible signage or text)</w:t>
      </w:r>
    </w:p>
    <w:bookmarkEnd w:id="34"/>
    <w:bookmarkStart w:id="35" w:name="X5c8b59368c4ca37b26e2a1545196ac0582666f7"/>
    <w:p>
      <w:pPr>
        <w:pStyle w:val="Heading1"/>
      </w:pPr>
      <w:r>
        <w:t xml:space="preserve">M E G A F A C T O R Y S H A N G H A I - G E N E R A L A S S E M B L Y</w:t>
      </w:r>
    </w:p>
    <w:p>
      <w:pPr>
        <w:pStyle w:val="FirstParagraph"/>
      </w:pPr>
    </w:p>
    <w:p>
      <w:pPr>
        <w:pStyle w:val="BodyText"/>
      </w:pPr>
      <w:r>
        <w:t xml:space="preserve">natural_image</w:t>
      </w:r>
    </w:p>
    <w:p>
      <w:pPr>
        <w:pStyle w:val="BodyText"/>
      </w:pPr>
      <w:r>
        <w:t xml:space="preserve">Interior view of a Tesla power plant assembly line with workers installing equipment, no visible text or symbols on the equipment itself.</w:t>
      </w:r>
    </w:p>
    <w:bookmarkEnd w:id="35"/>
    <w:bookmarkStart w:id="36" w:name="X888c813d498014b33bd9e1f22eaf5885c2a470e"/>
    <w:p>
      <w:pPr>
        <w:pStyle w:val="Heading1"/>
      </w:pPr>
      <w:r>
        <w:t xml:space="preserve">T E S L A L I T H I U M R E F I N E R Y - S T A R T O F P R O D U C T I O N I N 2 0 2 5</w:t>
      </w:r>
    </w:p>
    <w:p>
      <w:pPr>
        <w:pStyle w:val="FirstParagraph"/>
      </w:pPr>
    </w:p>
    <w:p>
      <w:pPr>
        <w:pStyle w:val="BodyText"/>
      </w:pPr>
      <w:r>
        <w:t xml:space="preserve">natural_image</w:t>
      </w:r>
    </w:p>
    <w:p>
      <w:pPr>
        <w:pStyle w:val="BodyText"/>
      </w:pPr>
      <w:r>
        <w:t xml:space="preserve">Aerial view of a large industrial facility under construction at sunset, surrounded by open fields and parking lots (no visible text or signage)</w:t>
      </w:r>
    </w:p>
    <w:bookmarkEnd w:id="36"/>
    <w:bookmarkStart w:id="37" w:name="Xfaa37cb6782cc9db24d3d0a6caeabc95ad8fbd7"/>
    <w:p>
      <w:pPr>
        <w:pStyle w:val="Heading1"/>
      </w:pPr>
      <w:r>
        <w:t xml:space="preserve">T E S L A L I T H I U M T E A M O N S P O D U M E N E D A Y</w:t>
      </w:r>
    </w:p>
    <w:p>
      <w:pPr>
        <w:pStyle w:val="FirstParagraph"/>
      </w:pPr>
    </w:p>
    <w:p>
      <w:pPr>
        <w:pStyle w:val="BodyText"/>
      </w:pPr>
      <w:r>
        <w:t xml:space="preserve">text_image</w:t>
      </w:r>
    </w:p>
    <w:p>
      <w:pPr>
        <w:pStyle w:val="BodyText"/>
      </w:pPr>
      <w:r>
        <w:t xml:space="preserve">TESLA | LITHIUM</w:t>
      </w:r>
    </w:p>
    <w:bookmarkEnd w:id="37"/>
    <w:bookmarkStart w:id="38" w:name="Xde175efbd48474e083e7b1a34b1d3bc05cd72db"/>
    <w:p>
      <w:pPr>
        <w:pStyle w:val="Heading1"/>
      </w:pPr>
      <w:r>
        <w:t xml:space="preserve">C O R T E X ~ 5 0 K G P U T R A I N I N G C L U S T E R</w:t>
      </w:r>
    </w:p>
    <w:p>
      <w:pPr>
        <w:pStyle w:val="FirstParagraph"/>
      </w:pPr>
    </w:p>
    <w:p>
      <w:pPr>
        <w:pStyle w:val="BodyText"/>
      </w:pPr>
      <w:r>
        <w:t xml:space="preserve">natural_image</w:t>
      </w:r>
    </w:p>
    <w:p>
      <w:pPr>
        <w:pStyle w:val="BodyText"/>
      </w:pPr>
      <w:r>
        <w:t xml:space="preserve">Interior view of a data center with rows of server racks and a central aisle (no visible text or labels)</w:t>
      </w:r>
    </w:p>
    <w:bookmarkEnd w:id="38"/>
    <w:bookmarkStart w:id="39" w:name="X8bffd04dc0d3857435ecd63656130d7e909037d"/>
    <w:p>
      <w:pPr>
        <w:pStyle w:val="Heading1"/>
      </w:pPr>
      <w:r>
        <w:t xml:space="preserve">C O R T E X ~ 5 0 K G P U T R A I N I N G C L U S T E R</w:t>
      </w:r>
    </w:p>
    <w:p>
      <w:pPr>
        <w:pStyle w:val="FirstParagraph"/>
      </w:pPr>
    </w:p>
    <w:p>
      <w:pPr>
        <w:pStyle w:val="BodyText"/>
      </w:pPr>
      <w:r>
        <w:t xml:space="preserve">natural_image</w:t>
      </w:r>
    </w:p>
    <w:p>
      <w:pPr>
        <w:pStyle w:val="BodyText"/>
      </w:pPr>
      <w:r>
        <w:t xml:space="preserve">Interior view of a data center with rows of server racks and overhead cables (no visible text or labels)</w:t>
      </w:r>
    </w:p>
    <w:p>
      <w:pPr>
        <w:pStyle w:val="BodyText"/>
      </w:pPr>
    </w:p>
    <w:p>
      <w:pPr>
        <w:pStyle w:val="BodyText"/>
      </w:pPr>
      <w:r>
        <w:t xml:space="preserve">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Quarter</w:t>
            </w:r>
          </w:p>
        </w:tc>
        <w:tc>
          <w:tcPr/>
          <w:p>
            <w:pPr>
              <w:pStyle w:val="Compact"/>
            </w:pPr>
            <w:r>
              <w:t xml:space="preserve">Vehicle Deliveries (millions of units)</w:t>
            </w:r>
          </w:p>
        </w:tc>
      </w:tr>
      <w:tr>
        <w:tc>
          <w:tcPr/>
          <w:p>
            <w:pPr>
              <w:pStyle w:val="Compact"/>
            </w:pPr>
            <w:r>
              <w:t xml:space="preserve">1Q-2022</w:t>
            </w:r>
          </w:p>
        </w:tc>
        <w:tc>
          <w:tcPr/>
          <w:p>
            <w:pPr>
              <w:pStyle w:val="Compact"/>
            </w:pPr>
            <w:r>
              <w:t xml:space="preserve">0.31</w:t>
            </w:r>
          </w:p>
        </w:tc>
      </w:tr>
      <w:tr>
        <w:tc>
          <w:tcPr/>
          <w:p>
            <w:pPr>
              <w:pStyle w:val="Compact"/>
            </w:pPr>
            <w:r>
              <w:t xml:space="preserve">2Q-2022</w:t>
            </w:r>
          </w:p>
        </w:tc>
        <w:tc>
          <w:tcPr/>
          <w:p>
            <w:pPr>
              <w:pStyle w:val="Compact"/>
            </w:pPr>
            <w:r>
              <w:t xml:space="preserve">0.25</w:t>
            </w:r>
          </w:p>
        </w:tc>
      </w:tr>
      <w:tr>
        <w:tc>
          <w:tcPr/>
          <w:p>
            <w:pPr>
              <w:pStyle w:val="Compact"/>
            </w:pPr>
            <w:r>
              <w:t xml:space="preserve">3Q-2022</w:t>
            </w:r>
          </w:p>
        </w:tc>
        <w:tc>
          <w:tcPr/>
          <w:p>
            <w:pPr>
              <w:pStyle w:val="Compact"/>
            </w:pPr>
            <w:r>
              <w:t xml:space="preserve">0.34</w:t>
            </w:r>
          </w:p>
        </w:tc>
      </w:tr>
      <w:tr>
        <w:tc>
          <w:tcPr/>
          <w:p>
            <w:pPr>
              <w:pStyle w:val="Compact"/>
            </w:pPr>
            <w:r>
              <w:t xml:space="preserve">4Q-2022</w:t>
            </w:r>
          </w:p>
        </w:tc>
        <w:tc>
          <w:tcPr/>
          <w:p>
            <w:pPr>
              <w:pStyle w:val="Compact"/>
            </w:pPr>
            <w:r>
              <w:t xml:space="preserve">0.40</w:t>
            </w:r>
          </w:p>
        </w:tc>
      </w:tr>
      <w:tr>
        <w:tc>
          <w:tcPr/>
          <w:p>
            <w:pPr>
              <w:pStyle w:val="Compact"/>
            </w:pPr>
            <w:r>
              <w:t xml:space="preserve">1Q-2023</w:t>
            </w:r>
          </w:p>
        </w:tc>
        <w:tc>
          <w:tcPr/>
          <w:p>
            <w:pPr>
              <w:pStyle w:val="Compact"/>
            </w:pPr>
            <w:r>
              <w:t xml:space="preserve">0.42</w:t>
            </w:r>
          </w:p>
        </w:tc>
      </w:tr>
      <w:tr>
        <w:tc>
          <w:tcPr/>
          <w:p>
            <w:pPr>
              <w:pStyle w:val="Compact"/>
            </w:pPr>
            <w:r>
              <w:t xml:space="preserve">2Q-2023</w:t>
            </w:r>
          </w:p>
        </w:tc>
        <w:tc>
          <w:tcPr/>
          <w:p>
            <w:pPr>
              <w:pStyle w:val="Compact"/>
            </w:pPr>
            <w:r>
              <w:t xml:space="preserve">0.46</w:t>
            </w:r>
          </w:p>
        </w:tc>
      </w:tr>
      <w:tr>
        <w:tc>
          <w:tcPr/>
          <w:p>
            <w:pPr>
              <w:pStyle w:val="Compact"/>
            </w:pPr>
            <w:r>
              <w:t xml:space="preserve">3Q-2023</w:t>
            </w:r>
          </w:p>
        </w:tc>
        <w:tc>
          <w:tcPr/>
          <w:p>
            <w:pPr>
              <w:pStyle w:val="Compact"/>
            </w:pPr>
            <w:r>
              <w:t xml:space="preserve">0.43</w:t>
            </w:r>
          </w:p>
        </w:tc>
      </w:tr>
      <w:tr>
        <w:tc>
          <w:tcPr/>
          <w:p>
            <w:pPr>
              <w:pStyle w:val="Compact"/>
            </w:pPr>
            <w:r>
              <w:t xml:space="preserve">4Q-2023</w:t>
            </w:r>
          </w:p>
        </w:tc>
        <w:tc>
          <w:tcPr/>
          <w:p>
            <w:pPr>
              <w:pStyle w:val="Compact"/>
            </w:pPr>
            <w:r>
              <w:t xml:space="preserve">0.48</w:t>
            </w:r>
          </w:p>
        </w:tc>
      </w:tr>
      <w:tr>
        <w:tc>
          <w:tcPr/>
          <w:p>
            <w:pPr>
              <w:pStyle w:val="Compact"/>
            </w:pPr>
            <w:r>
              <w:t xml:space="preserve">1Q-2024</w:t>
            </w:r>
          </w:p>
        </w:tc>
        <w:tc>
          <w:tcPr/>
          <w:p>
            <w:pPr>
              <w:pStyle w:val="Compact"/>
            </w:pPr>
            <w:r>
              <w:t xml:space="preserve">0.38</w:t>
            </w:r>
          </w:p>
        </w:tc>
      </w:tr>
      <w:tr>
        <w:tc>
          <w:tcPr/>
          <w:p>
            <w:pPr>
              <w:pStyle w:val="Compact"/>
            </w:pPr>
            <w:r>
              <w:t xml:space="preserve">2Q-2024</w:t>
            </w:r>
          </w:p>
        </w:tc>
        <w:tc>
          <w:tcPr/>
          <w:p>
            <w:pPr>
              <w:pStyle w:val="Compact"/>
            </w:pPr>
            <w:r>
              <w:t xml:space="preserve">0.44</w:t>
            </w:r>
          </w:p>
        </w:tc>
      </w:tr>
      <w:tr>
        <w:tc>
          <w:tcPr/>
          <w:p>
            <w:pPr>
              <w:pStyle w:val="Compact"/>
            </w:pPr>
            <w:r>
              <w:t xml:space="preserve">3Q-2024</w:t>
            </w:r>
          </w:p>
        </w:tc>
        <w:tc>
          <w:tcPr/>
          <w:p>
            <w:pPr>
              <w:pStyle w:val="Compact"/>
            </w:pPr>
            <w:r>
              <w:t xml:space="preserve">0.46</w:t>
            </w:r>
          </w:p>
        </w:tc>
      </w:tr>
      <w:tr>
        <w:tc>
          <w:tcPr/>
          <w:p>
            <w:pPr>
              <w:pStyle w:val="Compact"/>
            </w:pPr>
            <w:r>
              <w:t xml:space="preserve">4Q-2024</w:t>
            </w:r>
          </w:p>
        </w:tc>
        <w:tc>
          <w:tcPr/>
          <w:p>
            <w:pPr>
              <w:pStyle w:val="Compact"/>
            </w:pPr>
            <w:r>
              <w:t xml:space="preserve">0.49</w:t>
            </w:r>
          </w:p>
        </w:tc>
      </w:tr>
    </w:tbl>
    <w:p>
      <w:pPr>
        <w:pStyle w:val="BodyText"/>
      </w:pPr>
    </w:p>
    <w:p>
      <w:pPr>
        <w:pStyle w:val="BodyText"/>
      </w:pPr>
      <w:r>
        <w:t xml:space="preserve">bar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Operating Cash Flow (</w:t>
            </w:r>
            <m:oMath>
              <m:r>
                <m:t>B</m:t>
              </m:r>
              <m:r>
                <m:rPr>
                  <m:sty m:val="p"/>
                </m:rPr>
                <m:t>)</m:t>
              </m:r>
              <m:r>
                <m:rPr>
                  <m:sty m:val="p"/>
                </m:rPr>
                <m:t>|</m:t>
              </m:r>
              <m:r>
                <m:t>F</m:t>
              </m:r>
              <m:r>
                <m:t>r</m:t>
              </m:r>
              <m:r>
                <m:t>e</m:t>
              </m:r>
              <m:r>
                <m:t>e</m:t>
              </m:r>
              <m:r>
                <m:t>C</m:t>
              </m:r>
              <m:r>
                <m:t>a</m:t>
              </m:r>
              <m:r>
                <m:t>s</m:t>
              </m:r>
              <m:r>
                <m:t>h</m:t>
              </m:r>
              <m:r>
                <m:t>F</m:t>
              </m:r>
              <m:r>
                <m:t>l</m:t>
              </m:r>
              <m:r>
                <m:t>o</m:t>
              </m:r>
              <m:r>
                <m:t>w</m:t>
              </m:r>
              <m:r>
                <m:rPr>
                  <m:sty m:val="p"/>
                </m:rPr>
                <m:t>(</m:t>
              </m:r>
            </m:oMath>
            <w:r>
              <w:t xml:space="preserve">B)</w:t>
            </w:r>
          </w:p>
        </w:tc>
        <w:tc>
          <w:tcPr/>
          <w:p>
            <w:pPr>
              <w:pStyle w:val="Compact"/>
            </w:pPr>
          </w:p>
        </w:tc>
      </w:tr>
      <w:tr>
        <w:tc>
          <w:tcPr/>
          <w:p>
            <w:pPr>
              <w:pStyle w:val="Compact"/>
            </w:pPr>
            <w:r>
              <w:t xml:space="preserve">1Q-2022</w:t>
            </w:r>
          </w:p>
        </w:tc>
        <w:tc>
          <w:tcPr/>
          <w:p>
            <w:pPr>
              <w:pStyle w:val="Compact"/>
            </w:pPr>
            <w:r>
              <w:t xml:space="preserve">4.0</w:t>
            </w:r>
          </w:p>
        </w:tc>
        <w:tc>
          <w:tcPr/>
          <w:p>
            <w:pPr>
              <w:pStyle w:val="Compact"/>
            </w:pPr>
            <w:r>
              <w:t xml:space="preserve">2.2</w:t>
            </w:r>
          </w:p>
        </w:tc>
      </w:tr>
      <w:tr>
        <w:tc>
          <w:tcPr/>
          <w:p>
            <w:pPr>
              <w:pStyle w:val="Compact"/>
            </w:pPr>
            <w:r>
              <w:t xml:space="preserve">2Q-2022</w:t>
            </w:r>
          </w:p>
        </w:tc>
        <w:tc>
          <w:tcPr/>
          <w:p>
            <w:pPr>
              <w:pStyle w:val="Compact"/>
            </w:pPr>
            <w:r>
              <w:t xml:space="preserve">2.3</w:t>
            </w:r>
          </w:p>
        </w:tc>
        <w:tc>
          <w:tcPr/>
          <w:p>
            <w:pPr>
              <w:pStyle w:val="Compact"/>
            </w:pPr>
            <w:r>
              <w:t xml:space="preserve">0.6</w:t>
            </w:r>
          </w:p>
        </w:tc>
      </w:tr>
      <w:tr>
        <w:tc>
          <w:tcPr/>
          <w:p>
            <w:pPr>
              <w:pStyle w:val="Compact"/>
            </w:pPr>
            <w:r>
              <w:t xml:space="preserve">3Q-2022</w:t>
            </w:r>
          </w:p>
        </w:tc>
        <w:tc>
          <w:tcPr/>
          <w:p>
            <w:pPr>
              <w:pStyle w:val="Compact"/>
            </w:pPr>
            <w:r>
              <w:t xml:space="preserve">5.1</w:t>
            </w:r>
          </w:p>
        </w:tc>
        <w:tc>
          <w:tcPr/>
          <w:p>
            <w:pPr>
              <w:pStyle w:val="Compact"/>
            </w:pPr>
            <w:r>
              <w:t xml:space="preserve">3.3</w:t>
            </w:r>
          </w:p>
        </w:tc>
      </w:tr>
      <w:tr>
        <w:tc>
          <w:tcPr/>
          <w:p>
            <w:pPr>
              <w:pStyle w:val="Compact"/>
            </w:pPr>
            <w:r>
              <w:t xml:space="preserve">4Q-2022</w:t>
            </w:r>
          </w:p>
        </w:tc>
        <w:tc>
          <w:tcPr/>
          <w:p>
            <w:pPr>
              <w:pStyle w:val="Compact"/>
            </w:pPr>
            <w:r>
              <w:t xml:space="preserve">3.3</w:t>
            </w:r>
          </w:p>
        </w:tc>
        <w:tc>
          <w:tcPr/>
          <w:p>
            <w:pPr>
              <w:pStyle w:val="Compact"/>
            </w:pPr>
            <w:r>
              <w:t xml:space="preserve">1.4</w:t>
            </w:r>
          </w:p>
        </w:tc>
      </w:tr>
      <w:tr>
        <w:tc>
          <w:tcPr/>
          <w:p>
            <w:pPr>
              <w:pStyle w:val="Compact"/>
            </w:pPr>
            <w:r>
              <w:t xml:space="preserve">1Q-2023</w:t>
            </w:r>
          </w:p>
        </w:tc>
        <w:tc>
          <w:tcPr/>
          <w:p>
            <w:pPr>
              <w:pStyle w:val="Compact"/>
            </w:pPr>
            <w:r>
              <w:t xml:space="preserve">2.5</w:t>
            </w:r>
          </w:p>
        </w:tc>
        <w:tc>
          <w:tcPr/>
          <w:p>
            <w:pPr>
              <w:pStyle w:val="Compact"/>
            </w:pPr>
            <w:r>
              <w:t xml:space="preserve">0.4</w:t>
            </w:r>
          </w:p>
        </w:tc>
      </w:tr>
      <w:tr>
        <w:tc>
          <w:tcPr/>
          <w:p>
            <w:pPr>
              <w:pStyle w:val="Compact"/>
            </w:pPr>
            <w:r>
              <w:t xml:space="preserve">2Q-2023</w:t>
            </w:r>
          </w:p>
        </w:tc>
        <w:tc>
          <w:tcPr/>
          <w:p>
            <w:pPr>
              <w:pStyle w:val="Compact"/>
            </w:pPr>
            <w:r>
              <w:t xml:space="preserve">3.1</w:t>
            </w:r>
          </w:p>
        </w:tc>
        <w:tc>
          <w:tcPr/>
          <w:p>
            <w:pPr>
              <w:pStyle w:val="Compact"/>
            </w:pPr>
            <w:r>
              <w:t xml:space="preserve">1.0</w:t>
            </w:r>
          </w:p>
        </w:tc>
      </w:tr>
      <w:tr>
        <w:tc>
          <w:tcPr/>
          <w:p>
            <w:pPr>
              <w:pStyle w:val="Compact"/>
            </w:pPr>
            <w:r>
              <w:t xml:space="preserve">3Q-2023</w:t>
            </w:r>
          </w:p>
        </w:tc>
        <w:tc>
          <w:tcPr/>
          <w:p>
            <w:pPr>
              <w:pStyle w:val="Compact"/>
            </w:pPr>
            <w:r>
              <w:t xml:space="preserve">3.3</w:t>
            </w:r>
          </w:p>
        </w:tc>
        <w:tc>
          <w:tcPr/>
          <w:p>
            <w:pPr>
              <w:pStyle w:val="Compact"/>
            </w:pPr>
            <w:r>
              <w:t xml:space="preserve">0.8</w:t>
            </w:r>
          </w:p>
        </w:tc>
      </w:tr>
      <w:tr>
        <w:tc>
          <w:tcPr/>
          <w:p>
            <w:pPr>
              <w:pStyle w:val="Compact"/>
            </w:pPr>
            <w:r>
              <w:t xml:space="preserve">4Q-2023</w:t>
            </w:r>
          </w:p>
        </w:tc>
        <w:tc>
          <w:tcPr/>
          <w:p>
            <w:pPr>
              <w:pStyle w:val="Compact"/>
            </w:pPr>
            <w:r>
              <w:t xml:space="preserve">4.4</w:t>
            </w:r>
          </w:p>
        </w:tc>
        <w:tc>
          <w:tcPr/>
          <w:p>
            <w:pPr>
              <w:pStyle w:val="Compact"/>
            </w:pPr>
            <w:r>
              <w:t xml:space="preserve">2.0</w:t>
            </w:r>
          </w:p>
        </w:tc>
      </w:tr>
      <w:tr>
        <w:tc>
          <w:tcPr/>
          <w:p>
            <w:pPr>
              <w:pStyle w:val="Compact"/>
            </w:pPr>
            <w:r>
              <w:t xml:space="preserve">1Q-2024</w:t>
            </w:r>
          </w:p>
        </w:tc>
        <w:tc>
          <w:tcPr/>
          <w:p>
            <w:pPr>
              <w:pStyle w:val="Compact"/>
            </w:pPr>
            <w:r>
              <w:t xml:space="preserve">0.2</w:t>
            </w:r>
          </w:p>
        </w:tc>
        <w:tc>
          <w:tcPr/>
          <w:p>
            <w:pPr>
              <w:pStyle w:val="Compact"/>
            </w:pPr>
            <w:r>
              <w:t xml:space="preserve">-2.5</w:t>
            </w:r>
          </w:p>
        </w:tc>
      </w:tr>
      <w:tr>
        <w:tc>
          <w:tcPr/>
          <w:p>
            <w:pPr>
              <w:pStyle w:val="Compact"/>
            </w:pPr>
            <w:r>
              <w:t xml:space="preserve">2Q-2024</w:t>
            </w:r>
          </w:p>
        </w:tc>
        <w:tc>
          <w:tcPr/>
          <w:p>
            <w:pPr>
              <w:pStyle w:val="Compact"/>
            </w:pPr>
            <w:r>
              <w:t xml:space="preserve">3.6</w:t>
            </w:r>
          </w:p>
        </w:tc>
        <w:tc>
          <w:tcPr/>
          <w:p>
            <w:pPr>
              <w:pStyle w:val="Compact"/>
            </w:pPr>
            <w:r>
              <w:t xml:space="preserve">1.3</w:t>
            </w:r>
          </w:p>
        </w:tc>
      </w:tr>
      <w:tr>
        <w:tc>
          <w:tcPr/>
          <w:p>
            <w:pPr>
              <w:pStyle w:val="Compact"/>
            </w:pPr>
            <w:r>
              <w:t xml:space="preserve">3Q-2024</w:t>
            </w:r>
          </w:p>
        </w:tc>
        <w:tc>
          <w:tcPr/>
          <w:p>
            <w:pPr>
              <w:pStyle w:val="Compact"/>
            </w:pPr>
            <w:r>
              <w:t xml:space="preserve">6.2</w:t>
            </w:r>
          </w:p>
        </w:tc>
        <w:tc>
          <w:tcPr/>
          <w:p>
            <w:pPr>
              <w:pStyle w:val="Compact"/>
            </w:pPr>
            <w:r>
              <w:t xml:space="preserve">2.7</w:t>
            </w:r>
          </w:p>
        </w:tc>
      </w:tr>
      <w:tr>
        <w:tc>
          <w:tcPr/>
          <w:p>
            <w:pPr>
              <w:pStyle w:val="Compact"/>
            </w:pPr>
            <w:r>
              <w:t xml:space="preserve">4Q-2024</w:t>
            </w:r>
          </w:p>
        </w:tc>
        <w:tc>
          <w:tcPr/>
          <w:p>
            <w:pPr>
              <w:pStyle w:val="Compact"/>
            </w:pPr>
            <w:r>
              <w:t xml:space="preserve">4.8</w:t>
            </w:r>
          </w:p>
        </w:tc>
        <w:tc>
          <w:tcPr/>
          <w:p>
            <w:pPr>
              <w:pStyle w:val="Compact"/>
            </w:pPr>
            <w:r>
              <w:t xml:space="preserve">2.0</w:t>
            </w:r>
          </w:p>
        </w:tc>
      </w:tr>
    </w:tbl>
    <w:p>
      <w:pPr>
        <w:pStyle w:val="BodyText"/>
      </w:pPr>
    </w:p>
    <w:p>
      <w:pPr>
        <w:pStyle w:val="BodyText"/>
      </w:pPr>
      <w:r>
        <w:t xml:space="preserve">bar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Net Income (</w:t>
            </w:r>
            <m:oMath>
              <m:r>
                <m:t>B</m:t>
              </m:r>
              <m:r>
                <m:rPr>
                  <m:sty m:val="p"/>
                </m:rPr>
                <m:t>)</m:t>
              </m:r>
              <m:r>
                <m:rPr>
                  <m:sty m:val="p"/>
                </m:rPr>
                <m:t>|</m:t>
              </m:r>
              <m:r>
                <m:t>A</m:t>
              </m:r>
              <m:r>
                <m:t>d</m:t>
              </m:r>
              <m:r>
                <m:t>j</m:t>
              </m:r>
              <m:r>
                <m:t>u</m:t>
              </m:r>
              <m:r>
                <m:t>s</m:t>
              </m:r>
              <m:r>
                <m:t>t</m:t>
              </m:r>
              <m:r>
                <m:t>e</m:t>
              </m:r>
              <m:r>
                <m:t>d</m:t>
              </m:r>
              <m:r>
                <m:t>E</m:t>
              </m:r>
              <m:r>
                <m:t>B</m:t>
              </m:r>
              <m:r>
                <m:t>I</m:t>
              </m:r>
              <m:r>
                <m:t>T</m:t>
              </m:r>
              <m:r>
                <m:t>D</m:t>
              </m:r>
              <m:r>
                <m:t>A</m:t>
              </m:r>
              <m:r>
                <m:rPr>
                  <m:sty m:val="p"/>
                </m:rPr>
                <m:t>(</m:t>
              </m:r>
            </m:oMath>
            <w:r>
              <w:t xml:space="preserve">B)</w:t>
            </w:r>
          </w:p>
        </w:tc>
        <w:tc>
          <w:tcPr/>
          <w:p>
            <w:pPr>
              <w:pStyle w:val="Compact"/>
            </w:pPr>
          </w:p>
        </w:tc>
      </w:tr>
      <w:tr>
        <w:tc>
          <w:tcPr/>
          <w:p>
            <w:pPr>
              <w:pStyle w:val="Compact"/>
            </w:pPr>
            <w:r>
              <w:t xml:space="preserve">1Q-2022</w:t>
            </w:r>
          </w:p>
        </w:tc>
        <w:tc>
          <w:tcPr/>
          <w:p>
            <w:pPr>
              <w:pStyle w:val="Compact"/>
            </w:pPr>
            <w:r>
              <w:t xml:space="preserve">3.3</w:t>
            </w:r>
          </w:p>
        </w:tc>
        <w:tc>
          <w:tcPr/>
          <w:p>
            <w:pPr>
              <w:pStyle w:val="Compact"/>
            </w:pPr>
            <w:r>
              <w:t xml:space="preserve">5.0</w:t>
            </w:r>
          </w:p>
        </w:tc>
      </w:tr>
      <w:tr>
        <w:tc>
          <w:tcPr/>
          <w:p>
            <w:pPr>
              <w:pStyle w:val="Compact"/>
            </w:pPr>
            <w:r>
              <w:t xml:space="preserve">2Q-2022</w:t>
            </w:r>
          </w:p>
        </w:tc>
        <w:tc>
          <w:tcPr/>
          <w:p>
            <w:pPr>
              <w:pStyle w:val="Compact"/>
            </w:pPr>
            <w:r>
              <w:t xml:space="preserve">2.2</w:t>
            </w:r>
          </w:p>
        </w:tc>
        <w:tc>
          <w:tcPr/>
          <w:p>
            <w:pPr>
              <w:pStyle w:val="Compact"/>
            </w:pPr>
            <w:r>
              <w:t xml:space="preserve">3.8</w:t>
            </w:r>
          </w:p>
        </w:tc>
      </w:tr>
      <w:tr>
        <w:tc>
          <w:tcPr/>
          <w:p>
            <w:pPr>
              <w:pStyle w:val="Compact"/>
            </w:pPr>
            <w:r>
              <w:t xml:space="preserve">3Q-2022</w:t>
            </w:r>
          </w:p>
        </w:tc>
        <w:tc>
          <w:tcPr/>
          <w:p>
            <w:pPr>
              <w:pStyle w:val="Compact"/>
            </w:pPr>
            <w:r>
              <w:t xml:space="preserve">3.3</w:t>
            </w:r>
          </w:p>
        </w:tc>
        <w:tc>
          <w:tcPr/>
          <w:p>
            <w:pPr>
              <w:pStyle w:val="Compact"/>
            </w:pPr>
            <w:r>
              <w:t xml:space="preserve">5.0</w:t>
            </w:r>
          </w:p>
        </w:tc>
      </w:tr>
      <w:tr>
        <w:tc>
          <w:tcPr/>
          <w:p>
            <w:pPr>
              <w:pStyle w:val="Compact"/>
            </w:pPr>
            <w:r>
              <w:t xml:space="preserve">4Q-2022</w:t>
            </w:r>
          </w:p>
        </w:tc>
        <w:tc>
          <w:tcPr/>
          <w:p>
            <w:pPr>
              <w:pStyle w:val="Compact"/>
            </w:pPr>
            <w:r>
              <w:t xml:space="preserve">3.7</w:t>
            </w:r>
          </w:p>
        </w:tc>
        <w:tc>
          <w:tcPr/>
          <w:p>
            <w:pPr>
              <w:pStyle w:val="Compact"/>
            </w:pPr>
            <w:r>
              <w:t xml:space="preserve">5.4</w:t>
            </w:r>
          </w:p>
        </w:tc>
      </w:tr>
      <w:tr>
        <w:tc>
          <w:tcPr/>
          <w:p>
            <w:pPr>
              <w:pStyle w:val="Compact"/>
            </w:pPr>
            <w:r>
              <w:t xml:space="preserve">1Q-2023</w:t>
            </w:r>
          </w:p>
        </w:tc>
        <w:tc>
          <w:tcPr/>
          <w:p>
            <w:pPr>
              <w:pStyle w:val="Compact"/>
            </w:pPr>
            <w:r>
              <w:t xml:space="preserve">2.5</w:t>
            </w:r>
          </w:p>
        </w:tc>
        <w:tc>
          <w:tcPr/>
          <w:p>
            <w:pPr>
              <w:pStyle w:val="Compact"/>
            </w:pPr>
            <w:r>
              <w:t xml:space="preserve">4.3</w:t>
            </w:r>
          </w:p>
        </w:tc>
      </w:tr>
      <w:tr>
        <w:tc>
          <w:tcPr/>
          <w:p>
            <w:pPr>
              <w:pStyle w:val="Compact"/>
            </w:pPr>
            <w:r>
              <w:t xml:space="preserve">2Q-2023</w:t>
            </w:r>
          </w:p>
        </w:tc>
        <w:tc>
          <w:tcPr/>
          <w:p>
            <w:pPr>
              <w:pStyle w:val="Compact"/>
            </w:pPr>
            <w:r>
              <w:t xml:space="preserve">2.7</w:t>
            </w:r>
          </w:p>
        </w:tc>
        <w:tc>
          <w:tcPr/>
          <w:p>
            <w:pPr>
              <w:pStyle w:val="Compact"/>
            </w:pPr>
            <w:r>
              <w:t xml:space="preserve">4.6</w:t>
            </w:r>
          </w:p>
        </w:tc>
      </w:tr>
      <w:tr>
        <w:tc>
          <w:tcPr/>
          <w:p>
            <w:pPr>
              <w:pStyle w:val="Compact"/>
            </w:pPr>
            <w:r>
              <w:t xml:space="preserve">3Q-2023</w:t>
            </w:r>
          </w:p>
        </w:tc>
        <w:tc>
          <w:tcPr/>
          <w:p>
            <w:pPr>
              <w:pStyle w:val="Compact"/>
            </w:pPr>
            <w:r>
              <w:t xml:space="preserve">1.8</w:t>
            </w:r>
          </w:p>
        </w:tc>
        <w:tc>
          <w:tcPr/>
          <w:p>
            <w:pPr>
              <w:pStyle w:val="Compact"/>
            </w:pPr>
            <w:r>
              <w:t xml:space="preserve">3.8</w:t>
            </w:r>
          </w:p>
        </w:tc>
      </w:tr>
      <w:tr>
        <w:tc>
          <w:tcPr/>
          <w:p>
            <w:pPr>
              <w:pStyle w:val="Compact"/>
            </w:pPr>
            <w:r>
              <w:t xml:space="preserve">4Q-2023</w:t>
            </w:r>
          </w:p>
        </w:tc>
        <w:tc>
          <w:tcPr/>
          <w:p>
            <w:pPr>
              <w:pStyle w:val="Compact"/>
            </w:pPr>
            <w:r>
              <w:t xml:space="preserve">8.0</w:t>
            </w:r>
          </w:p>
        </w:tc>
        <w:tc>
          <w:tcPr/>
          <w:p>
            <w:pPr>
              <w:pStyle w:val="Compact"/>
            </w:pPr>
            <w:r>
              <w:t xml:space="preserve">4.0</w:t>
            </w:r>
          </w:p>
        </w:tc>
      </w:tr>
      <w:tr>
        <w:tc>
          <w:tcPr/>
          <w:p>
            <w:pPr>
              <w:pStyle w:val="Compact"/>
            </w:pPr>
            <w:r>
              <w:t xml:space="preserve">1Q-2024</w:t>
            </w:r>
          </w:p>
        </w:tc>
        <w:tc>
          <w:tcPr/>
          <w:p>
            <w:pPr>
              <w:pStyle w:val="Compact"/>
            </w:pPr>
            <w:r>
              <w:t xml:space="preserve">1.1</w:t>
            </w:r>
          </w:p>
        </w:tc>
        <w:tc>
          <w:tcPr/>
          <w:p>
            <w:pPr>
              <w:pStyle w:val="Compact"/>
            </w:pPr>
            <w:r>
              <w:t xml:space="preserve">3.4</w:t>
            </w:r>
          </w:p>
        </w:tc>
      </w:tr>
      <w:tr>
        <w:tc>
          <w:tcPr/>
          <w:p>
            <w:pPr>
              <w:pStyle w:val="Compact"/>
            </w:pPr>
            <w:r>
              <w:t xml:space="preserve">2Q-2024</w:t>
            </w:r>
          </w:p>
        </w:tc>
        <w:tc>
          <w:tcPr/>
          <w:p>
            <w:pPr>
              <w:pStyle w:val="Compact"/>
            </w:pPr>
            <w:r>
              <w:t xml:space="preserve">1.5</w:t>
            </w:r>
          </w:p>
        </w:tc>
        <w:tc>
          <w:tcPr/>
          <w:p>
            <w:pPr>
              <w:pStyle w:val="Compact"/>
            </w:pPr>
            <w:r>
              <w:t xml:space="preserve">3.7</w:t>
            </w:r>
          </w:p>
        </w:tc>
      </w:tr>
      <w:tr>
        <w:tc>
          <w:tcPr/>
          <w:p>
            <w:pPr>
              <w:pStyle w:val="Compact"/>
            </w:pPr>
            <w:r>
              <w:t xml:space="preserve">3Q-2024</w:t>
            </w:r>
          </w:p>
        </w:tc>
        <w:tc>
          <w:tcPr/>
          <w:p>
            <w:pPr>
              <w:pStyle w:val="Compact"/>
            </w:pPr>
            <w:r>
              <w:t xml:space="preserve">2.1</w:t>
            </w:r>
          </w:p>
        </w:tc>
        <w:tc>
          <w:tcPr/>
          <w:p>
            <w:pPr>
              <w:pStyle w:val="Compact"/>
            </w:pPr>
            <w:r>
              <w:t xml:space="preserve">4.7</w:t>
            </w:r>
          </w:p>
        </w:tc>
      </w:tr>
      <w:tr>
        <w:tc>
          <w:tcPr/>
          <w:p>
            <w:pPr>
              <w:pStyle w:val="Compact"/>
            </w:pPr>
            <w:r>
              <w:t xml:space="preserve">4Q-2024</w:t>
            </w:r>
          </w:p>
        </w:tc>
        <w:tc>
          <w:tcPr/>
          <w:p>
            <w:pPr>
              <w:pStyle w:val="Compact"/>
            </w:pPr>
            <w:r>
              <w:t xml:space="preserve">2.3</w:t>
            </w:r>
          </w:p>
        </w:tc>
        <w:tc>
          <w:tcPr/>
          <w:p>
            <w:pPr>
              <w:pStyle w:val="Compact"/>
            </w:pPr>
            <w:r>
              <w:t xml:space="preserve">4.9</w:t>
            </w:r>
          </w:p>
        </w:tc>
      </w:tr>
    </w:tbl>
    <w:bookmarkEnd w:id="39"/>
    <w:bookmarkStart w:id="40" w:name="Xdef240a043f81914f534fd12187b7521528c28d"/>
    <w:p>
      <w:pPr>
        <w:pStyle w:val="Heading1"/>
      </w:pPr>
      <w:r>
        <w:t xml:space="preserve">K E Y M E T R I C S T R A I L I N G 1 2 M O N T H S ( T T M ) (Unaudited)</w:t>
      </w:r>
    </w:p>
    <w:p>
      <w:pPr>
        <w:pStyle w:val="FirstParagraph"/>
      </w:pPr>
    </w:p>
    <w:p>
      <w:pPr>
        <w:pStyle w:val="BodyText"/>
      </w:pPr>
      <w:r>
        <w:t xml:space="preserve">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Quarter</w:t>
            </w:r>
          </w:p>
        </w:tc>
        <w:tc>
          <w:tcPr/>
          <w:p>
            <w:pPr>
              <w:pStyle w:val="Compact"/>
            </w:pPr>
            <w:r>
              <w:t xml:space="preserve">Value</w:t>
            </w:r>
          </w:p>
        </w:tc>
      </w:tr>
      <w:tr>
        <w:tc>
          <w:tcPr/>
          <w:p>
            <w:pPr>
              <w:pStyle w:val="Compact"/>
            </w:pPr>
            <w:r>
              <w:t xml:space="preserve">1Q-2022</w:t>
            </w:r>
          </w:p>
        </w:tc>
        <w:tc>
          <w:tcPr/>
          <w:p>
            <w:pPr>
              <w:pStyle w:val="Compact"/>
            </w:pPr>
            <w:r>
              <w:t xml:space="preserve">1.05</w:t>
            </w:r>
          </w:p>
        </w:tc>
      </w:tr>
      <w:tr>
        <w:tc>
          <w:tcPr/>
          <w:p>
            <w:pPr>
              <w:pStyle w:val="Compact"/>
            </w:pPr>
            <w:r>
              <w:t xml:space="preserve">2Q-2022</w:t>
            </w:r>
          </w:p>
        </w:tc>
        <w:tc>
          <w:tcPr/>
          <w:p>
            <w:pPr>
              <w:pStyle w:val="Compact"/>
            </w:pPr>
            <w:r>
              <w:t xml:space="preserve">1.10</w:t>
            </w:r>
          </w:p>
        </w:tc>
      </w:tr>
      <w:tr>
        <w:tc>
          <w:tcPr/>
          <w:p>
            <w:pPr>
              <w:pStyle w:val="Compact"/>
            </w:pPr>
            <w:r>
              <w:t xml:space="preserve">3Q-2022</w:t>
            </w:r>
          </w:p>
        </w:tc>
        <w:tc>
          <w:tcPr/>
          <w:p>
            <w:pPr>
              <w:pStyle w:val="Compact"/>
            </w:pPr>
            <w:r>
              <w:t xml:space="preserve">1.20</w:t>
            </w:r>
          </w:p>
        </w:tc>
      </w:tr>
      <w:tr>
        <w:tc>
          <w:tcPr/>
          <w:p>
            <w:pPr>
              <w:pStyle w:val="Compact"/>
            </w:pPr>
            <w:r>
              <w:t xml:space="preserve">4Q-2022</w:t>
            </w:r>
          </w:p>
        </w:tc>
        <w:tc>
          <w:tcPr/>
          <w:p>
            <w:pPr>
              <w:pStyle w:val="Compact"/>
            </w:pPr>
            <w:r>
              <w:t xml:space="preserve">1.30</w:t>
            </w:r>
          </w:p>
        </w:tc>
      </w:tr>
      <w:tr>
        <w:tc>
          <w:tcPr/>
          <w:p>
            <w:pPr>
              <w:pStyle w:val="Compact"/>
            </w:pPr>
            <w:r>
              <w:t xml:space="preserve">1Q-2023</w:t>
            </w:r>
          </w:p>
        </w:tc>
        <w:tc>
          <w:tcPr/>
          <w:p>
            <w:pPr>
              <w:pStyle w:val="Compact"/>
            </w:pPr>
            <w:r>
              <w:t xml:space="preserve">1.42</w:t>
            </w:r>
          </w:p>
        </w:tc>
      </w:tr>
      <w:tr>
        <w:tc>
          <w:tcPr/>
          <w:p>
            <w:pPr>
              <w:pStyle w:val="Compact"/>
            </w:pPr>
            <w:r>
              <w:t xml:space="preserve">2Q-2023</w:t>
            </w:r>
          </w:p>
        </w:tc>
        <w:tc>
          <w:tcPr/>
          <w:p>
            <w:pPr>
              <w:pStyle w:val="Compact"/>
            </w:pPr>
            <w:r>
              <w:t xml:space="preserve">1.63</w:t>
            </w:r>
          </w:p>
        </w:tc>
      </w:tr>
      <w:tr>
        <w:tc>
          <w:tcPr/>
          <w:p>
            <w:pPr>
              <w:pStyle w:val="Compact"/>
            </w:pPr>
            <w:r>
              <w:t xml:space="preserve">3Q-2023</w:t>
            </w:r>
          </w:p>
        </w:tc>
        <w:tc>
          <w:tcPr/>
          <w:p>
            <w:pPr>
              <w:pStyle w:val="Compact"/>
            </w:pPr>
            <w:r>
              <w:t xml:space="preserve">1.72</w:t>
            </w:r>
          </w:p>
        </w:tc>
      </w:tr>
      <w:tr>
        <w:tc>
          <w:tcPr/>
          <w:p>
            <w:pPr>
              <w:pStyle w:val="Compact"/>
            </w:pPr>
            <w:r>
              <w:t xml:space="preserve">4Q-2023</w:t>
            </w:r>
          </w:p>
        </w:tc>
        <w:tc>
          <w:tcPr/>
          <w:p>
            <w:pPr>
              <w:pStyle w:val="Compact"/>
            </w:pPr>
            <w:r>
              <w:t xml:space="preserve">1.81</w:t>
            </w:r>
          </w:p>
        </w:tc>
      </w:tr>
      <w:tr>
        <w:tc>
          <w:tcPr/>
          <w:p>
            <w:pPr>
              <w:pStyle w:val="Compact"/>
            </w:pPr>
            <w:r>
              <w:t xml:space="preserve">1Q-2024</w:t>
            </w:r>
          </w:p>
        </w:tc>
        <w:tc>
          <w:tcPr/>
          <w:p>
            <w:pPr>
              <w:pStyle w:val="Compact"/>
            </w:pPr>
            <w:r>
              <w:t xml:space="preserve">1.77</w:t>
            </w:r>
          </w:p>
        </w:tc>
      </w:tr>
      <w:tr>
        <w:tc>
          <w:tcPr/>
          <w:p>
            <w:pPr>
              <w:pStyle w:val="Compact"/>
            </w:pPr>
            <w:r>
              <w:t xml:space="preserve">2Q-2024</w:t>
            </w:r>
          </w:p>
        </w:tc>
        <w:tc>
          <w:tcPr/>
          <w:p>
            <w:pPr>
              <w:pStyle w:val="Compact"/>
            </w:pPr>
            <w:r>
              <w:t xml:space="preserve">1.75</w:t>
            </w:r>
          </w:p>
        </w:tc>
      </w:tr>
      <w:tr>
        <w:tc>
          <w:tcPr/>
          <w:p>
            <w:pPr>
              <w:pStyle w:val="Compact"/>
            </w:pPr>
            <w:r>
              <w:t xml:space="preserve">3Q-2024</w:t>
            </w:r>
          </w:p>
        </w:tc>
        <w:tc>
          <w:tcPr/>
          <w:p>
            <w:pPr>
              <w:pStyle w:val="Compact"/>
            </w:pPr>
            <w:r>
              <w:t xml:space="preserve">1.78</w:t>
            </w:r>
          </w:p>
        </w:tc>
      </w:tr>
      <w:tr>
        <w:tc>
          <w:tcPr/>
          <w:p>
            <w:pPr>
              <w:pStyle w:val="Compact"/>
            </w:pPr>
            <w:r>
              <w:t xml:space="preserve">4Q-2024</w:t>
            </w:r>
          </w:p>
        </w:tc>
        <w:tc>
          <w:tcPr/>
          <w:p>
            <w:pPr>
              <w:pStyle w:val="Compact"/>
            </w:pPr>
            <w:r>
              <w:t xml:space="preserve">1.79</w:t>
            </w:r>
          </w:p>
        </w:tc>
      </w:tr>
    </w:tbl>
    <w:p>
      <w:pPr>
        <w:pStyle w:val="BodyText"/>
      </w:pPr>
      <w:r>
        <w:t xml:space="preserve">Vehicle Deliveries (millions of units)</w:t>
      </w:r>
    </w:p>
    <w:p>
      <w:pPr>
        <w:pStyle w:val="BodyText"/>
      </w:pPr>
    </w:p>
    <w:p>
      <w:pPr>
        <w:pStyle w:val="BodyText"/>
      </w:pPr>
      <w:r>
        <w:t xml:space="preserve">bar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Series 1</w:t>
            </w:r>
          </w:p>
        </w:tc>
        <w:tc>
          <w:tcPr/>
          <w:p>
            <w:pPr>
              <w:pStyle w:val="Compact"/>
            </w:pPr>
            <w:r>
              <w:t xml:space="preserve">Series 2</w:t>
            </w:r>
          </w:p>
        </w:tc>
      </w:tr>
      <w:tr>
        <w:tc>
          <w:tcPr/>
          <w:p>
            <w:pPr>
              <w:pStyle w:val="Compact"/>
            </w:pPr>
            <w:r>
              <w:t xml:space="preserve">1Q-2022</w:t>
            </w:r>
          </w:p>
        </w:tc>
        <w:tc>
          <w:tcPr/>
          <w:p>
            <w:pPr>
              <w:pStyle w:val="Compact"/>
            </w:pPr>
            <w:r>
              <w:t xml:space="preserve">13.8</w:t>
            </w:r>
          </w:p>
        </w:tc>
        <w:tc>
          <w:tcPr/>
          <w:p>
            <w:pPr>
              <w:pStyle w:val="Compact"/>
            </w:pPr>
            <w:r>
              <w:t xml:space="preserve">6.9</w:t>
            </w:r>
          </w:p>
        </w:tc>
      </w:tr>
      <w:tr>
        <w:tc>
          <w:tcPr/>
          <w:p>
            <w:pPr>
              <w:pStyle w:val="Compact"/>
            </w:pPr>
            <w:r>
              <w:t xml:space="preserve">2Q-2022</w:t>
            </w:r>
          </w:p>
        </w:tc>
        <w:tc>
          <w:tcPr/>
          <w:p>
            <w:pPr>
              <w:pStyle w:val="Compact"/>
            </w:pPr>
            <w:r>
              <w:t xml:space="preserve">14.1</w:t>
            </w:r>
          </w:p>
        </w:tc>
        <w:tc>
          <w:tcPr/>
          <w:p>
            <w:pPr>
              <w:pStyle w:val="Compact"/>
            </w:pPr>
            <w:r>
              <w:t xml:space="preserve">6.9</w:t>
            </w:r>
          </w:p>
        </w:tc>
      </w:tr>
      <w:tr>
        <w:tc>
          <w:tcPr/>
          <w:p>
            <w:pPr>
              <w:pStyle w:val="Compact"/>
            </w:pPr>
            <w:r>
              <w:t xml:space="preserve">3Q-2022</w:t>
            </w:r>
          </w:p>
        </w:tc>
        <w:tc>
          <w:tcPr/>
          <w:p>
            <w:pPr>
              <w:pStyle w:val="Compact"/>
            </w:pPr>
            <w:r>
              <w:t xml:space="preserve">16.0</w:t>
            </w:r>
          </w:p>
        </w:tc>
        <w:tc>
          <w:tcPr/>
          <w:p>
            <w:pPr>
              <w:pStyle w:val="Compact"/>
            </w:pPr>
            <w:r>
              <w:t xml:space="preserve">8.9</w:t>
            </w:r>
          </w:p>
        </w:tc>
      </w:tr>
      <w:tr>
        <w:tc>
          <w:tcPr/>
          <w:p>
            <w:pPr>
              <w:pStyle w:val="Compact"/>
            </w:pPr>
            <w:r>
              <w:t xml:space="preserve">4Q-2022</w:t>
            </w:r>
          </w:p>
        </w:tc>
        <w:tc>
          <w:tcPr/>
          <w:p>
            <w:pPr>
              <w:pStyle w:val="Compact"/>
            </w:pPr>
            <w:r>
              <w:t xml:space="preserve">14.7</w:t>
            </w:r>
          </w:p>
        </w:tc>
        <w:tc>
          <w:tcPr/>
          <w:p>
            <w:pPr>
              <w:pStyle w:val="Compact"/>
            </w:pPr>
            <w:r>
              <w:t xml:space="preserve">7.6</w:t>
            </w:r>
          </w:p>
        </w:tc>
      </w:tr>
      <w:tr>
        <w:tc>
          <w:tcPr/>
          <w:p>
            <w:pPr>
              <w:pStyle w:val="Compact"/>
            </w:pPr>
            <w:r>
              <w:t xml:space="preserve">1Q-2023</w:t>
            </w:r>
          </w:p>
        </w:tc>
        <w:tc>
          <w:tcPr/>
          <w:p>
            <w:pPr>
              <w:pStyle w:val="Compact"/>
            </w:pPr>
            <w:r>
              <w:t xml:space="preserve">13.2</w:t>
            </w:r>
          </w:p>
        </w:tc>
        <w:tc>
          <w:tcPr/>
          <w:p>
            <w:pPr>
              <w:pStyle w:val="Compact"/>
            </w:pPr>
            <w:r>
              <w:t xml:space="preserve">5.7</w:t>
            </w:r>
          </w:p>
        </w:tc>
      </w:tr>
      <w:tr>
        <w:tc>
          <w:tcPr/>
          <w:p>
            <w:pPr>
              <w:pStyle w:val="Compact"/>
            </w:pPr>
            <w:r>
              <w:t xml:space="preserve">2Q-2023</w:t>
            </w:r>
          </w:p>
        </w:tc>
        <w:tc>
          <w:tcPr/>
          <w:p>
            <w:pPr>
              <w:pStyle w:val="Compact"/>
            </w:pPr>
            <w:r>
              <w:t xml:space="preserve">14.0</w:t>
            </w:r>
          </w:p>
        </w:tc>
        <w:tc>
          <w:tcPr/>
          <w:p>
            <w:pPr>
              <w:pStyle w:val="Compact"/>
            </w:pPr>
            <w:r>
              <w:t xml:space="preserve">6.1</w:t>
            </w:r>
          </w:p>
        </w:tc>
      </w:tr>
      <w:tr>
        <w:tc>
          <w:tcPr/>
          <w:p>
            <w:pPr>
              <w:pStyle w:val="Compact"/>
            </w:pPr>
            <w:r>
              <w:t xml:space="preserve">3Q-2023</w:t>
            </w:r>
          </w:p>
        </w:tc>
        <w:tc>
          <w:tcPr/>
          <w:p>
            <w:pPr>
              <w:pStyle w:val="Compact"/>
            </w:pPr>
            <w:r>
              <w:t xml:space="preserve">12.1</w:t>
            </w:r>
          </w:p>
        </w:tc>
        <w:tc>
          <w:tcPr/>
          <w:p>
            <w:pPr>
              <w:pStyle w:val="Compact"/>
            </w:pPr>
            <w:r>
              <w:t xml:space="preserve">3.7</w:t>
            </w:r>
          </w:p>
        </w:tc>
      </w:tr>
      <w:tr>
        <w:tc>
          <w:tcPr/>
          <w:p>
            <w:pPr>
              <w:pStyle w:val="Compact"/>
            </w:pPr>
            <w:r>
              <w:t xml:space="preserve">4Q-2023</w:t>
            </w:r>
          </w:p>
        </w:tc>
        <w:tc>
          <w:tcPr/>
          <w:p>
            <w:pPr>
              <w:pStyle w:val="Compact"/>
            </w:pPr>
            <w:r>
              <w:t xml:space="preserve">13.2</w:t>
            </w:r>
          </w:p>
        </w:tc>
        <w:tc>
          <w:tcPr/>
          <w:p>
            <w:pPr>
              <w:pStyle w:val="Compact"/>
            </w:pPr>
            <w:r>
              <w:t xml:space="preserve">4.3</w:t>
            </w:r>
          </w:p>
        </w:tc>
      </w:tr>
      <w:tr>
        <w:tc>
          <w:tcPr/>
          <w:p>
            <w:pPr>
              <w:pStyle w:val="Compact"/>
            </w:pPr>
            <w:r>
              <w:t xml:space="preserve">1Q-2024</w:t>
            </w:r>
          </w:p>
        </w:tc>
        <w:tc>
          <w:tcPr/>
          <w:p>
            <w:pPr>
              <w:pStyle w:val="Compact"/>
            </w:pPr>
            <w:r>
              <w:t xml:space="preserve">11.0</w:t>
            </w:r>
          </w:p>
        </w:tc>
        <w:tc>
          <w:tcPr/>
          <w:p>
            <w:pPr>
              <w:pStyle w:val="Compact"/>
            </w:pPr>
            <w:r>
              <w:t xml:space="preserve">1.3</w:t>
            </w:r>
          </w:p>
        </w:tc>
      </w:tr>
      <w:tr>
        <w:tc>
          <w:tcPr/>
          <w:p>
            <w:pPr>
              <w:pStyle w:val="Compact"/>
            </w:pPr>
            <w:r>
              <w:t xml:space="preserve">2Q-2024</w:t>
            </w:r>
          </w:p>
        </w:tc>
        <w:tc>
          <w:tcPr/>
          <w:p>
            <w:pPr>
              <w:pStyle w:val="Compact"/>
            </w:pPr>
            <w:r>
              <w:t xml:space="preserve">11.5</w:t>
            </w:r>
          </w:p>
        </w:tc>
        <w:tc>
          <w:tcPr/>
          <w:p>
            <w:pPr>
              <w:pStyle w:val="Compact"/>
            </w:pPr>
            <w:r>
              <w:t xml:space="preserve">1.7</w:t>
            </w:r>
          </w:p>
        </w:tc>
      </w:tr>
      <w:tr>
        <w:tc>
          <w:tcPr/>
          <w:p>
            <w:pPr>
              <w:pStyle w:val="Compact"/>
            </w:pPr>
            <w:r>
              <w:t xml:space="preserve">3Q-2024</w:t>
            </w:r>
          </w:p>
        </w:tc>
        <w:tc>
          <w:tcPr/>
          <w:p>
            <w:pPr>
              <w:pStyle w:val="Compact"/>
            </w:pPr>
            <w:r>
              <w:t xml:space="preserve">14.5</w:t>
            </w:r>
          </w:p>
        </w:tc>
        <w:tc>
          <w:tcPr/>
          <w:p>
            <w:pPr>
              <w:pStyle w:val="Compact"/>
            </w:pPr>
            <w:r>
              <w:t xml:space="preserve">3.6</w:t>
            </w:r>
          </w:p>
        </w:tc>
      </w:tr>
      <w:tr>
        <w:tc>
          <w:tcPr/>
          <w:p>
            <w:pPr>
              <w:pStyle w:val="Compact"/>
            </w:pPr>
            <w:r>
              <w:t xml:space="preserve">4Q-2024</w:t>
            </w:r>
          </w:p>
        </w:tc>
        <w:tc>
          <w:tcPr/>
          <w:p>
            <w:pPr>
              <w:pStyle w:val="Compact"/>
            </w:pPr>
            <w:r>
              <w:t xml:space="preserve">14.9</w:t>
            </w:r>
          </w:p>
        </w:tc>
        <w:tc>
          <w:tcPr/>
          <w:p>
            <w:pPr>
              <w:pStyle w:val="Compact"/>
            </w:pPr>
            <w:r>
              <w:t xml:space="preserve">3.5</w:t>
            </w:r>
          </w:p>
        </w:tc>
      </w:tr>
    </w:tbl>
    <w:p>
      <w:pPr>
        <w:pStyle w:val="BodyText"/>
      </w:pPr>
      <w:r>
        <w:t xml:space="preserve">Operating Cash Flow ($B)</w:t>
      </w:r>
    </w:p>
    <w:p>
      <w:pPr>
        <w:pStyle w:val="BodyText"/>
      </w:pPr>
      <w:r>
        <w:t xml:space="preserve">Free Cash Flow ($B)</w:t>
      </w:r>
    </w:p>
    <w:p>
      <w:pPr>
        <w:pStyle w:val="BodyText"/>
      </w:pPr>
    </w:p>
    <w:p>
      <w:pPr>
        <w:pStyle w:val="BodyText"/>
      </w:pPr>
      <w:r>
        <w:t xml:space="preserve">bar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Series 1</w:t>
            </w:r>
          </w:p>
        </w:tc>
        <w:tc>
          <w:tcPr/>
          <w:p>
            <w:pPr>
              <w:pStyle w:val="Compact"/>
            </w:pPr>
            <w:r>
              <w:t xml:space="preserve">Series 2</w:t>
            </w:r>
          </w:p>
        </w:tc>
      </w:tr>
      <w:tr>
        <w:tc>
          <w:tcPr/>
          <w:p>
            <w:pPr>
              <w:pStyle w:val="Compact"/>
            </w:pPr>
            <w:r>
              <w:t xml:space="preserve">1Q-2022</w:t>
            </w:r>
          </w:p>
        </w:tc>
        <w:tc>
          <w:tcPr/>
          <w:p>
            <w:pPr>
              <w:pStyle w:val="Compact"/>
            </w:pPr>
            <w:r>
              <w:t xml:space="preserve">8.3</w:t>
            </w:r>
          </w:p>
        </w:tc>
        <w:tc>
          <w:tcPr/>
          <w:p>
            <w:pPr>
              <w:pStyle w:val="Compact"/>
            </w:pPr>
            <w:r>
              <w:t xml:space="preserve">14.8</w:t>
            </w:r>
          </w:p>
        </w:tc>
      </w:tr>
      <w:tr>
        <w:tc>
          <w:tcPr/>
          <w:p>
            <w:pPr>
              <w:pStyle w:val="Compact"/>
            </w:pPr>
            <w:r>
              <w:t xml:space="preserve">2Q-2022</w:t>
            </w:r>
          </w:p>
        </w:tc>
        <w:tc>
          <w:tcPr/>
          <w:p>
            <w:pPr>
              <w:pStyle w:val="Compact"/>
            </w:pPr>
            <w:r>
              <w:t xml:space="preserve">9.5</w:t>
            </w:r>
          </w:p>
        </w:tc>
        <w:tc>
          <w:tcPr/>
          <w:p>
            <w:pPr>
              <w:pStyle w:val="Compact"/>
            </w:pPr>
            <w:r>
              <w:t xml:space="preserve">16.1</w:t>
            </w:r>
          </w:p>
        </w:tc>
      </w:tr>
      <w:tr>
        <w:tc>
          <w:tcPr/>
          <w:p>
            <w:pPr>
              <w:pStyle w:val="Compact"/>
            </w:pPr>
            <w:r>
              <w:t xml:space="preserve">3Q-2022</w:t>
            </w:r>
          </w:p>
        </w:tc>
        <w:tc>
          <w:tcPr/>
          <w:p>
            <w:pPr>
              <w:pStyle w:val="Compact"/>
            </w:pPr>
            <w:r>
              <w:t xml:space="preserve">11.1</w:t>
            </w:r>
          </w:p>
        </w:tc>
        <w:tc>
          <w:tcPr/>
          <w:p>
            <w:pPr>
              <w:pStyle w:val="Compact"/>
            </w:pPr>
            <w:r>
              <w:t xml:space="preserve">17.9</w:t>
            </w:r>
          </w:p>
        </w:tc>
      </w:tr>
      <w:tr>
        <w:tc>
          <w:tcPr/>
          <w:p>
            <w:pPr>
              <w:pStyle w:val="Compact"/>
            </w:pPr>
            <w:r>
              <w:t xml:space="preserve">4Q-2022</w:t>
            </w:r>
          </w:p>
        </w:tc>
        <w:tc>
          <w:tcPr/>
          <w:p>
            <w:pPr>
              <w:pStyle w:val="Compact"/>
            </w:pPr>
            <w:r>
              <w:t xml:space="preserve">12.5</w:t>
            </w:r>
          </w:p>
        </w:tc>
        <w:tc>
          <w:tcPr/>
          <w:p>
            <w:pPr>
              <w:pStyle w:val="Compact"/>
            </w:pPr>
            <w:r>
              <w:t xml:space="preserve">19.2</w:t>
            </w:r>
          </w:p>
        </w:tc>
      </w:tr>
      <w:tr>
        <w:tc>
          <w:tcPr/>
          <w:p>
            <w:pPr>
              <w:pStyle w:val="Compact"/>
            </w:pPr>
            <w:r>
              <w:t xml:space="preserve">1Q-2023</w:t>
            </w:r>
          </w:p>
        </w:tc>
        <w:tc>
          <w:tcPr/>
          <w:p>
            <w:pPr>
              <w:pStyle w:val="Compact"/>
            </w:pPr>
            <w:r>
              <w:t xml:space="preserve">11.7</w:t>
            </w:r>
          </w:p>
        </w:tc>
        <w:tc>
          <w:tcPr/>
          <w:p>
            <w:pPr>
              <w:pStyle w:val="Compact"/>
            </w:pPr>
            <w:r>
              <w:t xml:space="preserve">18.4</w:t>
            </w:r>
          </w:p>
        </w:tc>
      </w:tr>
      <w:tr>
        <w:tc>
          <w:tcPr/>
          <w:p>
            <w:pPr>
              <w:pStyle w:val="Compact"/>
            </w:pPr>
            <w:r>
              <w:t xml:space="preserve">2Q-2023</w:t>
            </w:r>
          </w:p>
        </w:tc>
        <w:tc>
          <w:tcPr/>
          <w:p>
            <w:pPr>
              <w:pStyle w:val="Compact"/>
            </w:pPr>
            <w:r>
              <w:t xml:space="preserve">12.1</w:t>
            </w:r>
          </w:p>
        </w:tc>
        <w:tc>
          <w:tcPr/>
          <w:p>
            <w:pPr>
              <w:pStyle w:val="Compact"/>
            </w:pPr>
            <w:r>
              <w:t xml:space="preserve">19.3</w:t>
            </w:r>
          </w:p>
        </w:tc>
      </w:tr>
      <w:tr>
        <w:tc>
          <w:tcPr/>
          <w:p>
            <w:pPr>
              <w:pStyle w:val="Compact"/>
            </w:pPr>
            <w:r>
              <w:t xml:space="preserve">3Q-2023</w:t>
            </w:r>
          </w:p>
        </w:tc>
        <w:tc>
          <w:tcPr/>
          <w:p>
            <w:pPr>
              <w:pStyle w:val="Compact"/>
            </w:pPr>
            <w:r>
              <w:t xml:space="preserve">10.7</w:t>
            </w:r>
          </w:p>
        </w:tc>
        <w:tc>
          <w:tcPr/>
          <w:p>
            <w:pPr>
              <w:pStyle w:val="Compact"/>
            </w:pPr>
            <w:r>
              <w:t xml:space="preserve">18.1</w:t>
            </w:r>
          </w:p>
        </w:tc>
      </w:tr>
      <w:tr>
        <w:tc>
          <w:tcPr/>
          <w:p>
            <w:pPr>
              <w:pStyle w:val="Compact"/>
            </w:pPr>
            <w:r>
              <w:t xml:space="preserve">4Q-2023</w:t>
            </w:r>
          </w:p>
        </w:tc>
        <w:tc>
          <w:tcPr/>
          <w:p>
            <w:pPr>
              <w:pStyle w:val="Compact"/>
            </w:pPr>
            <w:r>
              <w:t xml:space="preserve">15.0</w:t>
            </w:r>
          </w:p>
        </w:tc>
        <w:tc>
          <w:tcPr/>
          <w:p>
            <w:pPr>
              <w:pStyle w:val="Compact"/>
            </w:pPr>
            <w:r>
              <w:t xml:space="preserve">16.6</w:t>
            </w:r>
          </w:p>
        </w:tc>
      </w:tr>
      <w:tr>
        <w:tc>
          <w:tcPr/>
          <w:p>
            <w:pPr>
              <w:pStyle w:val="Compact"/>
            </w:pPr>
            <w:r>
              <w:t xml:space="preserve">1Q-2024</w:t>
            </w:r>
          </w:p>
        </w:tc>
        <w:tc>
          <w:tcPr/>
          <w:p>
            <w:pPr>
              <w:pStyle w:val="Compact"/>
            </w:pPr>
            <w:r>
              <w:t xml:space="preserve">13.6</w:t>
            </w:r>
          </w:p>
        </w:tc>
        <w:tc>
          <w:tcPr/>
          <w:p>
            <w:pPr>
              <w:pStyle w:val="Compact"/>
            </w:pPr>
            <w:r>
              <w:t xml:space="preserve">15.7</w:t>
            </w:r>
          </w:p>
        </w:tc>
      </w:tr>
      <w:tr>
        <w:tc>
          <w:tcPr/>
          <w:p>
            <w:pPr>
              <w:pStyle w:val="Compact"/>
            </w:pPr>
            <w:r>
              <w:t xml:space="preserve">2Q-2024</w:t>
            </w:r>
          </w:p>
        </w:tc>
        <w:tc>
          <w:tcPr/>
          <w:p>
            <w:pPr>
              <w:pStyle w:val="Compact"/>
            </w:pPr>
            <w:r>
              <w:t xml:space="preserve">12.3</w:t>
            </w:r>
          </w:p>
        </w:tc>
        <w:tc>
          <w:tcPr/>
          <w:p>
            <w:pPr>
              <w:pStyle w:val="Compact"/>
            </w:pPr>
            <w:r>
              <w:t xml:space="preserve">14.8</w:t>
            </w:r>
          </w:p>
        </w:tc>
      </w:tr>
      <w:tr>
        <w:tc>
          <w:tcPr/>
          <w:p>
            <w:pPr>
              <w:pStyle w:val="Compact"/>
            </w:pPr>
            <w:r>
              <w:t xml:space="preserve">3Q-2024</w:t>
            </w:r>
          </w:p>
        </w:tc>
        <w:tc>
          <w:tcPr/>
          <w:p>
            <w:pPr>
              <w:pStyle w:val="Compact"/>
            </w:pPr>
            <w:r>
              <w:t xml:space="preserve">12.7</w:t>
            </w:r>
          </w:p>
        </w:tc>
        <w:tc>
          <w:tcPr/>
          <w:p>
            <w:pPr>
              <w:pStyle w:val="Compact"/>
            </w:pPr>
            <w:r>
              <w:t xml:space="preserve">15.6</w:t>
            </w:r>
          </w:p>
        </w:tc>
      </w:tr>
      <w:tr>
        <w:tc>
          <w:tcPr/>
          <w:p>
            <w:pPr>
              <w:pStyle w:val="Compact"/>
            </w:pPr>
            <w:r>
              <w:t xml:space="preserve">4Q-2024</w:t>
            </w:r>
          </w:p>
        </w:tc>
        <w:tc>
          <w:tcPr/>
          <w:p>
            <w:pPr>
              <w:pStyle w:val="Compact"/>
            </w:pPr>
            <w:r>
              <w:t xml:space="preserve">7.1</w:t>
            </w:r>
          </w:p>
        </w:tc>
        <w:tc>
          <w:tcPr/>
          <w:p>
            <w:pPr>
              <w:pStyle w:val="Compact"/>
            </w:pPr>
            <w:r>
              <w:t xml:space="preserve">16.6</w:t>
            </w:r>
          </w:p>
        </w:tc>
      </w:tr>
    </w:tbl>
    <w:p>
      <w:pPr>
        <w:pStyle w:val="BodyText"/>
      </w:pPr>
      <w:r>
        <w:t xml:space="preserve">Net Income ($B)</w:t>
      </w:r>
    </w:p>
    <w:p>
      <w:pPr>
        <w:pStyle w:val="BodyText"/>
      </w:pPr>
      <w:r>
        <w:t xml:space="preserve">Adjusted EBITDA ($B)</w:t>
      </w:r>
    </w:p>
    <w:bookmarkEnd w:id="40"/>
    <w:bookmarkStart w:id="41" w:name="f-i-n-a-n-c-i-a-l-s-t-a-t-e-m-e-n-t-s"/>
    <w:p>
      <w:pPr>
        <w:pStyle w:val="Heading1"/>
      </w:pPr>
      <w:r>
        <w:t xml:space="preserve">F I N A N C I A L S T A T E M E N T S</w:t>
      </w:r>
    </w:p>
    <w:p>
      <w:pPr>
        <w:pStyle w:val="FirstParagraph"/>
      </w:pPr>
      <w:r>
        <w:t xml:space="preserve">S T A T E M E N T O F O P E R A T I O N S</w:t>
      </w:r>
      <w:r>
        <w:br/>
      </w:r>
      <w:r>
        <w:t xml:space="preserve">(Unaudited)</w:t>
      </w:r>
    </w:p>
    <w:p>
      <w:pPr>
        <w:pStyle w:val="BodyText"/>
      </w:pPr>
      <w:r>
        <w:t xml:space="preserve">In millions of USD or shares as applicable, except per share data</w:t>
      </w:r>
    </w:p>
    <w:p>
      <w:pPr>
        <w:pStyle w:val="BodyText"/>
      </w:pPr>
      <w:r>
        <w:t xml:space="preserve">Q4-2023</w:t>
      </w:r>
    </w:p>
    <w:p>
      <w:pPr>
        <w:pStyle w:val="BodyText"/>
      </w:pPr>
      <w:r>
        <w:t xml:space="preserve">Q1-2024</w:t>
      </w:r>
    </w:p>
    <w:p>
      <w:pPr>
        <w:pStyle w:val="BodyText"/>
      </w:pPr>
      <w:r>
        <w:t xml:space="preserve">Q2-2024</w:t>
      </w:r>
    </w:p>
    <w:p>
      <w:pPr>
        <w:pStyle w:val="BodyText"/>
      </w:pPr>
      <w:r>
        <w:t xml:space="preserve">Q3-2024</w:t>
      </w:r>
    </w:p>
    <w:p>
      <w:pPr>
        <w:pStyle w:val="BodyText"/>
      </w:pPr>
      <w:r>
        <w:t xml:space="preserve">Q4-2024</w:t>
      </w:r>
    </w:p>
    <w:p>
      <w:pPr>
        <w:pStyle w:val="BodyText"/>
      </w:pPr>
      <w:r>
        <w:t xml:space="preserve">REVENUES</w:t>
      </w:r>
    </w:p>
    <w:p>
      <w:pPr>
        <w:pStyle w:val="BodyText"/>
      </w:pPr>
      <w:r>
        <w:t xml:space="preserve">Automotive sales</w:t>
      </w:r>
    </w:p>
    <w:p>
      <w:pPr>
        <w:pStyle w:val="BodyText"/>
      </w:pPr>
      <w:r>
        <w:t xml:space="preserve">20,630</w:t>
      </w:r>
    </w:p>
    <w:p>
      <w:pPr>
        <w:pStyle w:val="BodyText"/>
      </w:pPr>
      <w:r>
        <w:t xml:space="preserve">16,460</w:t>
      </w:r>
    </w:p>
    <w:p>
      <w:pPr>
        <w:pStyle w:val="BodyText"/>
      </w:pPr>
      <w:r>
        <w:t xml:space="preserve">18,530</w:t>
      </w:r>
    </w:p>
    <w:p>
      <w:pPr>
        <w:pStyle w:val="BodyText"/>
      </w:pPr>
      <w:r>
        <w:t xml:space="preserve">18,831</w:t>
      </w:r>
    </w:p>
    <w:p>
      <w:pPr>
        <w:pStyle w:val="BodyText"/>
      </w:pPr>
      <w:r>
        <w:t xml:space="preserve">18,659</w:t>
      </w:r>
    </w:p>
    <w:p>
      <w:pPr>
        <w:pStyle w:val="BodyText"/>
      </w:pPr>
      <w:r>
        <w:t xml:space="preserve">Automotive regulatory credits</w:t>
      </w:r>
    </w:p>
    <w:p>
      <w:pPr>
        <w:pStyle w:val="BodyText"/>
      </w:pPr>
      <w:r>
        <w:t xml:space="preserve">433</w:t>
      </w:r>
    </w:p>
    <w:p>
      <w:pPr>
        <w:pStyle w:val="BodyText"/>
      </w:pPr>
      <w:r>
        <w:t xml:space="preserve">442</w:t>
      </w:r>
    </w:p>
    <w:p>
      <w:pPr>
        <w:pStyle w:val="BodyText"/>
      </w:pPr>
      <w:r>
        <w:t xml:space="preserve">890</w:t>
      </w:r>
    </w:p>
    <w:p>
      <w:pPr>
        <w:pStyle w:val="BodyText"/>
      </w:pPr>
      <w:r>
        <w:t xml:space="preserve">739</w:t>
      </w:r>
    </w:p>
    <w:p>
      <w:pPr>
        <w:pStyle w:val="BodyText"/>
      </w:pPr>
      <w:r>
        <w:t xml:space="preserve">692</w:t>
      </w:r>
    </w:p>
    <w:p>
      <w:pPr>
        <w:pStyle w:val="BodyText"/>
      </w:pPr>
      <w:r>
        <w:t xml:space="preserve">Automotive leasing</w:t>
      </w:r>
    </w:p>
    <w:p>
      <w:pPr>
        <w:pStyle w:val="BodyText"/>
      </w:pPr>
      <w:r>
        <w:t xml:space="preserve">500</w:t>
      </w:r>
    </w:p>
    <w:p>
      <w:pPr>
        <w:pStyle w:val="BodyText"/>
      </w:pPr>
      <w:r>
        <w:t xml:space="preserve">476</w:t>
      </w:r>
    </w:p>
    <w:p>
      <w:pPr>
        <w:pStyle w:val="BodyText"/>
      </w:pPr>
      <w:r>
        <w:t xml:space="preserve">458</w:t>
      </w:r>
    </w:p>
    <w:p>
      <w:pPr>
        <w:pStyle w:val="BodyText"/>
      </w:pPr>
      <w:r>
        <w:t xml:space="preserve">446</w:t>
      </w:r>
    </w:p>
    <w:p>
      <w:pPr>
        <w:pStyle w:val="BodyText"/>
      </w:pPr>
      <w:r>
        <w:t xml:space="preserve">447</w:t>
      </w:r>
    </w:p>
    <w:p>
      <w:pPr>
        <w:pStyle w:val="BodyText"/>
      </w:pPr>
      <w:r>
        <w:t xml:space="preserve">Total automotive revenues</w:t>
      </w:r>
    </w:p>
    <w:p>
      <w:pPr>
        <w:pStyle w:val="BodyText"/>
      </w:pPr>
      <w:r>
        <w:t xml:space="preserve">21,563</w:t>
      </w:r>
    </w:p>
    <w:p>
      <w:pPr>
        <w:pStyle w:val="BodyText"/>
      </w:pPr>
      <w:r>
        <w:t xml:space="preserve">17,378</w:t>
      </w:r>
    </w:p>
    <w:p>
      <w:pPr>
        <w:pStyle w:val="BodyText"/>
      </w:pPr>
      <w:r>
        <w:t xml:space="preserve">19,878</w:t>
      </w:r>
    </w:p>
    <w:p>
      <w:pPr>
        <w:pStyle w:val="BodyText"/>
      </w:pPr>
      <w:r>
        <w:t xml:space="preserve">20,016</w:t>
      </w:r>
    </w:p>
    <w:p>
      <w:pPr>
        <w:pStyle w:val="BodyText"/>
      </w:pPr>
      <w:r>
        <w:t xml:space="preserve">19,798</w:t>
      </w:r>
    </w:p>
    <w:p>
      <w:pPr>
        <w:pStyle w:val="BodyText"/>
      </w:pPr>
      <w:r>
        <w:t xml:space="preserve">Energy generation and storage</w:t>
      </w:r>
    </w:p>
    <w:p>
      <w:pPr>
        <w:pStyle w:val="BodyText"/>
      </w:pPr>
      <w:r>
        <w:t xml:space="preserve">1,438</w:t>
      </w:r>
    </w:p>
    <w:p>
      <w:pPr>
        <w:pStyle w:val="BodyText"/>
      </w:pPr>
      <w:r>
        <w:t xml:space="preserve">1,635</w:t>
      </w:r>
    </w:p>
    <w:p>
      <w:pPr>
        <w:pStyle w:val="BodyText"/>
      </w:pPr>
      <w:r>
        <w:t xml:space="preserve">3,014</w:t>
      </w:r>
    </w:p>
    <w:p>
      <w:pPr>
        <w:pStyle w:val="BodyText"/>
      </w:pPr>
      <w:r>
        <w:t xml:space="preserve">2,376</w:t>
      </w:r>
    </w:p>
    <w:p>
      <w:pPr>
        <w:pStyle w:val="BodyText"/>
      </w:pPr>
      <w:r>
        <w:t xml:space="preserve">3,061</w:t>
      </w:r>
    </w:p>
    <w:p>
      <w:pPr>
        <w:pStyle w:val="BodyText"/>
      </w:pPr>
      <w:r>
        <w:t xml:space="preserve">Services and other</w:t>
      </w:r>
    </w:p>
    <w:p>
      <w:pPr>
        <w:pStyle w:val="BodyText"/>
      </w:pPr>
      <w:r>
        <w:t xml:space="preserve">2,166</w:t>
      </w:r>
    </w:p>
    <w:p>
      <w:pPr>
        <w:pStyle w:val="BodyText"/>
      </w:pPr>
      <w:r>
        <w:t xml:space="preserve">2,288</w:t>
      </w:r>
    </w:p>
    <w:p>
      <w:pPr>
        <w:pStyle w:val="BodyText"/>
      </w:pPr>
      <w:r>
        <w:t xml:space="preserve">2,608</w:t>
      </w:r>
    </w:p>
    <w:p>
      <w:pPr>
        <w:pStyle w:val="BodyText"/>
      </w:pPr>
      <w:r>
        <w:t xml:space="preserve">2,790</w:t>
      </w:r>
    </w:p>
    <w:p>
      <w:pPr>
        <w:pStyle w:val="BodyText"/>
      </w:pPr>
      <w:r>
        <w:t xml:space="preserve">2,848</w:t>
      </w:r>
    </w:p>
    <w:p>
      <w:pPr>
        <w:pStyle w:val="BodyText"/>
      </w:pPr>
      <w:r>
        <w:t xml:space="preserve">Total revenues</w:t>
      </w:r>
    </w:p>
    <w:p>
      <w:pPr>
        <w:pStyle w:val="BodyText"/>
      </w:pPr>
      <w:r>
        <w:t xml:space="preserve">25,167</w:t>
      </w:r>
    </w:p>
    <w:p>
      <w:pPr>
        <w:pStyle w:val="BodyText"/>
      </w:pPr>
      <w:r>
        <w:t xml:space="preserve">21,301</w:t>
      </w:r>
    </w:p>
    <w:p>
      <w:pPr>
        <w:pStyle w:val="BodyText"/>
      </w:pPr>
      <w:r>
        <w:t xml:space="preserve">25,500</w:t>
      </w:r>
    </w:p>
    <w:p>
      <w:pPr>
        <w:pStyle w:val="BodyText"/>
      </w:pPr>
      <w:r>
        <w:t xml:space="preserve">25,182</w:t>
      </w:r>
    </w:p>
    <w:p>
      <w:pPr>
        <w:pStyle w:val="BodyText"/>
      </w:pPr>
      <w:r>
        <w:t xml:space="preserve">25,707</w:t>
      </w:r>
    </w:p>
    <w:p>
      <w:pPr>
        <w:pStyle w:val="BodyText"/>
      </w:pPr>
      <w:r>
        <w:t xml:space="preserve">COST OF REVENUES</w:t>
      </w:r>
    </w:p>
    <w:p>
      <w:pPr>
        <w:pStyle w:val="BodyText"/>
      </w:pPr>
      <w:r>
        <w:t xml:space="preserve">Automotive sales</w:t>
      </w:r>
    </w:p>
    <w:p>
      <w:pPr>
        <w:pStyle w:val="BodyText"/>
      </w:pPr>
      <w:r>
        <w:t xml:space="preserve">17,202</w:t>
      </w:r>
    </w:p>
    <w:p>
      <w:pPr>
        <w:pStyle w:val="BodyText"/>
      </w:pPr>
      <w:r>
        <w:t xml:space="preserve">13,897</w:t>
      </w:r>
    </w:p>
    <w:p>
      <w:pPr>
        <w:pStyle w:val="BodyText"/>
      </w:pPr>
      <w:r>
        <w:t xml:space="preserve">15,962</w:t>
      </w:r>
    </w:p>
    <w:p>
      <w:pPr>
        <w:pStyle w:val="BodyText"/>
      </w:pPr>
      <w:r>
        <w:t xml:space="preserve">15,743</w:t>
      </w:r>
    </w:p>
    <w:p>
      <w:pPr>
        <w:pStyle w:val="BodyText"/>
      </w:pPr>
      <w:r>
        <w:t xml:space="preserve">16,268</w:t>
      </w:r>
    </w:p>
    <w:p>
      <w:pPr>
        <w:pStyle w:val="BodyText"/>
      </w:pPr>
      <w:r>
        <w:t xml:space="preserve">Automotive leasing</w:t>
      </w:r>
    </w:p>
    <w:p>
      <w:pPr>
        <w:pStyle w:val="BodyText"/>
      </w:pPr>
      <w:r>
        <w:t xml:space="preserve">296</w:t>
      </w:r>
    </w:p>
    <w:p>
      <w:pPr>
        <w:pStyle w:val="BodyText"/>
      </w:pPr>
      <w:r>
        <w:t xml:space="preserve">269</w:t>
      </w:r>
    </w:p>
    <w:p>
      <w:pPr>
        <w:pStyle w:val="BodyText"/>
      </w:pPr>
      <w:r>
        <w:t xml:space="preserve">245</w:t>
      </w:r>
    </w:p>
    <w:p>
      <w:pPr>
        <w:pStyle w:val="BodyText"/>
      </w:pPr>
      <w:r>
        <w:t xml:space="preserve">247</w:t>
      </w:r>
    </w:p>
    <w:p>
      <w:pPr>
        <w:pStyle w:val="BodyText"/>
      </w:pPr>
      <w:r>
        <w:t xml:space="preserve">242</w:t>
      </w:r>
    </w:p>
    <w:p>
      <w:pPr>
        <w:pStyle w:val="BodyText"/>
      </w:pPr>
      <w:r>
        <w:t xml:space="preserve">Total automotive cost of revenues</w:t>
      </w:r>
    </w:p>
    <w:p>
      <w:pPr>
        <w:pStyle w:val="BodyText"/>
      </w:pPr>
      <w:r>
        <w:t xml:space="preserve">17,498</w:t>
      </w:r>
    </w:p>
    <w:p>
      <w:pPr>
        <w:pStyle w:val="BodyText"/>
      </w:pPr>
      <w:r>
        <w:t xml:space="preserve">14,166</w:t>
      </w:r>
    </w:p>
    <w:p>
      <w:pPr>
        <w:pStyle w:val="BodyText"/>
      </w:pPr>
      <w:r>
        <w:t xml:space="preserve">16,207</w:t>
      </w:r>
    </w:p>
    <w:p>
      <w:pPr>
        <w:pStyle w:val="BodyText"/>
      </w:pPr>
      <w:r>
        <w:t xml:space="preserve">15,990</w:t>
      </w:r>
    </w:p>
    <w:p>
      <w:pPr>
        <w:pStyle w:val="BodyText"/>
      </w:pPr>
      <w:r>
        <w:t xml:space="preserve">16,510</w:t>
      </w:r>
    </w:p>
    <w:p>
      <w:pPr>
        <w:pStyle w:val="BodyText"/>
      </w:pPr>
      <w:r>
        <w:t xml:space="preserve">Energy generation and storage</w:t>
      </w:r>
    </w:p>
    <w:p>
      <w:pPr>
        <w:pStyle w:val="BodyText"/>
      </w:pPr>
      <w:r>
        <w:t xml:space="preserve">1,124</w:t>
      </w:r>
    </w:p>
    <w:p>
      <w:pPr>
        <w:pStyle w:val="BodyText"/>
      </w:pPr>
      <w:r>
        <w:t xml:space="preserve">1,232</w:t>
      </w:r>
    </w:p>
    <w:p>
      <w:pPr>
        <w:pStyle w:val="BodyText"/>
      </w:pPr>
      <w:r>
        <w:t xml:space="preserve">2,274</w:t>
      </w:r>
    </w:p>
    <w:p>
      <w:pPr>
        <w:pStyle w:val="BodyText"/>
      </w:pPr>
      <w:r>
        <w:t xml:space="preserve">1,651</w:t>
      </w:r>
    </w:p>
    <w:p>
      <w:pPr>
        <w:pStyle w:val="BodyText"/>
      </w:pPr>
      <w:r>
        <w:t xml:space="preserve">2,289</w:t>
      </w:r>
    </w:p>
    <w:p>
      <w:pPr>
        <w:pStyle w:val="BodyText"/>
      </w:pPr>
      <w:r>
        <w:t xml:space="preserve">Services and other</w:t>
      </w:r>
    </w:p>
    <w:p>
      <w:pPr>
        <w:pStyle w:val="BodyText"/>
      </w:pPr>
      <w:r>
        <w:t xml:space="preserve">2,107</w:t>
      </w:r>
    </w:p>
    <w:p>
      <w:pPr>
        <w:pStyle w:val="BodyText"/>
      </w:pPr>
      <w:r>
        <w:t xml:space="preserve">2,207</w:t>
      </w:r>
    </w:p>
    <w:p>
      <w:pPr>
        <w:pStyle w:val="BodyText"/>
      </w:pPr>
      <w:r>
        <w:t xml:space="preserve">2,441</w:t>
      </w:r>
    </w:p>
    <w:p>
      <w:pPr>
        <w:pStyle w:val="BodyText"/>
      </w:pPr>
      <w:r>
        <w:t xml:space="preserve">2,544</w:t>
      </w:r>
    </w:p>
    <w:p>
      <w:pPr>
        <w:pStyle w:val="BodyText"/>
      </w:pPr>
      <w:r>
        <w:t xml:space="preserve">2,729</w:t>
      </w:r>
    </w:p>
    <w:p>
      <w:pPr>
        <w:pStyle w:val="BodyText"/>
      </w:pPr>
      <w:r>
        <w:t xml:space="preserve">Total cost of revenues</w:t>
      </w:r>
    </w:p>
    <w:p>
      <w:pPr>
        <w:pStyle w:val="BodyText"/>
      </w:pPr>
      <w:r>
        <w:t xml:space="preserve">20,729</w:t>
      </w:r>
    </w:p>
    <w:p>
      <w:pPr>
        <w:pStyle w:val="BodyText"/>
      </w:pPr>
      <w:r>
        <w:t xml:space="preserve">17,605</w:t>
      </w:r>
    </w:p>
    <w:p>
      <w:pPr>
        <w:pStyle w:val="BodyText"/>
      </w:pPr>
      <w:r>
        <w:t xml:space="preserve">20,922</w:t>
      </w:r>
    </w:p>
    <w:p>
      <w:pPr>
        <w:pStyle w:val="BodyText"/>
      </w:pPr>
      <w:r>
        <w:t xml:space="preserve">20,185</w:t>
      </w:r>
    </w:p>
    <w:p>
      <w:pPr>
        <w:pStyle w:val="BodyText"/>
      </w:pPr>
      <w:r>
        <w:t xml:space="preserve">21,528</w:t>
      </w:r>
    </w:p>
    <w:p>
      <w:pPr>
        <w:pStyle w:val="BodyText"/>
      </w:pPr>
      <w:r>
        <w:t xml:space="preserve">Gross profit</w:t>
      </w:r>
    </w:p>
    <w:p>
      <w:pPr>
        <w:pStyle w:val="BodyText"/>
      </w:pPr>
      <w:r>
        <w:t xml:space="preserve">4,438</w:t>
      </w:r>
    </w:p>
    <w:p>
      <w:pPr>
        <w:pStyle w:val="BodyText"/>
      </w:pPr>
      <w:r>
        <w:t xml:space="preserve">3,696</w:t>
      </w:r>
    </w:p>
    <w:p>
      <w:pPr>
        <w:pStyle w:val="BodyText"/>
      </w:pPr>
      <w:r>
        <w:t xml:space="preserve">4,578</w:t>
      </w:r>
    </w:p>
    <w:p>
      <w:pPr>
        <w:pStyle w:val="BodyText"/>
      </w:pPr>
      <w:r>
        <w:t xml:space="preserve">4,997</w:t>
      </w:r>
    </w:p>
    <w:p>
      <w:pPr>
        <w:pStyle w:val="BodyText"/>
      </w:pPr>
      <w:r>
        <w:t xml:space="preserve">4,179</w:t>
      </w:r>
    </w:p>
    <w:p>
      <w:pPr>
        <w:pStyle w:val="BodyText"/>
      </w:pPr>
      <w:r>
        <w:t xml:space="preserve">OPERATING EXPENSES</w:t>
      </w:r>
    </w:p>
    <w:p>
      <w:pPr>
        <w:pStyle w:val="BodyText"/>
      </w:pPr>
      <w:r>
        <w:t xml:space="preserve">Research and development</w:t>
      </w:r>
    </w:p>
    <w:p>
      <w:pPr>
        <w:pStyle w:val="BodyText"/>
      </w:pPr>
      <w:r>
        <w:t xml:space="preserve">1,094</w:t>
      </w:r>
    </w:p>
    <w:p>
      <w:pPr>
        <w:pStyle w:val="BodyText"/>
      </w:pPr>
      <w:r>
        <w:t xml:space="preserve">1,151</w:t>
      </w:r>
    </w:p>
    <w:p>
      <w:pPr>
        <w:pStyle w:val="BodyText"/>
      </w:pPr>
      <w:r>
        <w:t xml:space="preserve">1,074</w:t>
      </w:r>
    </w:p>
    <w:p>
      <w:pPr>
        <w:pStyle w:val="BodyText"/>
      </w:pPr>
      <w:r>
        <w:t xml:space="preserve">1,039</w:t>
      </w:r>
    </w:p>
    <w:p>
      <w:pPr>
        <w:pStyle w:val="BodyText"/>
      </w:pPr>
      <w:r>
        <w:t xml:space="preserve">1,276</w:t>
      </w:r>
    </w:p>
    <w:p>
      <w:pPr>
        <w:pStyle w:val="BodyText"/>
      </w:pPr>
      <w:r>
        <w:t xml:space="preserve">Selling, general and administrative</w:t>
      </w:r>
    </w:p>
    <w:p>
      <w:pPr>
        <w:pStyle w:val="BodyText"/>
      </w:pPr>
      <w:r>
        <w:t xml:space="preserve">1,280</w:t>
      </w:r>
    </w:p>
    <w:p>
      <w:pPr>
        <w:pStyle w:val="BodyText"/>
      </w:pPr>
      <w:r>
        <w:t xml:space="preserve">1,374</w:t>
      </w:r>
    </w:p>
    <w:p>
      <w:pPr>
        <w:pStyle w:val="BodyText"/>
      </w:pPr>
      <w:r>
        <w:t xml:space="preserve">1,277</w:t>
      </w:r>
    </w:p>
    <w:p>
      <w:pPr>
        <w:pStyle w:val="BodyText"/>
      </w:pPr>
      <w:r>
        <w:t xml:space="preserve">1,186</w:t>
      </w:r>
    </w:p>
    <w:p>
      <w:pPr>
        <w:pStyle w:val="BodyText"/>
      </w:pPr>
      <w:r>
        <w:t xml:space="preserve">1,313</w:t>
      </w:r>
    </w:p>
    <w:p>
      <w:pPr>
        <w:pStyle w:val="BodyText"/>
      </w:pPr>
      <w:r>
        <w:t xml:space="preserve">Restructuring and other</w:t>
      </w:r>
    </w:p>
    <w:p>
      <w:pPr>
        <w:pStyle w:val="BodyText"/>
      </w:pPr>
      <w:r>
        <w:t xml:space="preserve">-</w:t>
      </w:r>
    </w:p>
    <w:p>
      <w:pPr>
        <w:pStyle w:val="BodyText"/>
      </w:pPr>
      <w:r>
        <w:t xml:space="preserve">-</w:t>
      </w:r>
    </w:p>
    <w:p>
      <w:pPr>
        <w:pStyle w:val="BodyText"/>
      </w:pPr>
      <w:r>
        <w:t xml:space="preserve">622</w:t>
      </w:r>
    </w:p>
    <w:p>
      <w:pPr>
        <w:pStyle w:val="BodyText"/>
      </w:pPr>
      <w:r>
        <w:t xml:space="preserve">55</w:t>
      </w:r>
    </w:p>
    <w:p>
      <w:pPr>
        <w:pStyle w:val="BodyText"/>
      </w:pPr>
      <w:r>
        <w:t xml:space="preserve">7</w:t>
      </w:r>
    </w:p>
    <w:p>
      <w:pPr>
        <w:pStyle w:val="BodyText"/>
      </w:pPr>
      <w:r>
        <w:t xml:space="preserve">Total operating expenses</w:t>
      </w:r>
    </w:p>
    <w:p>
      <w:pPr>
        <w:pStyle w:val="BodyText"/>
      </w:pPr>
      <w:r>
        <w:t xml:space="preserve">2,374</w:t>
      </w:r>
    </w:p>
    <w:p>
      <w:pPr>
        <w:pStyle w:val="BodyText"/>
      </w:pPr>
      <w:r>
        <w:t xml:space="preserve">2,525</w:t>
      </w:r>
    </w:p>
    <w:p>
      <w:pPr>
        <w:pStyle w:val="BodyText"/>
      </w:pPr>
      <w:r>
        <w:t xml:space="preserve">2,973</w:t>
      </w:r>
    </w:p>
    <w:p>
      <w:pPr>
        <w:pStyle w:val="BodyText"/>
      </w:pPr>
      <w:r>
        <w:t xml:space="preserve">2,280</w:t>
      </w:r>
    </w:p>
    <w:p>
      <w:pPr>
        <w:pStyle w:val="BodyText"/>
      </w:pPr>
      <w:r>
        <w:t xml:space="preserve">2,596</w:t>
      </w:r>
    </w:p>
    <w:p>
      <w:pPr>
        <w:pStyle w:val="BodyText"/>
      </w:pPr>
      <w:r>
        <w:t xml:space="preserve">INCOME FROM OPERATIONS</w:t>
      </w:r>
    </w:p>
    <w:p>
      <w:pPr>
        <w:pStyle w:val="BodyText"/>
      </w:pPr>
      <w:r>
        <w:t xml:space="preserve">2,064</w:t>
      </w:r>
    </w:p>
    <w:p>
      <w:pPr>
        <w:pStyle w:val="BodyText"/>
      </w:pPr>
      <w:r>
        <w:t xml:space="preserve">1,171</w:t>
      </w:r>
    </w:p>
    <w:p>
      <w:pPr>
        <w:pStyle w:val="BodyText"/>
      </w:pPr>
      <w:r>
        <w:t xml:space="preserve">1,605</w:t>
      </w:r>
    </w:p>
    <w:p>
      <w:pPr>
        <w:pStyle w:val="BodyText"/>
      </w:pPr>
      <w:r>
        <w:t xml:space="preserve">2,717</w:t>
      </w:r>
    </w:p>
    <w:p>
      <w:pPr>
        <w:pStyle w:val="BodyText"/>
      </w:pPr>
      <w:r>
        <w:t xml:space="preserve">1,583</w:t>
      </w:r>
    </w:p>
    <w:p>
      <w:pPr>
        <w:pStyle w:val="BodyText"/>
      </w:pPr>
      <w:r>
        <w:t xml:space="preserve">Interest income</w:t>
      </w:r>
    </w:p>
    <w:p>
      <w:pPr>
        <w:pStyle w:val="BodyText"/>
      </w:pPr>
      <w:r>
        <w:t xml:space="preserve">333</w:t>
      </w:r>
    </w:p>
    <w:p>
      <w:pPr>
        <w:pStyle w:val="BodyText"/>
      </w:pPr>
      <w:r>
        <w:t xml:space="preserve">350</w:t>
      </w:r>
    </w:p>
    <w:p>
      <w:pPr>
        <w:pStyle w:val="BodyText"/>
      </w:pPr>
      <w:r>
        <w:t xml:space="preserve">348</w:t>
      </w:r>
    </w:p>
    <w:p>
      <w:pPr>
        <w:pStyle w:val="BodyText"/>
      </w:pPr>
      <w:r>
        <w:t xml:space="preserve">429</w:t>
      </w:r>
    </w:p>
    <w:p>
      <w:pPr>
        <w:pStyle w:val="BodyText"/>
      </w:pPr>
      <w:r>
        <w:t xml:space="preserve">442</w:t>
      </w:r>
    </w:p>
    <w:p>
      <w:pPr>
        <w:pStyle w:val="BodyText"/>
      </w:pPr>
      <w:r>
        <w:t xml:space="preserve">Interest expense</w:t>
      </w:r>
    </w:p>
    <w:p>
      <w:pPr>
        <w:pStyle w:val="BodyText"/>
      </w:pPr>
      <w:r>
        <w:t xml:space="preserve">(61)</w:t>
      </w:r>
    </w:p>
    <w:p>
      <w:pPr>
        <w:pStyle w:val="BodyText"/>
      </w:pPr>
      <w:r>
        <w:t xml:space="preserve">(76)</w:t>
      </w:r>
    </w:p>
    <w:p>
      <w:pPr>
        <w:pStyle w:val="BodyText"/>
      </w:pPr>
      <w:r>
        <w:t xml:space="preserve">(86)</w:t>
      </w:r>
    </w:p>
    <w:p>
      <w:pPr>
        <w:pStyle w:val="BodyText"/>
      </w:pPr>
      <w:r>
        <w:t xml:space="preserve">(92)</w:t>
      </w:r>
    </w:p>
    <w:p>
      <w:pPr>
        <w:pStyle w:val="BodyText"/>
      </w:pPr>
      <w:r>
        <w:t xml:space="preserve">(96)</w:t>
      </w:r>
    </w:p>
    <w:p>
      <w:pPr>
        <w:pStyle w:val="BodyText"/>
      </w:pPr>
      <w:r>
        <w:t xml:space="preserve">Other (expense) income, net</w:t>
      </w:r>
    </w:p>
    <w:p>
      <w:pPr>
        <w:pStyle w:val="BodyText"/>
      </w:pPr>
      <w:r>
        <w:t xml:space="preserve">(145)</w:t>
      </w:r>
    </w:p>
    <w:p>
      <w:pPr>
        <w:pStyle w:val="BodyText"/>
      </w:pPr>
      <w:r>
        <w:t xml:space="preserve">108</w:t>
      </w:r>
    </w:p>
    <w:p>
      <w:pPr>
        <w:pStyle w:val="BodyText"/>
      </w:pPr>
      <w:r>
        <w:t xml:space="preserve">20</w:t>
      </w:r>
    </w:p>
    <w:p>
      <w:pPr>
        <w:pStyle w:val="BodyText"/>
      </w:pPr>
      <w:r>
        <w:t xml:space="preserve">(270)</w:t>
      </w:r>
    </w:p>
    <w:p>
      <w:pPr>
        <w:pStyle w:val="BodyText"/>
      </w:pPr>
      <w:r>
        <w:t xml:space="preserve">837</w:t>
      </w:r>
    </w:p>
    <w:p>
      <w:pPr>
        <w:pStyle w:val="BodyText"/>
      </w:pPr>
      <w:r>
        <w:t xml:space="preserve">INCOME BEFORE INCOME TAXES</w:t>
      </w:r>
    </w:p>
    <w:p>
      <w:pPr>
        <w:pStyle w:val="BodyText"/>
      </w:pPr>
      <w:r>
        <w:t xml:space="preserve">2,191</w:t>
      </w:r>
    </w:p>
    <w:p>
      <w:pPr>
        <w:pStyle w:val="BodyText"/>
      </w:pPr>
      <w:r>
        <w:t xml:space="preserve">1,553</w:t>
      </w:r>
    </w:p>
    <w:p>
      <w:pPr>
        <w:pStyle w:val="BodyText"/>
      </w:pPr>
      <w:r>
        <w:t xml:space="preserve">1,887</w:t>
      </w:r>
    </w:p>
    <w:p>
      <w:pPr>
        <w:pStyle w:val="BodyText"/>
      </w:pPr>
      <w:r>
        <w:t xml:space="preserve">2,784</w:t>
      </w:r>
    </w:p>
    <w:p>
      <w:pPr>
        <w:pStyle w:val="BodyText"/>
      </w:pPr>
      <w:r>
        <w:t xml:space="preserve">2,766</w:t>
      </w:r>
    </w:p>
    <w:p>
      <w:pPr>
        <w:pStyle w:val="BodyText"/>
      </w:pPr>
      <w:r>
        <w:t xml:space="preserve">(Benefit from) provision for income taxes</w:t>
      </w:r>
    </w:p>
    <w:p>
      <w:pPr>
        <w:pStyle w:val="BodyText"/>
      </w:pPr>
      <w:r>
        <w:t xml:space="preserve">(5,752)</w:t>
      </w:r>
    </w:p>
    <w:p>
      <w:pPr>
        <w:pStyle w:val="BodyText"/>
      </w:pPr>
      <w:r>
        <w:t xml:space="preserve">409</w:t>
      </w:r>
    </w:p>
    <w:p>
      <w:pPr>
        <w:pStyle w:val="BodyText"/>
      </w:pPr>
      <w:r>
        <w:t xml:space="preserve">393</w:t>
      </w:r>
    </w:p>
    <w:p>
      <w:pPr>
        <w:pStyle w:val="BodyText"/>
      </w:pPr>
      <w:r>
        <w:t xml:space="preserve">601</w:t>
      </w:r>
    </w:p>
    <w:p>
      <w:pPr>
        <w:pStyle w:val="BodyText"/>
      </w:pPr>
      <w:r>
        <w:t xml:space="preserve">434</w:t>
      </w:r>
    </w:p>
    <w:p>
      <w:pPr>
        <w:pStyle w:val="BodyText"/>
      </w:pPr>
      <w:r>
        <w:t xml:space="preserve">NET INCOME</w:t>
      </w:r>
    </w:p>
    <w:p>
      <w:pPr>
        <w:pStyle w:val="BodyText"/>
      </w:pPr>
      <w:r>
        <w:t xml:space="preserve">7,943</w:t>
      </w:r>
    </w:p>
    <w:p>
      <w:pPr>
        <w:pStyle w:val="BodyText"/>
      </w:pPr>
      <w:r>
        <w:t xml:space="preserve">1,144</w:t>
      </w:r>
    </w:p>
    <w:p>
      <w:pPr>
        <w:pStyle w:val="BodyText"/>
      </w:pPr>
      <w:r>
        <w:t xml:space="preserve">1,494</w:t>
      </w:r>
    </w:p>
    <w:p>
      <w:pPr>
        <w:pStyle w:val="BodyText"/>
      </w:pPr>
      <w:r>
        <w:t xml:space="preserve">2,183</w:t>
      </w:r>
    </w:p>
    <w:p>
      <w:pPr>
        <w:pStyle w:val="BodyText"/>
      </w:pPr>
      <w:r>
        <w:t xml:space="preserve">2,332</w:t>
      </w:r>
    </w:p>
    <w:p>
      <w:pPr>
        <w:pStyle w:val="BodyText"/>
      </w:pPr>
      <w:r>
        <w:t xml:space="preserve">Net income attributable to noncontrolling interests and redeemable noncontrolling interests in subsidiaries</w:t>
      </w:r>
    </w:p>
    <w:p>
      <w:pPr>
        <w:pStyle w:val="BodyText"/>
      </w:pPr>
      <w:r>
        <w:t xml:space="preserve">15</w:t>
      </w:r>
    </w:p>
    <w:p>
      <w:pPr>
        <w:pStyle w:val="BodyText"/>
      </w:pPr>
      <w:r>
        <w:t xml:space="preserve">15</w:t>
      </w:r>
    </w:p>
    <w:p>
      <w:pPr>
        <w:pStyle w:val="BodyText"/>
      </w:pPr>
      <w:r>
        <w:t xml:space="preserve">16</w:t>
      </w:r>
    </w:p>
    <w:p>
      <w:pPr>
        <w:pStyle w:val="BodyText"/>
      </w:pPr>
      <w:r>
        <w:t xml:space="preserve">16</w:t>
      </w:r>
    </w:p>
    <w:p>
      <w:pPr>
        <w:pStyle w:val="BodyText"/>
      </w:pPr>
      <w:r>
        <w:t xml:space="preserve">15</w:t>
      </w:r>
    </w:p>
    <w:p>
      <w:pPr>
        <w:pStyle w:val="BodyText"/>
      </w:pPr>
      <w:r>
        <w:t xml:space="preserve">NET INCOME ATTRIBUTABLE TO COMMON STOCKHOLDERS</w:t>
      </w:r>
    </w:p>
    <w:p>
      <w:pPr>
        <w:pStyle w:val="BodyText"/>
      </w:pPr>
      <w:r>
        <w:t xml:space="preserve">7,928</w:t>
      </w:r>
    </w:p>
    <w:p>
      <w:pPr>
        <w:pStyle w:val="BodyText"/>
      </w:pPr>
      <w:r>
        <w:t xml:space="preserve">1,129</w:t>
      </w:r>
    </w:p>
    <w:p>
      <w:pPr>
        <w:pStyle w:val="BodyText"/>
      </w:pPr>
      <w:r>
        <w:t xml:space="preserve">1,478</w:t>
      </w:r>
    </w:p>
    <w:p>
      <w:pPr>
        <w:pStyle w:val="BodyText"/>
      </w:pPr>
      <w:r>
        <w:t xml:space="preserve">2,167</w:t>
      </w:r>
    </w:p>
    <w:p>
      <w:pPr>
        <w:pStyle w:val="BodyText"/>
      </w:pPr>
      <w:r>
        <w:t xml:space="preserve">2,317</w:t>
      </w:r>
    </w:p>
    <w:p>
      <w:pPr>
        <w:pStyle w:val="BodyText"/>
      </w:pPr>
      <w:r>
        <w:t xml:space="preserve">Net income per share of common stock attributable to common stockholders</w:t>
      </w:r>
    </w:p>
    <w:p>
      <w:pPr>
        <w:pStyle w:val="BodyText"/>
      </w:pPr>
      <w:r>
        <w:t xml:space="preserve">Basic</w:t>
      </w:r>
    </w:p>
    <w:p>
      <w:pPr>
        <w:pStyle w:val="BodyText"/>
      </w:pPr>
      <w:r>
        <w:t xml:space="preserve">$ 2.49</w:t>
      </w:r>
    </w:p>
    <w:p>
      <w:pPr>
        <w:pStyle w:val="BodyText"/>
      </w:pPr>
      <w:r>
        <w:t xml:space="preserve">$ 0.37</w:t>
      </w:r>
    </w:p>
    <w:p>
      <w:pPr>
        <w:pStyle w:val="BodyText"/>
      </w:pPr>
      <w:r>
        <w:t xml:space="preserve">$ 0.46</w:t>
      </w:r>
    </w:p>
    <w:p>
      <w:pPr>
        <w:pStyle w:val="BodyText"/>
      </w:pPr>
      <w:r>
        <w:t xml:space="preserve">$ 0.68</w:t>
      </w:r>
    </w:p>
    <w:p>
      <w:pPr>
        <w:pStyle w:val="BodyText"/>
      </w:pPr>
      <w:r>
        <w:t xml:space="preserve">$ 0.72</w:t>
      </w:r>
    </w:p>
    <w:p>
      <w:pPr>
        <w:pStyle w:val="BodyText"/>
      </w:pPr>
      <w:r>
        <w:t xml:space="preserve">Diluted</w:t>
      </w:r>
    </w:p>
    <w:p>
      <w:pPr>
        <w:pStyle w:val="BodyText"/>
      </w:pPr>
      <w:r>
        <w:t xml:space="preserve">$ 2.27</w:t>
      </w:r>
    </w:p>
    <w:p>
      <w:pPr>
        <w:pStyle w:val="BodyText"/>
      </w:pPr>
      <w:r>
        <w:t xml:space="preserve">$ 0.34</w:t>
      </w:r>
    </w:p>
    <w:p>
      <w:pPr>
        <w:pStyle w:val="BodyText"/>
      </w:pPr>
      <w:r>
        <w:t xml:space="preserve">$ 0.42</w:t>
      </w:r>
    </w:p>
    <w:p>
      <w:pPr>
        <w:pStyle w:val="BodyText"/>
      </w:pPr>
      <w:r>
        <w:t xml:space="preserve">$ 0.62</w:t>
      </w:r>
    </w:p>
    <w:p>
      <w:pPr>
        <w:pStyle w:val="BodyText"/>
      </w:pPr>
      <w:r>
        <w:t xml:space="preserve">$ 0.66</w:t>
      </w:r>
    </w:p>
    <w:p>
      <w:pPr>
        <w:pStyle w:val="BodyText"/>
      </w:pPr>
      <w:r>
        <w:t xml:space="preserve">Weighted average shares used in computing net income per share of common stock</w:t>
      </w:r>
    </w:p>
    <w:p>
      <w:pPr>
        <w:pStyle w:val="BodyText"/>
      </w:pPr>
      <w:r>
        <w:t xml:space="preserve">Basic</w:t>
      </w:r>
    </w:p>
    <w:p>
      <w:pPr>
        <w:pStyle w:val="BodyText"/>
      </w:pPr>
      <w:r>
        <w:t xml:space="preserve">3,181</w:t>
      </w:r>
    </w:p>
    <w:p>
      <w:pPr>
        <w:pStyle w:val="BodyText"/>
      </w:pPr>
      <w:r>
        <w:t xml:space="preserve">3,186</w:t>
      </w:r>
    </w:p>
    <w:p>
      <w:pPr>
        <w:pStyle w:val="BodyText"/>
      </w:pPr>
      <w:r>
        <w:t xml:space="preserve">3,191</w:t>
      </w:r>
    </w:p>
    <w:p>
      <w:pPr>
        <w:pStyle w:val="BodyText"/>
      </w:pPr>
      <w:r>
        <w:t xml:space="preserve">3,198</w:t>
      </w:r>
    </w:p>
    <w:p>
      <w:pPr>
        <w:pStyle w:val="BodyText"/>
      </w:pPr>
      <w:r>
        <w:t xml:space="preserve">3,213</w:t>
      </w:r>
    </w:p>
    <w:p>
      <w:pPr>
        <w:pStyle w:val="BodyText"/>
      </w:pPr>
      <w:r>
        <w:t xml:space="preserve">Diluted</w:t>
      </w:r>
    </w:p>
    <w:p>
      <w:pPr>
        <w:pStyle w:val="BodyText"/>
      </w:pPr>
      <w:r>
        <w:t xml:space="preserve">3,492</w:t>
      </w:r>
    </w:p>
    <w:p>
      <w:pPr>
        <w:pStyle w:val="BodyText"/>
      </w:pPr>
      <w:r>
        <w:t xml:space="preserve">3,484</w:t>
      </w:r>
    </w:p>
    <w:p>
      <w:pPr>
        <w:pStyle w:val="BodyText"/>
      </w:pPr>
      <w:r>
        <w:t xml:space="preserve">3,481</w:t>
      </w:r>
    </w:p>
    <w:p>
      <w:pPr>
        <w:pStyle w:val="BodyText"/>
      </w:pPr>
      <w:r>
        <w:t xml:space="preserve">3,497</w:t>
      </w:r>
    </w:p>
    <w:p>
      <w:pPr>
        <w:pStyle w:val="BodyText"/>
      </w:pPr>
      <w:r>
        <w:t xml:space="preserve">3,517</w:t>
      </w:r>
    </w:p>
    <w:p>
      <w:pPr>
        <w:pStyle w:val="BodyText"/>
      </w:pPr>
      <w:r>
        <w:t xml:space="preserve">B A L A N C E S H E E T</w:t>
      </w:r>
      <w:r>
        <w:br/>
      </w:r>
      <w:r>
        <w:t xml:space="preserve">(Unaudited )</w:t>
      </w:r>
    </w:p>
    <w:p>
      <w:pPr>
        <w:pStyle w:val="BodyText"/>
      </w:pPr>
      <w:r>
        <w:t xml:space="preserve">In millions of USD</w:t>
      </w:r>
    </w:p>
    <w:p>
      <w:pPr>
        <w:pStyle w:val="BodyText"/>
      </w:pPr>
      <w:r>
        <w:t xml:space="preserve">31-Dec-23</w:t>
      </w:r>
    </w:p>
    <w:p>
      <w:pPr>
        <w:pStyle w:val="BodyText"/>
      </w:pPr>
      <w:r>
        <w:t xml:space="preserve">31-Mar-24</w:t>
      </w:r>
    </w:p>
    <w:p>
      <w:pPr>
        <w:pStyle w:val="BodyText"/>
      </w:pPr>
      <w:r>
        <w:t xml:space="preserve">30-Jun-24</w:t>
      </w:r>
    </w:p>
    <w:p>
      <w:pPr>
        <w:pStyle w:val="BodyText"/>
      </w:pPr>
      <w:r>
        <w:t xml:space="preserve">30-Sep-24</w:t>
      </w:r>
    </w:p>
    <w:p>
      <w:pPr>
        <w:pStyle w:val="BodyText"/>
      </w:pPr>
      <w:r>
        <w:t xml:space="preserve">31-Dec-24</w:t>
      </w:r>
    </w:p>
    <w:p>
      <w:pPr>
        <w:pStyle w:val="BodyText"/>
      </w:pPr>
      <w:r>
        <w:t xml:space="preserve">ASSETS</w:t>
      </w:r>
    </w:p>
    <w:p>
      <w:pPr>
        <w:pStyle w:val="BodyText"/>
      </w:pPr>
      <w:r>
        <w:t xml:space="preserve">Current assets</w:t>
      </w:r>
    </w:p>
    <w:p>
      <w:pPr>
        <w:pStyle w:val="BodyText"/>
      </w:pPr>
      <w:r>
        <w:t xml:space="preserve">Cash, cash equivalents and investments</w:t>
      </w:r>
    </w:p>
    <w:p>
      <w:pPr>
        <w:pStyle w:val="BodyText"/>
      </w:pPr>
      <w:r>
        <w:t xml:space="preserve">29,094</w:t>
      </w:r>
    </w:p>
    <w:p>
      <w:pPr>
        <w:pStyle w:val="BodyText"/>
      </w:pPr>
      <w:r>
        <w:t xml:space="preserve">26,863</w:t>
      </w:r>
    </w:p>
    <w:p>
      <w:pPr>
        <w:pStyle w:val="BodyText"/>
      </w:pPr>
      <w:r>
        <w:t xml:space="preserve">30,720</w:t>
      </w:r>
    </w:p>
    <w:p>
      <w:pPr>
        <w:pStyle w:val="BodyText"/>
      </w:pPr>
      <w:r>
        <w:t xml:space="preserve">33,648</w:t>
      </w:r>
    </w:p>
    <w:p>
      <w:pPr>
        <w:pStyle w:val="BodyText"/>
      </w:pPr>
      <w:r>
        <w:t xml:space="preserve">36,563</w:t>
      </w:r>
    </w:p>
    <w:p>
      <w:pPr>
        <w:pStyle w:val="BodyText"/>
      </w:pPr>
      <w:r>
        <w:t xml:space="preserve">Accounts receivable, net</w:t>
      </w:r>
    </w:p>
    <w:p>
      <w:pPr>
        <w:pStyle w:val="BodyText"/>
      </w:pPr>
      <w:r>
        <w:t xml:space="preserve">3,508</w:t>
      </w:r>
    </w:p>
    <w:p>
      <w:pPr>
        <w:pStyle w:val="BodyText"/>
      </w:pPr>
      <w:r>
        <w:t xml:space="preserve">3,887</w:t>
      </w:r>
    </w:p>
    <w:p>
      <w:pPr>
        <w:pStyle w:val="BodyText"/>
      </w:pPr>
      <w:r>
        <w:t xml:space="preserve">3,737</w:t>
      </w:r>
    </w:p>
    <w:p>
      <w:pPr>
        <w:pStyle w:val="BodyText"/>
      </w:pPr>
      <w:r>
        <w:t xml:space="preserve">3,313</w:t>
      </w:r>
    </w:p>
    <w:p>
      <w:pPr>
        <w:pStyle w:val="BodyText"/>
      </w:pPr>
      <w:r>
        <w:t xml:space="preserve">4,418</w:t>
      </w:r>
    </w:p>
    <w:p>
      <w:pPr>
        <w:pStyle w:val="BodyText"/>
      </w:pPr>
      <w:r>
        <w:t xml:space="preserve">Inventory</w:t>
      </w:r>
    </w:p>
    <w:p>
      <w:pPr>
        <w:pStyle w:val="BodyText"/>
      </w:pPr>
      <w:r>
        <w:t xml:space="preserve">13,626</w:t>
      </w:r>
    </w:p>
    <w:p>
      <w:pPr>
        <w:pStyle w:val="BodyText"/>
      </w:pPr>
      <w:r>
        <w:t xml:space="preserve">16,033</w:t>
      </w:r>
    </w:p>
    <w:p>
      <w:pPr>
        <w:pStyle w:val="BodyText"/>
      </w:pPr>
      <w:r>
        <w:t xml:space="preserve">14,195</w:t>
      </w:r>
    </w:p>
    <w:p>
      <w:pPr>
        <w:pStyle w:val="BodyText"/>
      </w:pPr>
      <w:r>
        <w:t xml:space="preserve">14,530</w:t>
      </w:r>
    </w:p>
    <w:p>
      <w:pPr>
        <w:pStyle w:val="BodyText"/>
      </w:pPr>
      <w:r>
        <w:t xml:space="preserve">12,017</w:t>
      </w:r>
    </w:p>
    <w:p>
      <w:pPr>
        <w:pStyle w:val="BodyText"/>
      </w:pPr>
      <w:r>
        <w:t xml:space="preserve">Prepaid expenses and other current assets</w:t>
      </w:r>
    </w:p>
    <w:p>
      <w:pPr>
        <w:pStyle w:val="BodyText"/>
      </w:pPr>
      <w:r>
        <w:t xml:space="preserve">3,388</w:t>
      </w:r>
    </w:p>
    <w:p>
      <w:pPr>
        <w:pStyle w:val="BodyText"/>
      </w:pPr>
      <w:r>
        <w:t xml:space="preserve">3,752</w:t>
      </w:r>
    </w:p>
    <w:p>
      <w:pPr>
        <w:pStyle w:val="BodyText"/>
      </w:pPr>
      <w:r>
        <w:t xml:space="preserve">4,325</w:t>
      </w:r>
    </w:p>
    <w:p>
      <w:pPr>
        <w:pStyle w:val="BodyText"/>
      </w:pPr>
      <w:r>
        <w:t xml:space="preserve">4,888</w:t>
      </w:r>
    </w:p>
    <w:p>
      <w:pPr>
        <w:pStyle w:val="BodyText"/>
      </w:pPr>
      <w:r>
        <w:t xml:space="preserve">5,362</w:t>
      </w:r>
    </w:p>
    <w:p>
      <w:pPr>
        <w:pStyle w:val="BodyText"/>
      </w:pPr>
      <w:r>
        <w:t xml:space="preserve">Total current assets</w:t>
      </w:r>
    </w:p>
    <w:p>
      <w:pPr>
        <w:pStyle w:val="BodyText"/>
      </w:pPr>
      <w:r>
        <w:t xml:space="preserve">49,616</w:t>
      </w:r>
    </w:p>
    <w:p>
      <w:pPr>
        <w:pStyle w:val="BodyText"/>
      </w:pPr>
      <w:r>
        <w:t xml:space="preserve">50,535</w:t>
      </w:r>
    </w:p>
    <w:p>
      <w:pPr>
        <w:pStyle w:val="BodyText"/>
      </w:pPr>
      <w:r>
        <w:t xml:space="preserve">52,977</w:t>
      </w:r>
    </w:p>
    <w:p>
      <w:pPr>
        <w:pStyle w:val="BodyText"/>
      </w:pPr>
      <w:r>
        <w:t xml:space="preserve">56,379</w:t>
      </w:r>
    </w:p>
    <w:p>
      <w:pPr>
        <w:pStyle w:val="BodyText"/>
      </w:pPr>
      <w:r>
        <w:t xml:space="preserve">58,360</w:t>
      </w:r>
    </w:p>
    <w:p>
      <w:pPr>
        <w:pStyle w:val="BodyText"/>
      </w:pPr>
      <w:r>
        <w:t xml:space="preserve">Operating lease vehicles, net</w:t>
      </w:r>
    </w:p>
    <w:p>
      <w:pPr>
        <w:pStyle w:val="BodyText"/>
      </w:pPr>
      <w:r>
        <w:t xml:space="preserve">5,989</w:t>
      </w:r>
    </w:p>
    <w:p>
      <w:pPr>
        <w:pStyle w:val="BodyText"/>
      </w:pPr>
      <w:r>
        <w:t xml:space="preserve">5,736</w:t>
      </w:r>
    </w:p>
    <w:p>
      <w:pPr>
        <w:pStyle w:val="BodyText"/>
      </w:pPr>
      <w:r>
        <w:t xml:space="preserve">5,541</w:t>
      </w:r>
    </w:p>
    <w:p>
      <w:pPr>
        <w:pStyle w:val="BodyText"/>
      </w:pPr>
      <w:r>
        <w:t xml:space="preserve">5,380</w:t>
      </w:r>
    </w:p>
    <w:p>
      <w:pPr>
        <w:pStyle w:val="BodyText"/>
      </w:pPr>
      <w:r>
        <w:t xml:space="preserve">5,581</w:t>
      </w:r>
    </w:p>
    <w:p>
      <w:pPr>
        <w:pStyle w:val="BodyText"/>
      </w:pPr>
      <w:r>
        <w:t xml:space="preserve">Solar energy systems, net</w:t>
      </w:r>
    </w:p>
    <w:p>
      <w:pPr>
        <w:pStyle w:val="BodyText"/>
      </w:pPr>
      <w:r>
        <w:t xml:space="preserve">5,229</w:t>
      </w:r>
    </w:p>
    <w:p>
      <w:pPr>
        <w:pStyle w:val="BodyText"/>
      </w:pPr>
      <w:r>
        <w:t xml:space="preserve">5,162</w:t>
      </w:r>
    </w:p>
    <w:p>
      <w:pPr>
        <w:pStyle w:val="BodyText"/>
      </w:pPr>
      <w:r>
        <w:t xml:space="preserve">5,102</w:t>
      </w:r>
    </w:p>
    <w:p>
      <w:pPr>
        <w:pStyle w:val="BodyText"/>
      </w:pPr>
      <w:r>
        <w:t xml:space="preserve">5,040</w:t>
      </w:r>
    </w:p>
    <w:p>
      <w:pPr>
        <w:pStyle w:val="BodyText"/>
      </w:pPr>
      <w:r>
        <w:t xml:space="preserve">4,924</w:t>
      </w:r>
    </w:p>
    <w:p>
      <w:pPr>
        <w:pStyle w:val="BodyText"/>
      </w:pPr>
      <w:r>
        <w:t xml:space="preserve">Property, plant and equipment, net</w:t>
      </w:r>
    </w:p>
    <w:p>
      <w:pPr>
        <w:pStyle w:val="BodyText"/>
      </w:pPr>
      <w:r>
        <w:t xml:space="preserve">29,725</w:t>
      </w:r>
    </w:p>
    <w:p>
      <w:pPr>
        <w:pStyle w:val="BodyText"/>
      </w:pPr>
      <w:r>
        <w:t xml:space="preserve">31,436</w:t>
      </w:r>
    </w:p>
    <w:p>
      <w:pPr>
        <w:pStyle w:val="BodyText"/>
      </w:pPr>
      <w:r>
        <w:t xml:space="preserve">32,902</w:t>
      </w:r>
    </w:p>
    <w:p>
      <w:pPr>
        <w:pStyle w:val="BodyText"/>
      </w:pPr>
      <w:r>
        <w:t xml:space="preserve">36,116</w:t>
      </w:r>
    </w:p>
    <w:p>
      <w:pPr>
        <w:pStyle w:val="BodyText"/>
      </w:pPr>
      <w:r>
        <w:t xml:space="preserve">35,836</w:t>
      </w:r>
    </w:p>
    <w:p>
      <w:pPr>
        <w:pStyle w:val="BodyText"/>
      </w:pPr>
      <w:r>
        <w:t xml:space="preserve">Operating lease right-of-use assets</w:t>
      </w:r>
    </w:p>
    <w:p>
      <w:pPr>
        <w:pStyle w:val="BodyText"/>
      </w:pPr>
      <w:r>
        <w:t xml:space="preserve">4,180</w:t>
      </w:r>
    </w:p>
    <w:p>
      <w:pPr>
        <w:pStyle w:val="BodyText"/>
      </w:pPr>
      <w:r>
        <w:t xml:space="preserve">4,367</w:t>
      </w:r>
    </w:p>
    <w:p>
      <w:pPr>
        <w:pStyle w:val="BodyText"/>
      </w:pPr>
      <w:r>
        <w:t xml:space="preserve">4,563</w:t>
      </w:r>
    </w:p>
    <w:p>
      <w:pPr>
        <w:pStyle w:val="BodyText"/>
      </w:pPr>
      <w:r>
        <w:t xml:space="preserve">4,867</w:t>
      </w:r>
    </w:p>
    <w:p>
      <w:pPr>
        <w:pStyle w:val="BodyText"/>
      </w:pPr>
      <w:r>
        <w:t xml:space="preserve">5,160</w:t>
      </w:r>
    </w:p>
    <w:p>
      <w:pPr>
        <w:pStyle w:val="BodyText"/>
      </w:pPr>
      <w:r>
        <w:t xml:space="preserve">Digital assets, net</w:t>
      </w:r>
    </w:p>
    <w:p>
      <w:pPr>
        <w:pStyle w:val="BodyText"/>
      </w:pPr>
      <w:r>
        <w:t xml:space="preserve">184</w:t>
      </w:r>
    </w:p>
    <w:p>
      <w:pPr>
        <w:pStyle w:val="BodyText"/>
      </w:pPr>
      <w:r>
        <w:t xml:space="preserve">184</w:t>
      </w:r>
    </w:p>
    <w:p>
      <w:pPr>
        <w:pStyle w:val="BodyText"/>
      </w:pPr>
      <w:r>
        <w:t xml:space="preserve">184</w:t>
      </w:r>
    </w:p>
    <w:p>
      <w:pPr>
        <w:pStyle w:val="BodyText"/>
      </w:pPr>
      <w:r>
        <w:t xml:space="preserve">184</w:t>
      </w:r>
    </w:p>
    <w:p>
      <w:pPr>
        <w:pStyle w:val="BodyText"/>
      </w:pPr>
      <w:r>
        <w:t xml:space="preserve">1,076</w:t>
      </w:r>
    </w:p>
    <w:p>
      <w:pPr>
        <w:pStyle w:val="BodyText"/>
      </w:pPr>
      <w:r>
        <w:t xml:space="preserve">Goodwill and intangible assets, net</w:t>
      </w:r>
    </w:p>
    <w:p>
      <w:pPr>
        <w:pStyle w:val="BodyText"/>
      </w:pPr>
      <w:r>
        <w:t xml:space="preserve">431</w:t>
      </w:r>
    </w:p>
    <w:p>
      <w:pPr>
        <w:pStyle w:val="BodyText"/>
      </w:pPr>
      <w:r>
        <w:t xml:space="preserve">421</w:t>
      </w:r>
    </w:p>
    <w:p>
      <w:pPr>
        <w:pStyle w:val="BodyText"/>
      </w:pPr>
      <w:r>
        <w:t xml:space="preserve">413</w:t>
      </w:r>
    </w:p>
    <w:p>
      <w:pPr>
        <w:pStyle w:val="BodyText"/>
      </w:pPr>
      <w:r>
        <w:t xml:space="preserve">411</w:t>
      </w:r>
    </w:p>
    <w:p>
      <w:pPr>
        <w:pStyle w:val="BodyText"/>
      </w:pPr>
      <w:r>
        <w:t xml:space="preserve">394</w:t>
      </w:r>
    </w:p>
    <w:p>
      <w:pPr>
        <w:pStyle w:val="BodyText"/>
      </w:pPr>
      <w:r>
        <w:t xml:space="preserve">Deferred tax assets</w:t>
      </w:r>
    </w:p>
    <w:p>
      <w:pPr>
        <w:pStyle w:val="BodyText"/>
      </w:pPr>
      <w:r>
        <w:t xml:space="preserve">6,733</w:t>
      </w:r>
    </w:p>
    <w:p>
      <w:pPr>
        <w:pStyle w:val="BodyText"/>
      </w:pPr>
      <w:r>
        <w:t xml:space="preserve">6,769</w:t>
      </w:r>
    </w:p>
    <w:p>
      <w:pPr>
        <w:pStyle w:val="BodyText"/>
      </w:pPr>
      <w:r>
        <w:t xml:space="preserve">6,692</w:t>
      </w:r>
    </w:p>
    <w:p>
      <w:pPr>
        <w:pStyle w:val="BodyText"/>
      </w:pPr>
      <w:r>
        <w:t xml:space="preserve">6,486</w:t>
      </w:r>
    </w:p>
    <w:p>
      <w:pPr>
        <w:pStyle w:val="BodyText"/>
      </w:pPr>
      <w:r>
        <w:t xml:space="preserve">6,524</w:t>
      </w:r>
    </w:p>
    <w:p>
      <w:pPr>
        <w:pStyle w:val="BodyText"/>
      </w:pPr>
      <w:r>
        <w:t xml:space="preserve">Other non-current assets</w:t>
      </w:r>
    </w:p>
    <w:p>
      <w:pPr>
        <w:pStyle w:val="BodyText"/>
      </w:pPr>
      <w:r>
        <w:t xml:space="preserve">4,531</w:t>
      </w:r>
    </w:p>
    <w:p>
      <w:pPr>
        <w:pStyle w:val="BodyText"/>
      </w:pPr>
      <w:r>
        <w:t xml:space="preserve">4,616</w:t>
      </w:r>
    </w:p>
    <w:p>
      <w:pPr>
        <w:pStyle w:val="BodyText"/>
      </w:pPr>
      <w:r>
        <w:t xml:space="preserve">4,458</w:t>
      </w:r>
    </w:p>
    <w:p>
      <w:pPr>
        <w:pStyle w:val="BodyText"/>
      </w:pPr>
      <w:r>
        <w:t xml:space="preserve">4,989</w:t>
      </w:r>
    </w:p>
    <w:p>
      <w:pPr>
        <w:pStyle w:val="BodyText"/>
      </w:pPr>
      <w:r>
        <w:t xml:space="preserve">4,215</w:t>
      </w:r>
    </w:p>
    <w:p>
      <w:pPr>
        <w:pStyle w:val="BodyText"/>
      </w:pPr>
      <w:r>
        <w:t xml:space="preserve">Total assets</w:t>
      </w:r>
    </w:p>
    <w:p>
      <w:pPr>
        <w:pStyle w:val="BodyText"/>
      </w:pPr>
      <w:r>
        <w:t xml:space="preserve">106,618</w:t>
      </w:r>
    </w:p>
    <w:p>
      <w:pPr>
        <w:pStyle w:val="BodyText"/>
      </w:pPr>
      <w:r>
        <w:t xml:space="preserve">109,226</w:t>
      </w:r>
    </w:p>
    <w:p>
      <w:pPr>
        <w:pStyle w:val="BodyText"/>
      </w:pPr>
      <w:r>
        <w:t xml:space="preserve">112,832</w:t>
      </w:r>
    </w:p>
    <w:p>
      <w:pPr>
        <w:pStyle w:val="BodyText"/>
      </w:pPr>
      <w:r>
        <w:t xml:space="preserve">119,852</w:t>
      </w:r>
    </w:p>
    <w:p>
      <w:pPr>
        <w:pStyle w:val="BodyText"/>
      </w:pPr>
      <w:r>
        <w:t xml:space="preserve">122,070</w:t>
      </w:r>
    </w:p>
    <w:p>
      <w:pPr>
        <w:pStyle w:val="BodyText"/>
      </w:pPr>
      <w:r>
        <w:t xml:space="preserve">LIABILITIES AND EQUITY</w:t>
      </w:r>
    </w:p>
    <w:p>
      <w:pPr>
        <w:pStyle w:val="BodyText"/>
      </w:pPr>
      <w:r>
        <w:t xml:space="preserve">Current liabilities</w:t>
      </w:r>
    </w:p>
    <w:p>
      <w:pPr>
        <w:pStyle w:val="BodyText"/>
      </w:pPr>
      <w:r>
        <w:t xml:space="preserve">Accounts payable</w:t>
      </w:r>
    </w:p>
    <w:p>
      <w:pPr>
        <w:pStyle w:val="BodyText"/>
      </w:pPr>
      <w:r>
        <w:t xml:space="preserve">14,431</w:t>
      </w:r>
    </w:p>
    <w:p>
      <w:pPr>
        <w:pStyle w:val="BodyText"/>
      </w:pPr>
      <w:r>
        <w:t xml:space="preserve">14,725</w:t>
      </w:r>
    </w:p>
    <w:p>
      <w:pPr>
        <w:pStyle w:val="BodyText"/>
      </w:pPr>
      <w:r>
        <w:t xml:space="preserve">13,056</w:t>
      </w:r>
    </w:p>
    <w:p>
      <w:pPr>
        <w:pStyle w:val="BodyText"/>
      </w:pPr>
      <w:r>
        <w:t xml:space="preserve">14,654</w:t>
      </w:r>
    </w:p>
    <w:p>
      <w:pPr>
        <w:pStyle w:val="BodyText"/>
      </w:pPr>
      <w:r>
        <w:t xml:space="preserve">12,474</w:t>
      </w:r>
    </w:p>
    <w:p>
      <w:pPr>
        <w:pStyle w:val="BodyText"/>
      </w:pPr>
      <w:r>
        <w:t xml:space="preserve">Accrued liabilities and other</w:t>
      </w:r>
    </w:p>
    <w:p>
      <w:pPr>
        <w:pStyle w:val="BodyText"/>
      </w:pPr>
      <w:r>
        <w:t xml:space="preserve">9,080</w:t>
      </w:r>
    </w:p>
    <w:p>
      <w:pPr>
        <w:pStyle w:val="BodyText"/>
      </w:pPr>
      <w:r>
        <w:t xml:space="preserve">9,243</w:t>
      </w:r>
    </w:p>
    <w:p>
      <w:pPr>
        <w:pStyle w:val="BodyText"/>
      </w:pPr>
      <w:r>
        <w:t xml:space="preserve">9,616</w:t>
      </w:r>
    </w:p>
    <w:p>
      <w:pPr>
        <w:pStyle w:val="BodyText"/>
      </w:pPr>
      <w:r>
        <w:t xml:space="preserve">10,601</w:t>
      </w:r>
    </w:p>
    <w:p>
      <w:pPr>
        <w:pStyle w:val="BodyText"/>
      </w:pPr>
      <w:r>
        <w:t xml:space="preserve">10,723</w:t>
      </w:r>
    </w:p>
    <w:p>
      <w:pPr>
        <w:pStyle w:val="BodyText"/>
      </w:pPr>
      <w:r>
        <w:t xml:space="preserve">Deferred revenue</w:t>
      </w:r>
    </w:p>
    <w:p>
      <w:pPr>
        <w:pStyle w:val="BodyText"/>
      </w:pPr>
      <w:r>
        <w:t xml:space="preserve">2,864</w:t>
      </w:r>
    </w:p>
    <w:p>
      <w:pPr>
        <w:pStyle w:val="BodyText"/>
      </w:pPr>
      <w:r>
        <w:t xml:space="preserve">3,024</w:t>
      </w:r>
    </w:p>
    <w:p>
      <w:pPr>
        <w:pStyle w:val="BodyText"/>
      </w:pPr>
      <w:r>
        <w:t xml:space="preserve">2,793</w:t>
      </w:r>
    </w:p>
    <w:p>
      <w:pPr>
        <w:pStyle w:val="BodyText"/>
      </w:pPr>
      <w:r>
        <w:t xml:space="preserve">3,031</w:t>
      </w:r>
    </w:p>
    <w:p>
      <w:pPr>
        <w:pStyle w:val="BodyText"/>
      </w:pPr>
      <w:r>
        <w:t xml:space="preserve">3,168</w:t>
      </w:r>
    </w:p>
    <w:p>
      <w:pPr>
        <w:pStyle w:val="BodyText"/>
      </w:pPr>
      <w:r>
        <w:t xml:space="preserve">Current portion of debt and finance leases (1)</w:t>
      </w:r>
    </w:p>
    <w:p>
      <w:pPr>
        <w:pStyle w:val="BodyText"/>
      </w:pPr>
      <w:r>
        <w:t xml:space="preserve">2,373</w:t>
      </w:r>
    </w:p>
    <w:p>
      <w:pPr>
        <w:pStyle w:val="BodyText"/>
      </w:pPr>
      <w:r>
        <w:t xml:space="preserve">2,461</w:t>
      </w:r>
    </w:p>
    <w:p>
      <w:pPr>
        <w:pStyle w:val="BodyText"/>
      </w:pPr>
      <w:r>
        <w:t xml:space="preserve">2,264</w:t>
      </w:r>
    </w:p>
    <w:p>
      <w:pPr>
        <w:pStyle w:val="BodyText"/>
      </w:pPr>
      <w:r>
        <w:t xml:space="preserve">2,291</w:t>
      </w:r>
    </w:p>
    <w:p>
      <w:pPr>
        <w:pStyle w:val="BodyText"/>
      </w:pPr>
      <w:r>
        <w:t xml:space="preserve">2,456</w:t>
      </w:r>
    </w:p>
    <w:p>
      <w:pPr>
        <w:pStyle w:val="BodyText"/>
      </w:pPr>
      <w:r>
        <w:t xml:space="preserve">Total current liabilities</w:t>
      </w:r>
    </w:p>
    <w:p>
      <w:pPr>
        <w:pStyle w:val="BodyText"/>
      </w:pPr>
      <w:r>
        <w:t xml:space="preserve">28,748</w:t>
      </w:r>
    </w:p>
    <w:p>
      <w:pPr>
        <w:pStyle w:val="BodyText"/>
      </w:pPr>
      <w:r>
        <w:t xml:space="preserve">29,453</w:t>
      </w:r>
    </w:p>
    <w:p>
      <w:pPr>
        <w:pStyle w:val="BodyText"/>
      </w:pPr>
      <w:r>
        <w:t xml:space="preserve">27,729</w:t>
      </w:r>
    </w:p>
    <w:p>
      <w:pPr>
        <w:pStyle w:val="BodyText"/>
      </w:pPr>
      <w:r>
        <w:t xml:space="preserve">30,577</w:t>
      </w:r>
    </w:p>
    <w:p>
      <w:pPr>
        <w:pStyle w:val="BodyText"/>
      </w:pPr>
      <w:r>
        <w:t xml:space="preserve">28,821</w:t>
      </w:r>
    </w:p>
    <w:p>
      <w:pPr>
        <w:pStyle w:val="BodyText"/>
      </w:pPr>
      <w:r>
        <w:t xml:space="preserve">Debt and finance leases, net of current portion (1)</w:t>
      </w:r>
    </w:p>
    <w:p>
      <w:pPr>
        <w:pStyle w:val="BodyText"/>
      </w:pPr>
      <w:r>
        <w:t xml:space="preserve">2,857</w:t>
      </w:r>
    </w:p>
    <w:p>
      <w:pPr>
        <w:pStyle w:val="BodyText"/>
      </w:pPr>
      <w:r>
        <w:t xml:space="preserve">2,899</w:t>
      </w:r>
    </w:p>
    <w:p>
      <w:pPr>
        <w:pStyle w:val="BodyText"/>
      </w:pPr>
      <w:r>
        <w:t xml:space="preserve">5,481</w:t>
      </w:r>
    </w:p>
    <w:p>
      <w:pPr>
        <w:pStyle w:val="BodyText"/>
      </w:pPr>
      <w:r>
        <w:t xml:space="preserve">5,405</w:t>
      </w:r>
    </w:p>
    <w:p>
      <w:pPr>
        <w:pStyle w:val="BodyText"/>
      </w:pPr>
      <w:r>
        <w:t xml:space="preserve">5,757</w:t>
      </w:r>
    </w:p>
    <w:p>
      <w:pPr>
        <w:pStyle w:val="BodyText"/>
      </w:pPr>
      <w:r>
        <w:t xml:space="preserve">Deferred revenue, net of current portion</w:t>
      </w:r>
    </w:p>
    <w:p>
      <w:pPr>
        <w:pStyle w:val="BodyText"/>
      </w:pPr>
      <w:r>
        <w:t xml:space="preserve">3,251</w:t>
      </w:r>
    </w:p>
    <w:p>
      <w:pPr>
        <w:pStyle w:val="BodyText"/>
      </w:pPr>
      <w:r>
        <w:t xml:space="preserve">3,214</w:t>
      </w:r>
    </w:p>
    <w:p>
      <w:pPr>
        <w:pStyle w:val="BodyText"/>
      </w:pPr>
      <w:r>
        <w:t xml:space="preserve">3,357</w:t>
      </w:r>
    </w:p>
    <w:p>
      <w:pPr>
        <w:pStyle w:val="BodyText"/>
      </w:pPr>
      <w:r>
        <w:t xml:space="preserve">3,350</w:t>
      </w:r>
    </w:p>
    <w:p>
      <w:pPr>
        <w:pStyle w:val="BodyText"/>
      </w:pPr>
      <w:r>
        <w:t xml:space="preserve">3,317</w:t>
      </w:r>
    </w:p>
    <w:p>
      <w:pPr>
        <w:pStyle w:val="BodyText"/>
      </w:pPr>
      <w:r>
        <w:t xml:space="preserve">Other long-term liabilities</w:t>
      </w:r>
    </w:p>
    <w:p>
      <w:pPr>
        <w:pStyle w:val="BodyText"/>
      </w:pPr>
      <w:r>
        <w:t xml:space="preserve">8,153</w:t>
      </w:r>
    </w:p>
    <w:p>
      <w:pPr>
        <w:pStyle w:val="BodyText"/>
      </w:pPr>
      <w:r>
        <w:t xml:space="preserve">8,480</w:t>
      </w:r>
    </w:p>
    <w:p>
      <w:pPr>
        <w:pStyle w:val="BodyText"/>
      </w:pPr>
      <w:r>
        <w:t xml:space="preserve">9,002</w:t>
      </w:r>
    </w:p>
    <w:p>
      <w:pPr>
        <w:pStyle w:val="BodyText"/>
      </w:pPr>
      <w:r>
        <w:t xml:space="preserve">9,810</w:t>
      </w:r>
    </w:p>
    <w:p>
      <w:pPr>
        <w:pStyle w:val="BodyText"/>
      </w:pPr>
      <w:r>
        <w:t xml:space="preserve">10,495</w:t>
      </w:r>
    </w:p>
    <w:p>
      <w:pPr>
        <w:pStyle w:val="BodyText"/>
      </w:pPr>
      <w:r>
        <w:t xml:space="preserve">Total liabilities</w:t>
      </w:r>
    </w:p>
    <w:p>
      <w:pPr>
        <w:pStyle w:val="BodyText"/>
      </w:pPr>
      <w:r>
        <w:t xml:space="preserve">43,009</w:t>
      </w:r>
    </w:p>
    <w:p>
      <w:pPr>
        <w:pStyle w:val="BodyText"/>
      </w:pPr>
      <w:r>
        <w:t xml:space="preserve">44,046</w:t>
      </w:r>
    </w:p>
    <w:p>
      <w:pPr>
        <w:pStyle w:val="BodyText"/>
      </w:pPr>
      <w:r>
        <w:t xml:space="preserve">45,569</w:t>
      </w:r>
    </w:p>
    <w:p>
      <w:pPr>
        <w:pStyle w:val="BodyText"/>
      </w:pPr>
      <w:r>
        <w:t xml:space="preserve">49,142</w:t>
      </w:r>
    </w:p>
    <w:p>
      <w:pPr>
        <w:pStyle w:val="BodyText"/>
      </w:pPr>
      <w:r>
        <w:t xml:space="preserve">48,390</w:t>
      </w:r>
    </w:p>
    <w:p>
      <w:pPr>
        <w:pStyle w:val="BodyText"/>
      </w:pPr>
      <w:r>
        <w:t xml:space="preserve">Redeemable noncontrolling interests in subsidiaries</w:t>
      </w:r>
    </w:p>
    <w:p>
      <w:pPr>
        <w:pStyle w:val="BodyText"/>
      </w:pPr>
      <w:r>
        <w:t xml:space="preserve">242</w:t>
      </w:r>
    </w:p>
    <w:p>
      <w:pPr>
        <w:pStyle w:val="BodyText"/>
      </w:pPr>
      <w:r>
        <w:t xml:space="preserve">73</w:t>
      </w:r>
    </w:p>
    <w:p>
      <w:pPr>
        <w:pStyle w:val="BodyText"/>
      </w:pPr>
      <w:r>
        <w:t xml:space="preserve">72</w:t>
      </w:r>
    </w:p>
    <w:p>
      <w:pPr>
        <w:pStyle w:val="BodyText"/>
      </w:pPr>
      <w:r>
        <w:t xml:space="preserve">70</w:t>
      </w:r>
    </w:p>
    <w:p>
      <w:pPr>
        <w:pStyle w:val="BodyText"/>
      </w:pPr>
      <w:r>
        <w:t xml:space="preserve">63</w:t>
      </w:r>
    </w:p>
    <w:p>
      <w:pPr>
        <w:pStyle w:val="BodyText"/>
      </w:pPr>
      <w:r>
        <w:t xml:space="preserve">Total stockholders' equity</w:t>
      </w:r>
    </w:p>
    <w:p>
      <w:pPr>
        <w:pStyle w:val="BodyText"/>
      </w:pPr>
      <w:r>
        <w:t xml:space="preserve">62,634</w:t>
      </w:r>
    </w:p>
    <w:p>
      <w:pPr>
        <w:pStyle w:val="BodyText"/>
      </w:pPr>
      <w:r>
        <w:t xml:space="preserve">64,378</w:t>
      </w:r>
    </w:p>
    <w:p>
      <w:pPr>
        <w:pStyle w:val="BodyText"/>
      </w:pPr>
      <w:r>
        <w:t xml:space="preserve">66,468</w:t>
      </w:r>
    </w:p>
    <w:p>
      <w:pPr>
        <w:pStyle w:val="BodyText"/>
      </w:pPr>
      <w:r>
        <w:t xml:space="preserve">69,931</w:t>
      </w:r>
    </w:p>
    <w:p>
      <w:pPr>
        <w:pStyle w:val="BodyText"/>
      </w:pPr>
      <w:r>
        <w:t xml:space="preserve">72,913</w:t>
      </w:r>
    </w:p>
    <w:p>
      <w:pPr>
        <w:pStyle w:val="BodyText"/>
      </w:pPr>
      <w:r>
        <w:t xml:space="preserve">Noncontrolling interests in subsidiaries</w:t>
      </w:r>
    </w:p>
    <w:p>
      <w:pPr>
        <w:pStyle w:val="BodyText"/>
      </w:pPr>
      <w:r>
        <w:t xml:space="preserve">733</w:t>
      </w:r>
    </w:p>
    <w:p>
      <w:pPr>
        <w:pStyle w:val="BodyText"/>
      </w:pPr>
      <w:r>
        <w:t xml:space="preserve">729</w:t>
      </w:r>
    </w:p>
    <w:p>
      <w:pPr>
        <w:pStyle w:val="BodyText"/>
      </w:pPr>
      <w:r>
        <w:t xml:space="preserve">723</w:t>
      </w:r>
    </w:p>
    <w:p>
      <w:pPr>
        <w:pStyle w:val="BodyText"/>
      </w:pPr>
      <w:r>
        <w:t xml:space="preserve">709</w:t>
      </w:r>
    </w:p>
    <w:p>
      <w:pPr>
        <w:pStyle w:val="BodyText"/>
      </w:pPr>
      <w:r>
        <w:t xml:space="preserve">704</w:t>
      </w:r>
    </w:p>
    <w:p>
      <w:pPr>
        <w:pStyle w:val="BodyText"/>
      </w:pPr>
      <w:r>
        <w:t xml:space="preserve">Total liabilities and equity</w:t>
      </w:r>
    </w:p>
    <w:p>
      <w:pPr>
        <w:pStyle w:val="BodyText"/>
      </w:pPr>
      <w:r>
        <w:t xml:space="preserve">106,618</w:t>
      </w:r>
    </w:p>
    <w:p>
      <w:pPr>
        <w:pStyle w:val="BodyText"/>
      </w:pPr>
      <w:r>
        <w:t xml:space="preserve">109,226</w:t>
      </w:r>
    </w:p>
    <w:p>
      <w:pPr>
        <w:pStyle w:val="BodyText"/>
      </w:pPr>
      <w:r>
        <w:t xml:space="preserve">112,832</w:t>
      </w:r>
    </w:p>
    <w:p>
      <w:pPr>
        <w:pStyle w:val="BodyText"/>
      </w:pPr>
      <w:r>
        <w:t xml:space="preserve">119,852</w:t>
      </w:r>
    </w:p>
    <w:p>
      <w:pPr>
        <w:pStyle w:val="BodyText"/>
      </w:pPr>
      <w:r>
        <w:t xml:space="preserve">122,070</w:t>
      </w:r>
    </w:p>
    <w:p>
      <w:pPr>
        <w:pStyle w:val="Compact"/>
        <w:numPr>
          <w:ilvl w:val="0"/>
          <w:numId w:val="1003"/>
        </w:numPr>
      </w:pPr>
      <w:r>
        <w:t xml:space="preserve">Breakdown of our debt is as follows:</w:t>
      </w:r>
    </w:p>
    <w:p>
      <w:pPr>
        <w:pStyle w:val="Compact"/>
        <w:numPr>
          <w:ilvl w:val="0"/>
          <w:numId w:val="1000"/>
        </w:numPr>
      </w:pPr>
      <w:r>
        <w:t xml:space="preserve">Non-recourse debt</w:t>
      </w:r>
    </w:p>
    <w:p>
      <w:pPr>
        <w:pStyle w:val="Compact"/>
        <w:numPr>
          <w:ilvl w:val="0"/>
          <w:numId w:val="1000"/>
        </w:numPr>
      </w:pPr>
      <w:r>
        <w:t xml:space="preserve">4,613</w:t>
      </w:r>
    </w:p>
    <w:p>
      <w:pPr>
        <w:pStyle w:val="Compact"/>
        <w:numPr>
          <w:ilvl w:val="0"/>
          <w:numId w:val="1000"/>
        </w:numPr>
      </w:pPr>
      <w:r>
        <w:t xml:space="preserve">4,820</w:t>
      </w:r>
    </w:p>
    <w:p>
      <w:pPr>
        <w:pStyle w:val="Compact"/>
        <w:numPr>
          <w:ilvl w:val="0"/>
          <w:numId w:val="1000"/>
        </w:numPr>
      </w:pPr>
      <w:r>
        <w:t xml:space="preserve">7,355</w:t>
      </w:r>
    </w:p>
    <w:p>
      <w:pPr>
        <w:pStyle w:val="Compact"/>
        <w:numPr>
          <w:ilvl w:val="0"/>
          <w:numId w:val="1000"/>
        </w:numPr>
      </w:pPr>
      <w:r>
        <w:t xml:space="preserve">7,379</w:t>
      </w:r>
    </w:p>
    <w:p>
      <w:pPr>
        <w:pStyle w:val="Compact"/>
        <w:numPr>
          <w:ilvl w:val="0"/>
          <w:numId w:val="1000"/>
        </w:numPr>
      </w:pPr>
      <w:r>
        <w:t xml:space="preserve">7,871</w:t>
      </w:r>
    </w:p>
    <w:p>
      <w:pPr>
        <w:pStyle w:val="Compact"/>
        <w:numPr>
          <w:ilvl w:val="0"/>
          <w:numId w:val="1000"/>
        </w:numPr>
      </w:pPr>
      <w:r>
        <w:t xml:space="preserve">Recourse debt</w:t>
      </w:r>
    </w:p>
    <w:p>
      <w:pPr>
        <w:pStyle w:val="Compact"/>
        <w:numPr>
          <w:ilvl w:val="0"/>
          <w:numId w:val="1000"/>
        </w:numPr>
      </w:pPr>
      <w:r>
        <w:t xml:space="preserve">44</w:t>
      </w:r>
    </w:p>
    <w:p>
      <w:pPr>
        <w:pStyle w:val="Compact"/>
        <w:numPr>
          <w:ilvl w:val="0"/>
          <w:numId w:val="1000"/>
        </w:numPr>
      </w:pPr>
      <w:r>
        <w:t xml:space="preserve">54</w:t>
      </w:r>
    </w:p>
    <w:p>
      <w:pPr>
        <w:pStyle w:val="Compact"/>
        <w:numPr>
          <w:ilvl w:val="0"/>
          <w:numId w:val="1000"/>
        </w:numPr>
      </w:pPr>
      <w:r>
        <w:t xml:space="preserve">7</w:t>
      </w:r>
    </w:p>
    <w:p>
      <w:pPr>
        <w:pStyle w:val="Compact"/>
        <w:numPr>
          <w:ilvl w:val="0"/>
          <w:numId w:val="1000"/>
        </w:numPr>
      </w:pPr>
      <w:r>
        <w:t xml:space="preserve">11</w:t>
      </w:r>
    </w:p>
    <w:p>
      <w:pPr>
        <w:pStyle w:val="Compact"/>
        <w:numPr>
          <w:ilvl w:val="0"/>
          <w:numId w:val="1000"/>
        </w:numPr>
      </w:pPr>
      <w:r>
        <w:t xml:space="preserve">7</w:t>
      </w:r>
    </w:p>
    <w:p>
      <w:pPr>
        <w:pStyle w:val="Compact"/>
        <w:numPr>
          <w:ilvl w:val="0"/>
          <w:numId w:val="1000"/>
        </w:numPr>
      </w:pPr>
      <w:r>
        <w:t xml:space="preserve">Days sales outstanding</w:t>
      </w:r>
    </w:p>
    <w:p>
      <w:pPr>
        <w:pStyle w:val="Compact"/>
        <w:numPr>
          <w:ilvl w:val="0"/>
          <w:numId w:val="1000"/>
        </w:numPr>
      </w:pPr>
      <w:r>
        <w:t xml:space="preserve">11</w:t>
      </w:r>
    </w:p>
    <w:p>
      <w:pPr>
        <w:pStyle w:val="Compact"/>
        <w:numPr>
          <w:ilvl w:val="0"/>
          <w:numId w:val="1000"/>
        </w:numPr>
      </w:pPr>
      <w:r>
        <w:t xml:space="preserve">16</w:t>
      </w:r>
    </w:p>
    <w:p>
      <w:pPr>
        <w:pStyle w:val="Compact"/>
        <w:numPr>
          <w:ilvl w:val="0"/>
          <w:numId w:val="1000"/>
        </w:numPr>
      </w:pPr>
      <w:r>
        <w:t xml:space="preserve">14</w:t>
      </w:r>
    </w:p>
    <w:p>
      <w:pPr>
        <w:pStyle w:val="Compact"/>
        <w:numPr>
          <w:ilvl w:val="0"/>
          <w:numId w:val="1000"/>
        </w:numPr>
      </w:pPr>
      <w:r>
        <w:t xml:space="preserve">13</w:t>
      </w:r>
    </w:p>
    <w:p>
      <w:pPr>
        <w:pStyle w:val="Compact"/>
        <w:numPr>
          <w:ilvl w:val="0"/>
          <w:numId w:val="1000"/>
        </w:numPr>
      </w:pPr>
      <w:r>
        <w:t xml:space="preserve">14</w:t>
      </w:r>
    </w:p>
    <w:p>
      <w:pPr>
        <w:pStyle w:val="Compact"/>
        <w:numPr>
          <w:ilvl w:val="0"/>
          <w:numId w:val="1000"/>
        </w:numPr>
      </w:pPr>
      <w:r>
        <w:t xml:space="preserve">Days payable outstanding</w:t>
      </w:r>
    </w:p>
    <w:p>
      <w:pPr>
        <w:pStyle w:val="Compact"/>
        <w:numPr>
          <w:ilvl w:val="0"/>
          <w:numId w:val="1000"/>
        </w:numPr>
      </w:pPr>
      <w:r>
        <w:t xml:space="preserve">63</w:t>
      </w:r>
    </w:p>
    <w:p>
      <w:pPr>
        <w:pStyle w:val="Compact"/>
        <w:numPr>
          <w:ilvl w:val="0"/>
          <w:numId w:val="1000"/>
        </w:numPr>
      </w:pPr>
      <w:r>
        <w:t xml:space="preserve">75</w:t>
      </w:r>
    </w:p>
    <w:p>
      <w:pPr>
        <w:pStyle w:val="Compact"/>
        <w:numPr>
          <w:ilvl w:val="0"/>
          <w:numId w:val="1000"/>
        </w:numPr>
      </w:pPr>
      <w:r>
        <w:t xml:space="preserve">60</w:t>
      </w:r>
    </w:p>
    <w:p>
      <w:pPr>
        <w:pStyle w:val="Compact"/>
        <w:numPr>
          <w:ilvl w:val="0"/>
          <w:numId w:val="1000"/>
        </w:numPr>
      </w:pPr>
      <w:r>
        <w:t xml:space="preserve">63</w:t>
      </w:r>
    </w:p>
    <w:p>
      <w:pPr>
        <w:pStyle w:val="Compact"/>
        <w:numPr>
          <w:ilvl w:val="0"/>
          <w:numId w:val="1000"/>
        </w:numPr>
      </w:pPr>
      <w:r>
        <w:t xml:space="preserve">58</w:t>
      </w:r>
    </w:p>
    <w:p>
      <w:pPr>
        <w:pStyle w:val="FirstParagraph"/>
      </w:pPr>
      <w:r>
        <w:t xml:space="preserve">S T A T E M E N T O F C A S H F L O W S</w:t>
      </w:r>
      <w:r>
        <w:br/>
      </w:r>
      <w:r>
        <w:t xml:space="preserve">(Unaudited)</w:t>
      </w:r>
    </w:p>
    <w:p>
      <w:pPr>
        <w:pStyle w:val="BodyText"/>
      </w:pPr>
      <w:r>
        <w:t xml:space="preserve">In millions of USD</w:t>
      </w:r>
    </w:p>
    <w:p>
      <w:pPr>
        <w:pStyle w:val="BodyText"/>
      </w:pPr>
      <w:r>
        <w:t xml:space="preserve">Q4-2023</w:t>
      </w:r>
    </w:p>
    <w:p>
      <w:pPr>
        <w:pStyle w:val="BodyText"/>
      </w:pPr>
      <w:r>
        <w:t xml:space="preserve">Q1-2024</w:t>
      </w:r>
    </w:p>
    <w:p>
      <w:pPr>
        <w:pStyle w:val="BodyText"/>
      </w:pPr>
      <w:r>
        <w:t xml:space="preserve">Q2-2024</w:t>
      </w:r>
    </w:p>
    <w:p>
      <w:pPr>
        <w:pStyle w:val="BodyText"/>
      </w:pPr>
      <w:r>
        <w:t xml:space="preserve">Q3-2024</w:t>
      </w:r>
    </w:p>
    <w:p>
      <w:pPr>
        <w:pStyle w:val="BodyText"/>
      </w:pPr>
      <w:r>
        <w:t xml:space="preserve">Q4-2024</w:t>
      </w:r>
    </w:p>
    <w:p>
      <w:pPr>
        <w:pStyle w:val="BodyText"/>
      </w:pPr>
      <w:r>
        <w:t xml:space="preserve">CASH FLOWS FROM OPERATING ACTIVITIES</w:t>
      </w:r>
    </w:p>
    <w:p>
      <w:pPr>
        <w:pStyle w:val="BodyText"/>
      </w:pPr>
      <w:r>
        <w:t xml:space="preserve">Net income</w:t>
      </w:r>
    </w:p>
    <w:p>
      <w:pPr>
        <w:pStyle w:val="BodyText"/>
      </w:pPr>
      <w:r>
        <w:t xml:space="preserve">7,943</w:t>
      </w:r>
    </w:p>
    <w:p>
      <w:pPr>
        <w:pStyle w:val="BodyText"/>
      </w:pPr>
      <w:r>
        <w:t xml:space="preserve">1,144</w:t>
      </w:r>
    </w:p>
    <w:p>
      <w:pPr>
        <w:pStyle w:val="BodyText"/>
      </w:pPr>
      <w:r>
        <w:t xml:space="preserve">1,494</w:t>
      </w:r>
    </w:p>
    <w:p>
      <w:pPr>
        <w:pStyle w:val="BodyText"/>
      </w:pPr>
      <w:r>
        <w:t xml:space="preserve">2,183</w:t>
      </w:r>
    </w:p>
    <w:p>
      <w:pPr>
        <w:pStyle w:val="BodyText"/>
      </w:pPr>
      <w:r>
        <w:t xml:space="preserve">2,332</w:t>
      </w:r>
    </w:p>
    <w:p>
      <w:pPr>
        <w:pStyle w:val="BodyText"/>
      </w:pPr>
      <w:r>
        <w:t xml:space="preserve">Adjustments to reconcile net income to net cash provided by operating activities:</w:t>
      </w:r>
    </w:p>
    <w:p>
      <w:pPr>
        <w:pStyle w:val="BodyText"/>
      </w:pPr>
      <w:r>
        <w:t xml:space="preserve">Depreciation, amortization and impairment</w:t>
      </w:r>
    </w:p>
    <w:p>
      <w:pPr>
        <w:pStyle w:val="BodyText"/>
      </w:pPr>
      <w:r>
        <w:t xml:space="preserve">1,232</w:t>
      </w:r>
    </w:p>
    <w:p>
      <w:pPr>
        <w:pStyle w:val="BodyText"/>
      </w:pPr>
      <w:r>
        <w:t xml:space="preserve">1,246</w:t>
      </w:r>
    </w:p>
    <w:p>
      <w:pPr>
        <w:pStyle w:val="BodyText"/>
      </w:pPr>
      <w:r>
        <w:t xml:space="preserve">1,278</w:t>
      </w:r>
    </w:p>
    <w:p>
      <w:pPr>
        <w:pStyle w:val="BodyText"/>
      </w:pPr>
      <w:r>
        <w:t xml:space="preserve">1,348</w:t>
      </w:r>
    </w:p>
    <w:p>
      <w:pPr>
        <w:pStyle w:val="BodyText"/>
      </w:pPr>
      <w:r>
        <w:t xml:space="preserve">1,496</w:t>
      </w:r>
    </w:p>
    <w:p>
      <w:pPr>
        <w:pStyle w:val="BodyText"/>
      </w:pPr>
      <w:r>
        <w:t xml:space="preserve">Stock-based compensation</w:t>
      </w:r>
    </w:p>
    <w:p>
      <w:pPr>
        <w:pStyle w:val="BodyText"/>
      </w:pPr>
      <w:r>
        <w:t xml:space="preserve">484</w:t>
      </w:r>
    </w:p>
    <w:p>
      <w:pPr>
        <w:pStyle w:val="BodyText"/>
      </w:pPr>
      <w:r>
        <w:t xml:space="preserve">524</w:t>
      </w:r>
    </w:p>
    <w:p>
      <w:pPr>
        <w:pStyle w:val="BodyText"/>
      </w:pPr>
      <w:r>
        <w:t xml:space="preserve">439</w:t>
      </w:r>
    </w:p>
    <w:p>
      <w:pPr>
        <w:pStyle w:val="BodyText"/>
      </w:pPr>
      <w:r>
        <w:t xml:space="preserve">457</w:t>
      </w:r>
    </w:p>
    <w:p>
      <w:pPr>
        <w:pStyle w:val="BodyText"/>
      </w:pPr>
      <w:r>
        <w:t xml:space="preserve">579</w:t>
      </w:r>
    </w:p>
    <w:p>
      <w:pPr>
        <w:pStyle w:val="BodyText"/>
      </w:pPr>
      <w:r>
        <w:t xml:space="preserve">Deferred income taxes</w:t>
      </w:r>
    </w:p>
    <w:p>
      <w:pPr>
        <w:pStyle w:val="BodyText"/>
      </w:pPr>
      <w:r>
        <w:t xml:space="preserve">(6,033)</w:t>
      </w:r>
    </w:p>
    <w:p>
      <w:pPr>
        <w:pStyle w:val="BodyText"/>
      </w:pPr>
      <w:r>
        <w:t xml:space="preserve">(11)</w:t>
      </w:r>
    </w:p>
    <w:p>
      <w:pPr>
        <w:pStyle w:val="BodyText"/>
      </w:pPr>
      <w:r>
        <w:t xml:space="preserve">144</w:t>
      </w:r>
    </w:p>
    <w:p>
      <w:pPr>
        <w:pStyle w:val="BodyText"/>
      </w:pPr>
      <w:r>
        <w:t xml:space="preserve">285</w:t>
      </w:r>
    </w:p>
    <w:p>
      <w:pPr>
        <w:pStyle w:val="BodyText"/>
      </w:pPr>
      <w:r>
        <w:t xml:space="preserve">59</w:t>
      </w:r>
    </w:p>
    <w:p>
      <w:pPr>
        <w:pStyle w:val="BodyText"/>
      </w:pPr>
      <w:r>
        <w:t xml:space="preserve">Digital assets gain, net</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(589)</w:t>
      </w:r>
    </w:p>
    <w:p>
      <w:pPr>
        <w:pStyle w:val="BodyText"/>
      </w:pPr>
      <w:r>
        <w:t xml:space="preserve">Other</w:t>
      </w:r>
    </w:p>
    <w:p>
      <w:pPr>
        <w:pStyle w:val="BodyText"/>
      </w:pPr>
      <w:r>
        <w:t xml:space="preserve">262</w:t>
      </w:r>
    </w:p>
    <w:p>
      <w:pPr>
        <w:pStyle w:val="BodyText"/>
      </w:pPr>
      <w:r>
        <w:t xml:space="preserve">—</w:t>
      </w:r>
    </w:p>
    <w:p>
      <w:pPr>
        <w:pStyle w:val="BodyText"/>
      </w:pPr>
      <w:r>
        <w:t xml:space="preserve">119</w:t>
      </w:r>
    </w:p>
    <w:p>
      <w:pPr>
        <w:pStyle w:val="BodyText"/>
      </w:pPr>
      <w:r>
        <w:t xml:space="preserve">408</w:t>
      </w:r>
    </w:p>
    <w:p>
      <w:pPr>
        <w:pStyle w:val="BodyText"/>
      </w:pPr>
      <w:r>
        <w:t xml:space="preserve">(93)</w:t>
      </w:r>
    </w:p>
    <w:p>
      <w:pPr>
        <w:pStyle w:val="BodyText"/>
      </w:pPr>
      <w:r>
        <w:t xml:space="preserve">Changes in operating assets and liabilities</w:t>
      </w:r>
    </w:p>
    <w:p>
      <w:pPr>
        <w:pStyle w:val="BodyText"/>
      </w:pPr>
      <w:r>
        <w:t xml:space="preserve">482</w:t>
      </w:r>
    </w:p>
    <w:p>
      <w:pPr>
        <w:pStyle w:val="BodyText"/>
      </w:pPr>
      <w:r>
        <w:t xml:space="preserve">(2,661)</w:t>
      </w:r>
    </w:p>
    <w:p>
      <w:pPr>
        <w:pStyle w:val="BodyText"/>
      </w:pPr>
      <w:r>
        <w:t xml:space="preserve">138</w:t>
      </w:r>
    </w:p>
    <w:p>
      <w:pPr>
        <w:pStyle w:val="BodyText"/>
      </w:pPr>
      <w:r>
        <w:t xml:space="preserve">1,574</w:t>
      </w:r>
    </w:p>
    <w:p>
      <w:pPr>
        <w:pStyle w:val="BodyText"/>
      </w:pPr>
      <w:r>
        <w:t xml:space="preserve">1030</w:t>
      </w:r>
    </w:p>
    <w:p>
      <w:pPr>
        <w:pStyle w:val="BodyText"/>
      </w:pPr>
      <w:r>
        <w:t xml:space="preserve">Net cash provided by operating activities</w:t>
      </w:r>
    </w:p>
    <w:p>
      <w:pPr>
        <w:pStyle w:val="BodyText"/>
      </w:pPr>
      <w:r>
        <w:t xml:space="preserve">4,370</w:t>
      </w:r>
    </w:p>
    <w:p>
      <w:pPr>
        <w:pStyle w:val="BodyText"/>
      </w:pPr>
      <w:r>
        <w:t xml:space="preserve">242</w:t>
      </w:r>
    </w:p>
    <w:p>
      <w:pPr>
        <w:pStyle w:val="BodyText"/>
      </w:pPr>
      <w:r>
        <w:t xml:space="preserve">3,612</w:t>
      </w:r>
    </w:p>
    <w:p>
      <w:pPr>
        <w:pStyle w:val="BodyText"/>
      </w:pPr>
      <w:r>
        <w:t xml:space="preserve">6,255</w:t>
      </w:r>
    </w:p>
    <w:p>
      <w:pPr>
        <w:pStyle w:val="BodyText"/>
      </w:pPr>
      <w:r>
        <w:t xml:space="preserve">4,814</w:t>
      </w:r>
    </w:p>
    <w:p>
      <w:pPr>
        <w:pStyle w:val="BodyText"/>
      </w:pPr>
      <w:r>
        <w:t xml:space="preserve">CASH FLOWS FROM INVESTING ACTIVITIES</w:t>
      </w:r>
    </w:p>
    <w:p>
      <w:pPr>
        <w:pStyle w:val="BodyText"/>
      </w:pPr>
      <w:r>
        <w:t xml:space="preserve">Capital expenditures</w:t>
      </w:r>
    </w:p>
    <w:p>
      <w:pPr>
        <w:pStyle w:val="BodyText"/>
      </w:pPr>
      <w:r>
        <w:t xml:space="preserve">(2,306)</w:t>
      </w:r>
    </w:p>
    <w:p>
      <w:pPr>
        <w:pStyle w:val="BodyText"/>
      </w:pPr>
      <w:r>
        <w:t xml:space="preserve">(2,773)</w:t>
      </w:r>
    </w:p>
    <w:p>
      <w:pPr>
        <w:pStyle w:val="BodyText"/>
      </w:pPr>
      <w:r>
        <w:t xml:space="preserve">(2,270)</w:t>
      </w:r>
    </w:p>
    <w:p>
      <w:pPr>
        <w:pStyle w:val="BodyText"/>
      </w:pPr>
      <w:r>
        <w:t xml:space="preserve">(3,513)</w:t>
      </w:r>
    </w:p>
    <w:p>
      <w:pPr>
        <w:pStyle w:val="BodyText"/>
      </w:pPr>
      <w:r>
        <w:t xml:space="preserve">(2,783)</w:t>
      </w:r>
    </w:p>
    <w:p>
      <w:pPr>
        <w:pStyle w:val="BodyText"/>
      </w:pPr>
      <w:r>
        <w:t xml:space="preserve">Purchases of solar energy systems, net of sales</w:t>
      </w:r>
    </w:p>
    <w:p>
      <w:pPr>
        <w:pStyle w:val="BodyText"/>
      </w:pPr>
      <w:r>
        <w:t xml:space="preserve">(1)</w:t>
      </w:r>
    </w:p>
    <w:p>
      <w:pPr>
        <w:pStyle w:val="BodyText"/>
      </w:pPr>
      <w:r>
        <w:t xml:space="preserve">(4)</w:t>
      </w:r>
    </w:p>
    <w:p>
      <w:pPr>
        <w:pStyle w:val="BodyText"/>
      </w:pPr>
      <w:r>
        <w:t xml:space="preserve">(2)</w:t>
      </w:r>
    </w:p>
    <w:p>
      <w:pPr>
        <w:pStyle w:val="BodyText"/>
      </w:pPr>
      <w:r>
        <w:t xml:space="preserve">—</w:t>
      </w:r>
    </w:p>
    <w:p>
      <w:pPr>
        <w:pStyle w:val="BodyText"/>
      </w:pPr>
      <w:r>
        <w:t xml:space="preserve">3</w:t>
      </w:r>
    </w:p>
    <w:p>
      <w:pPr>
        <w:pStyle w:val="BodyText"/>
      </w:pPr>
      <w:r>
        <w:t xml:space="preserve">Purchases of investments</w:t>
      </w:r>
    </w:p>
    <w:p>
      <w:pPr>
        <w:pStyle w:val="BodyText"/>
      </w:pPr>
      <w:r>
        <w:t xml:space="preserve">(5,891)</w:t>
      </w:r>
    </w:p>
    <w:p>
      <w:pPr>
        <w:pStyle w:val="BodyText"/>
      </w:pPr>
      <w:r>
        <w:t xml:space="preserve">(6,622)</w:t>
      </w:r>
    </w:p>
    <w:p>
      <w:pPr>
        <w:pStyle w:val="BodyText"/>
      </w:pPr>
      <w:r>
        <w:t xml:space="preserve">(8,143)</w:t>
      </w:r>
    </w:p>
    <w:p>
      <w:pPr>
        <w:pStyle w:val="BodyText"/>
      </w:pPr>
      <w:r>
        <w:t xml:space="preserve">(6,032)</w:t>
      </w:r>
    </w:p>
    <w:p>
      <w:pPr>
        <w:pStyle w:val="BodyText"/>
      </w:pPr>
      <w:r>
        <w:t xml:space="preserve">(15,158)</w:t>
      </w:r>
    </w:p>
    <w:p>
      <w:pPr>
        <w:pStyle w:val="BodyText"/>
      </w:pPr>
      <w:r>
        <w:t xml:space="preserve">Proceeds from maturities of investments</w:t>
      </w:r>
    </w:p>
    <w:p>
      <w:pPr>
        <w:pStyle w:val="BodyText"/>
      </w:pPr>
      <w:r>
        <w:t xml:space="preserve">3,394</w:t>
      </w:r>
    </w:p>
    <w:p>
      <w:pPr>
        <w:pStyle w:val="BodyText"/>
      </w:pPr>
      <w:r>
        <w:t xml:space="preserve">4,315</w:t>
      </w:r>
    </w:p>
    <w:p>
      <w:pPr>
        <w:pStyle w:val="BodyText"/>
      </w:pPr>
      <w:r>
        <w:t xml:space="preserve">6,990</w:t>
      </w:r>
    </w:p>
    <w:p>
      <w:pPr>
        <w:pStyle w:val="BodyText"/>
      </w:pPr>
      <w:r>
        <w:t xml:space="preserve">6,670</w:t>
      </w:r>
    </w:p>
    <w:p>
      <w:pPr>
        <w:pStyle w:val="BodyText"/>
      </w:pPr>
      <w:r>
        <w:t xml:space="preserve">10,335</w:t>
      </w:r>
    </w:p>
    <w:p>
      <w:pPr>
        <w:pStyle w:val="BodyText"/>
      </w:pPr>
      <w:r>
        <w:t xml:space="preserve">Proceeds from sales of investments</w:t>
      </w:r>
    </w:p>
    <w:p>
      <w:pPr>
        <w:pStyle w:val="BodyText"/>
      </w:pPr>
      <w:r>
        <w:t xml:space="preserve">—</w:t>
      </w:r>
    </w:p>
    <w:p>
      <w:pPr>
        <w:pStyle w:val="BodyText"/>
      </w:pPr>
      <w:r>
        <w:t xml:space="preserve">—</w:t>
      </w:r>
    </w:p>
    <w:p>
      <w:pPr>
        <w:pStyle w:val="BodyText"/>
      </w:pPr>
      <w:r>
        <w:t xml:space="preserve">200</w:t>
      </w:r>
    </w:p>
    <w:p>
      <w:pPr>
        <w:pStyle w:val="BodyText"/>
      </w:pPr>
      <w:r>
        <w:t xml:space="preserve">—</w:t>
      </w:r>
    </w:p>
    <w:p>
      <w:pPr>
        <w:pStyle w:val="BodyText"/>
      </w:pPr>
      <w:r>
        <w:t xml:space="preserve">—</w:t>
      </w:r>
    </w:p>
    <w:p>
      <w:pPr>
        <w:pStyle w:val="BodyText"/>
      </w:pPr>
      <w:r>
        <w:t xml:space="preserve">Net cash used in investing activities</w:t>
      </w:r>
    </w:p>
    <w:p>
      <w:pPr>
        <w:pStyle w:val="BodyText"/>
      </w:pPr>
      <w:r>
        <w:t xml:space="preserve">(4,804)</w:t>
      </w:r>
    </w:p>
    <w:p>
      <w:pPr>
        <w:pStyle w:val="BodyText"/>
      </w:pPr>
      <w:r>
        <w:t xml:space="preserve">(5,084)</w:t>
      </w:r>
    </w:p>
    <w:p>
      <w:pPr>
        <w:pStyle w:val="BodyText"/>
      </w:pPr>
      <w:r>
        <w:t xml:space="preserve">(3,225)</w:t>
      </w:r>
    </w:p>
    <w:p>
      <w:pPr>
        <w:pStyle w:val="BodyText"/>
      </w:pPr>
      <w:r>
        <w:t xml:space="preserve">(2,875)</w:t>
      </w:r>
    </w:p>
    <w:p>
      <w:pPr>
        <w:pStyle w:val="BodyText"/>
      </w:pPr>
      <w:r>
        <w:t xml:space="preserve">(7,603)</w:t>
      </w:r>
    </w:p>
    <w:p>
      <w:pPr>
        <w:pStyle w:val="BodyText"/>
      </w:pPr>
      <w:r>
        <w:t xml:space="preserve">CASH FLOWS FROM FINANCING ACTIVITIES</w:t>
      </w:r>
    </w:p>
    <w:p>
      <w:pPr>
        <w:pStyle w:val="BodyText"/>
      </w:pPr>
      <w:r>
        <w:t xml:space="preserve">Net cash flows from other debt activities</w:t>
      </w:r>
    </w:p>
    <w:p>
      <w:pPr>
        <w:pStyle w:val="BodyText"/>
      </w:pPr>
      <w:r>
        <w:t xml:space="preserve">(141)</w:t>
      </w:r>
    </w:p>
    <w:p>
      <w:pPr>
        <w:pStyle w:val="BodyText"/>
      </w:pPr>
      <w:r>
        <w:t xml:space="preserve">(140)</w:t>
      </w:r>
    </w:p>
    <w:p>
      <w:pPr>
        <w:pStyle w:val="BodyText"/>
      </w:pPr>
      <w:r>
        <w:t xml:space="preserve">2,598</w:t>
      </w:r>
    </w:p>
    <w:p>
      <w:pPr>
        <w:pStyle w:val="BodyText"/>
      </w:pPr>
      <w:r>
        <w:t xml:space="preserve">(75)</w:t>
      </w:r>
    </w:p>
    <w:p>
      <w:pPr>
        <w:pStyle w:val="BodyText"/>
      </w:pPr>
      <w:r>
        <w:t xml:space="preserve">(108)</w:t>
      </w:r>
    </w:p>
    <w:p>
      <w:pPr>
        <w:pStyle w:val="BodyText"/>
      </w:pPr>
      <w:r>
        <w:t xml:space="preserve">Net borrowings (repayments) under vehicle and energy product financing</w:t>
      </w:r>
    </w:p>
    <w:p>
      <w:pPr>
        <w:pStyle w:val="BodyText"/>
      </w:pPr>
      <w:r>
        <w:t xml:space="preserve">952</w:t>
      </w:r>
    </w:p>
    <w:p>
      <w:pPr>
        <w:pStyle w:val="BodyText"/>
      </w:pPr>
      <w:r>
        <w:t xml:space="preserve">216</w:t>
      </w:r>
    </w:p>
    <w:p>
      <w:pPr>
        <w:pStyle w:val="BodyText"/>
      </w:pPr>
      <w:r>
        <w:t xml:space="preserve">(212)</w:t>
      </w:r>
    </w:p>
    <w:p>
      <w:pPr>
        <w:pStyle w:val="BodyText"/>
      </w:pPr>
      <w:r>
        <w:t xml:space="preserve">(107)</w:t>
      </w:r>
    </w:p>
    <w:p>
      <w:pPr>
        <w:pStyle w:val="BodyText"/>
      </w:pPr>
      <w:r>
        <w:t xml:space="preserve">677</w:t>
      </w:r>
    </w:p>
    <w:p>
      <w:pPr>
        <w:pStyle w:val="BodyText"/>
      </w:pPr>
      <w:r>
        <w:t xml:space="preserve">Net cash flows from noncontrolling interests – Solar</w:t>
      </w:r>
    </w:p>
    <w:p>
      <w:pPr>
        <w:pStyle w:val="BodyText"/>
      </w:pPr>
      <w:r>
        <w:t xml:space="preserve">(76)</w:t>
      </w:r>
    </w:p>
    <w:p>
      <w:pPr>
        <w:pStyle w:val="BodyText"/>
      </w:pPr>
      <w:r>
        <w:t xml:space="preserve">(131)</w:t>
      </w:r>
    </w:p>
    <w:p>
      <w:pPr>
        <w:pStyle w:val="BodyText"/>
      </w:pPr>
      <w:r>
        <w:t xml:space="preserve">(43)</w:t>
      </w:r>
    </w:p>
    <w:p>
      <w:pPr>
        <w:pStyle w:val="BodyText"/>
      </w:pPr>
      <w:r>
        <w:t xml:space="preserve">(26)</w:t>
      </w:r>
    </w:p>
    <w:p>
      <w:pPr>
        <w:pStyle w:val="BodyText"/>
      </w:pPr>
      <w:r>
        <w:t xml:space="preserve">(37)</w:t>
      </w:r>
    </w:p>
    <w:p>
      <w:pPr>
        <w:pStyle w:val="BodyText"/>
      </w:pPr>
      <w:r>
        <w:t xml:space="preserve">Other</w:t>
      </w:r>
    </w:p>
    <w:p>
      <w:pPr>
        <w:pStyle w:val="BodyText"/>
      </w:pPr>
      <w:r>
        <w:t xml:space="preserve">152</w:t>
      </w:r>
    </w:p>
    <w:p>
      <w:pPr>
        <w:pStyle w:val="BodyText"/>
      </w:pPr>
      <w:r>
        <w:t xml:space="preserve">251</w:t>
      </w:r>
    </w:p>
    <w:p>
      <w:pPr>
        <w:pStyle w:val="BodyText"/>
      </w:pPr>
      <w:r>
        <w:t xml:space="preserve">197</w:t>
      </w:r>
    </w:p>
    <w:p>
      <w:pPr>
        <w:pStyle w:val="BodyText"/>
      </w:pPr>
      <w:r>
        <w:t xml:space="preserve">340</w:t>
      </w:r>
    </w:p>
    <w:p>
      <w:pPr>
        <w:pStyle w:val="BodyText"/>
      </w:pPr>
      <w:r>
        <w:t xml:space="preserve">453</w:t>
      </w:r>
    </w:p>
    <w:p>
      <w:pPr>
        <w:pStyle w:val="BodyText"/>
      </w:pPr>
      <w:r>
        <w:t xml:space="preserve">Net cash provided by financing activities</w:t>
      </w:r>
    </w:p>
    <w:p>
      <w:pPr>
        <w:pStyle w:val="BodyText"/>
      </w:pPr>
      <w:r>
        <w:t xml:space="preserve">887</w:t>
      </w:r>
    </w:p>
    <w:p>
      <w:pPr>
        <w:pStyle w:val="BodyText"/>
      </w:pPr>
      <w:r>
        <w:t xml:space="preserve">196</w:t>
      </w:r>
    </w:p>
    <w:p>
      <w:pPr>
        <w:pStyle w:val="BodyText"/>
      </w:pPr>
      <w:r>
        <w:t xml:space="preserve">2,540</w:t>
      </w:r>
    </w:p>
    <w:p>
      <w:pPr>
        <w:pStyle w:val="BodyText"/>
      </w:pPr>
      <w:r>
        <w:t xml:space="preserve">132</w:t>
      </w:r>
    </w:p>
    <w:p>
      <w:pPr>
        <w:pStyle w:val="BodyText"/>
      </w:pPr>
      <w:r>
        <w:t xml:space="preserve">985</w:t>
      </w:r>
    </w:p>
    <w:p>
      <w:pPr>
        <w:pStyle w:val="BodyText"/>
      </w:pPr>
      <w:r>
        <w:t xml:space="preserve">Effect of exchange rate changes on cash and cash equivalents and restricted cash</w:t>
      </w:r>
    </w:p>
    <w:p>
      <w:pPr>
        <w:pStyle w:val="BodyText"/>
      </w:pPr>
      <w:r>
        <w:t xml:space="preserve">146</w:t>
      </w:r>
    </w:p>
    <w:p>
      <w:pPr>
        <w:pStyle w:val="BodyText"/>
      </w:pPr>
      <w:r>
        <w:t xml:space="preserve">(79)</w:t>
      </w:r>
    </w:p>
    <w:p>
      <w:pPr>
        <w:pStyle w:val="BodyText"/>
      </w:pPr>
      <w:r>
        <w:t xml:space="preserve">(37)</w:t>
      </w:r>
    </w:p>
    <w:p>
      <w:pPr>
        <w:pStyle w:val="BodyText"/>
      </w:pPr>
      <w:r>
        <w:t xml:space="preserve">108</w:t>
      </w:r>
    </w:p>
    <w:p>
      <w:pPr>
        <w:pStyle w:val="BodyText"/>
      </w:pPr>
      <w:r>
        <w:t xml:space="preserve">(133)</w:t>
      </w:r>
    </w:p>
    <w:p>
      <w:pPr>
        <w:pStyle w:val="BodyText"/>
      </w:pPr>
      <w:r>
        <w:t xml:space="preserve">Net increase (decrease) in cash and cash equivalents and restricted cash</w:t>
      </w:r>
    </w:p>
    <w:p>
      <w:pPr>
        <w:pStyle w:val="BodyText"/>
      </w:pPr>
      <w:r>
        <w:t xml:space="preserve">599</w:t>
      </w:r>
    </w:p>
    <w:p>
      <w:pPr>
        <w:pStyle w:val="BodyText"/>
      </w:pPr>
      <w:r>
        <w:t xml:space="preserve">(4,725)</w:t>
      </w:r>
    </w:p>
    <w:p>
      <w:pPr>
        <w:pStyle w:val="BodyText"/>
      </w:pPr>
      <w:r>
        <w:t xml:space="preserve">2,890</w:t>
      </w:r>
    </w:p>
    <w:p>
      <w:pPr>
        <w:pStyle w:val="BodyText"/>
      </w:pPr>
      <w:r>
        <w:t xml:space="preserve">3,620</w:t>
      </w:r>
    </w:p>
    <w:p>
      <w:pPr>
        <w:pStyle w:val="BodyText"/>
      </w:pPr>
      <w:r>
        <w:t xml:space="preserve">(1,937)</w:t>
      </w:r>
    </w:p>
    <w:p>
      <w:pPr>
        <w:pStyle w:val="BodyText"/>
      </w:pPr>
      <w:r>
        <w:t xml:space="preserve">Cash and cash equivalents and restricted cash at beginning of period</w:t>
      </w:r>
    </w:p>
    <w:p>
      <w:pPr>
        <w:pStyle w:val="BodyText"/>
      </w:pPr>
      <w:r>
        <w:t xml:space="preserve">16,590</w:t>
      </w:r>
    </w:p>
    <w:p>
      <w:pPr>
        <w:pStyle w:val="BodyText"/>
      </w:pPr>
      <w:r>
        <w:t xml:space="preserve">17,189</w:t>
      </w:r>
    </w:p>
    <w:p>
      <w:pPr>
        <w:pStyle w:val="BodyText"/>
      </w:pPr>
      <w:r>
        <w:t xml:space="preserve">12,464</w:t>
      </w:r>
    </w:p>
    <w:p>
      <w:pPr>
        <w:pStyle w:val="BodyText"/>
      </w:pPr>
      <w:r>
        <w:t xml:space="preserve">15,354</w:t>
      </w:r>
    </w:p>
    <w:p>
      <w:pPr>
        <w:pStyle w:val="BodyText"/>
      </w:pPr>
      <w:r>
        <w:t xml:space="preserve">18,974</w:t>
      </w:r>
    </w:p>
    <w:p>
      <w:pPr>
        <w:pStyle w:val="BodyText"/>
      </w:pPr>
      <w:r>
        <w:t xml:space="preserve">Cash and cash equivalents and restricted cash at end of period</w:t>
      </w:r>
    </w:p>
    <w:p>
      <w:pPr>
        <w:pStyle w:val="BodyText"/>
      </w:pPr>
      <w:r>
        <w:t xml:space="preserve">17,189</w:t>
      </w:r>
    </w:p>
    <w:p>
      <w:pPr>
        <w:pStyle w:val="BodyText"/>
      </w:pPr>
      <w:r>
        <w:t xml:space="preserve">12,464</w:t>
      </w:r>
    </w:p>
    <w:p>
      <w:pPr>
        <w:pStyle w:val="BodyText"/>
      </w:pPr>
      <w:r>
        <w:t xml:space="preserve">15,354</w:t>
      </w:r>
    </w:p>
    <w:p>
      <w:pPr>
        <w:pStyle w:val="BodyText"/>
      </w:pPr>
      <w:r>
        <w:t xml:space="preserve">18,974</w:t>
      </w:r>
    </w:p>
    <w:p>
      <w:pPr>
        <w:pStyle w:val="BodyText"/>
      </w:pPr>
      <w:r>
        <w:t xml:space="preserve">17,037</w:t>
      </w:r>
    </w:p>
    <w:p>
      <w:pPr>
        <w:pStyle w:val="BodyText"/>
      </w:pPr>
      <w:r>
        <w:t xml:space="preserve">R E C O N C I L I A T I O N O F G A A P T O N O N – G A A P F I N A N C I A L I N F O R M A T I O N (Unaudited)</w:t>
      </w:r>
    </w:p>
    <w:p>
      <w:pPr>
        <w:pStyle w:val="BodyText"/>
      </w:pPr>
      <w:r>
        <w:t xml:space="preserve">In millions of USD or shares as applicable, except per share data</w:t>
      </w:r>
    </w:p>
    <w:p>
      <w:pPr>
        <w:pStyle w:val="BodyText"/>
      </w:pPr>
      <w:r>
        <w:t xml:space="preserve">Q4-2023</w:t>
      </w:r>
    </w:p>
    <w:p>
      <w:pPr>
        <w:pStyle w:val="BodyText"/>
      </w:pPr>
      <w:r>
        <w:t xml:space="preserve">Q1-2024</w:t>
      </w:r>
    </w:p>
    <w:p>
      <w:pPr>
        <w:pStyle w:val="BodyText"/>
      </w:pPr>
      <w:r>
        <w:t xml:space="preserve">Q2-2024</w:t>
      </w:r>
    </w:p>
    <w:p>
      <w:pPr>
        <w:pStyle w:val="BodyText"/>
      </w:pPr>
      <w:r>
        <w:t xml:space="preserve">Q3-2024</w:t>
      </w:r>
    </w:p>
    <w:p>
      <w:pPr>
        <w:pStyle w:val="BodyText"/>
      </w:pPr>
      <w:r>
        <w:t xml:space="preserve">Q4-2024</w:t>
      </w:r>
    </w:p>
    <w:p>
      <w:pPr>
        <w:pStyle w:val="BodyText"/>
      </w:pPr>
      <w:r>
        <w:t xml:space="preserve">Net income attributable to common stockholders (GAAP)</w:t>
      </w:r>
    </w:p>
    <w:p>
      <w:pPr>
        <w:pStyle w:val="BodyText"/>
      </w:pPr>
      <w:r>
        <w:t xml:space="preserve">7,928</w:t>
      </w:r>
    </w:p>
    <w:p>
      <w:pPr>
        <w:pStyle w:val="BodyText"/>
      </w:pPr>
      <w:r>
        <w:t xml:space="preserve">1,129</w:t>
      </w:r>
    </w:p>
    <w:p>
      <w:pPr>
        <w:pStyle w:val="BodyText"/>
      </w:pPr>
      <w:r>
        <w:t xml:space="preserve">1,478</w:t>
      </w:r>
    </w:p>
    <w:p>
      <w:pPr>
        <w:pStyle w:val="BodyText"/>
      </w:pPr>
      <w:r>
        <w:t xml:space="preserve">2,167</w:t>
      </w:r>
    </w:p>
    <w:p>
      <w:pPr>
        <w:pStyle w:val="BodyText"/>
      </w:pPr>
      <w:r>
        <w:t xml:space="preserve">2,317</w:t>
      </w:r>
    </w:p>
    <w:p>
      <w:pPr>
        <w:pStyle w:val="BodyText"/>
      </w:pPr>
      <w:r>
        <w:t xml:space="preserve">Stock-based compensation expense, net of tax</w:t>
      </w:r>
    </w:p>
    <w:p>
      <w:pPr>
        <w:pStyle w:val="BodyText"/>
      </w:pPr>
      <w:r>
        <w:t xml:space="preserve">484</w:t>
      </w:r>
    </w:p>
    <w:p>
      <w:pPr>
        <w:pStyle w:val="BodyText"/>
      </w:pPr>
      <w:r>
        <w:t xml:space="preserve">407</w:t>
      </w:r>
    </w:p>
    <w:p>
      <w:pPr>
        <w:pStyle w:val="BodyText"/>
      </w:pPr>
      <w:r>
        <w:t xml:space="preserve">334</w:t>
      </w:r>
    </w:p>
    <w:p>
      <w:pPr>
        <w:pStyle w:val="BodyText"/>
      </w:pPr>
      <w:r>
        <w:t xml:space="preserve">338</w:t>
      </w:r>
    </w:p>
    <w:p>
      <w:pPr>
        <w:pStyle w:val="BodyText"/>
      </w:pPr>
      <w:r>
        <w:t xml:space="preserve">249</w:t>
      </w:r>
    </w:p>
    <w:p>
      <w:pPr>
        <w:pStyle w:val="BodyText"/>
      </w:pPr>
      <w:r>
        <w:t xml:space="preserve">Release of valuation allowance on deferred tax assets</w:t>
      </w:r>
    </w:p>
    <w:p>
      <w:pPr>
        <w:pStyle w:val="BodyText"/>
      </w:pPr>
      <w:r>
        <w:t xml:space="preserve">(5,927)</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Net income attributable to common stockholders (non-GAAP)</w:t>
      </w:r>
    </w:p>
    <w:p>
      <w:pPr>
        <w:pStyle w:val="BodyText"/>
      </w:pPr>
      <w:r>
        <w:t xml:space="preserve">2,485</w:t>
      </w:r>
    </w:p>
    <w:p>
      <w:pPr>
        <w:pStyle w:val="BodyText"/>
      </w:pPr>
      <w:r>
        <w:t xml:space="preserve">1,536</w:t>
      </w:r>
    </w:p>
    <w:p>
      <w:pPr>
        <w:pStyle w:val="BodyText"/>
      </w:pPr>
      <w:r>
        <w:t xml:space="preserve">1,812</w:t>
      </w:r>
    </w:p>
    <w:p>
      <w:pPr>
        <w:pStyle w:val="BodyText"/>
      </w:pPr>
      <w:r>
        <w:t xml:space="preserve">2,505</w:t>
      </w:r>
    </w:p>
    <w:p>
      <w:pPr>
        <w:pStyle w:val="BodyText"/>
      </w:pPr>
      <w:r>
        <w:t xml:space="preserve">2,566</w:t>
      </w:r>
    </w:p>
    <w:p>
      <w:pPr>
        <w:pStyle w:val="BodyText"/>
      </w:pPr>
      <w:r>
        <w:t xml:space="preserve">Less: Buy-outs of noncontrolling interests</w:t>
      </w:r>
    </w:p>
    <w:p>
      <w:pPr>
        <w:pStyle w:val="BodyText"/>
      </w:pPr>
      <w:r>
        <w:t xml:space="preserve">1</w:t>
      </w:r>
    </w:p>
    <w:p>
      <w:pPr>
        <w:pStyle w:val="BodyText"/>
      </w:pPr>
      <w:r>
        <w:t xml:space="preserve">(42)</w:t>
      </w:r>
    </w:p>
    <w:p>
      <w:pPr>
        <w:pStyle w:val="BodyText"/>
      </w:pPr>
      <w:r>
        <w:t xml:space="preserve">—</w:t>
      </w:r>
    </w:p>
    <w:p>
      <w:pPr>
        <w:pStyle w:val="BodyText"/>
      </w:pPr>
      <w:r>
        <w:t xml:space="preserve">—</w:t>
      </w:r>
    </w:p>
    <w:p>
      <w:pPr>
        <w:pStyle w:val="BodyText"/>
      </w:pPr>
      <w:r>
        <w:t xml:space="preserve">3</w:t>
      </w:r>
    </w:p>
    <w:p>
      <w:pPr>
        <w:pStyle w:val="BodyText"/>
      </w:pPr>
      <w:r>
        <w:t xml:space="preserve">Net income used in computing diluted EPS attributable to common stockholders (non-GAAP)</w:t>
      </w:r>
    </w:p>
    <w:p>
      <w:pPr>
        <w:pStyle w:val="BodyText"/>
      </w:pPr>
      <w:r>
        <w:t xml:space="preserve">2,484</w:t>
      </w:r>
    </w:p>
    <w:p>
      <w:pPr>
        <w:pStyle w:val="BodyText"/>
      </w:pPr>
      <w:r>
        <w:t xml:space="preserve">1,578</w:t>
      </w:r>
    </w:p>
    <w:p>
      <w:pPr>
        <w:pStyle w:val="BodyText"/>
      </w:pPr>
      <w:r>
        <w:t xml:space="preserve">1,812</w:t>
      </w:r>
    </w:p>
    <w:p>
      <w:pPr>
        <w:pStyle w:val="BodyText"/>
      </w:pPr>
      <w:r>
        <w:t xml:space="preserve">2,505</w:t>
      </w:r>
    </w:p>
    <w:p>
      <w:pPr>
        <w:pStyle w:val="BodyText"/>
      </w:pPr>
      <w:r>
        <w:t xml:space="preserve">2,563</w:t>
      </w:r>
    </w:p>
    <w:p>
      <w:pPr>
        <w:pStyle w:val="BodyText"/>
      </w:pPr>
      <w:r>
        <w:t xml:space="preserve">EPS attributable to common stockholders, diluted (GAAP)</w:t>
      </w:r>
    </w:p>
    <w:p>
      <w:pPr>
        <w:pStyle w:val="BodyText"/>
      </w:pPr>
      <w:r>
        <w:t xml:space="preserve">2.27</w:t>
      </w:r>
    </w:p>
    <w:p>
      <w:pPr>
        <w:pStyle w:val="BodyText"/>
      </w:pPr>
      <w:r>
        <w:t xml:space="preserve">0.34</w:t>
      </w:r>
    </w:p>
    <w:p>
      <w:pPr>
        <w:pStyle w:val="BodyText"/>
      </w:pPr>
      <w:r>
        <w:t xml:space="preserve">0.42</w:t>
      </w:r>
    </w:p>
    <w:p>
      <w:pPr>
        <w:pStyle w:val="BodyText"/>
      </w:pPr>
      <w:r>
        <w:t xml:space="preserve">0.62</w:t>
      </w:r>
    </w:p>
    <w:p>
      <w:pPr>
        <w:pStyle w:val="BodyText"/>
      </w:pPr>
      <w:r>
        <w:t xml:space="preserve">0.66</w:t>
      </w:r>
    </w:p>
    <w:p>
      <w:pPr>
        <w:pStyle w:val="BodyText"/>
      </w:pPr>
      <w:r>
        <w:t xml:space="preserve">Stock-based compensation expense per share, net of tax</w:t>
      </w:r>
    </w:p>
    <w:p>
      <w:pPr>
        <w:pStyle w:val="BodyText"/>
      </w:pPr>
      <w:r>
        <w:t xml:space="preserve">0.14</w:t>
      </w:r>
    </w:p>
    <w:p>
      <w:pPr>
        <w:pStyle w:val="BodyText"/>
      </w:pPr>
      <w:r>
        <w:t xml:space="preserve">0.11</w:t>
      </w:r>
    </w:p>
    <w:p>
      <w:pPr>
        <w:pStyle w:val="BodyText"/>
      </w:pPr>
      <w:r>
        <w:t xml:space="preserve">0.10</w:t>
      </w:r>
    </w:p>
    <w:p>
      <w:pPr>
        <w:pStyle w:val="BodyText"/>
      </w:pPr>
      <w:r>
        <w:t xml:space="preserve">0.10</w:t>
      </w:r>
    </w:p>
    <w:p>
      <w:pPr>
        <w:pStyle w:val="BodyText"/>
      </w:pPr>
      <w:r>
        <w:t xml:space="preserve">0.07</w:t>
      </w:r>
    </w:p>
    <w:p>
      <w:pPr>
        <w:pStyle w:val="BodyText"/>
      </w:pPr>
      <w:r>
        <w:t xml:space="preserve">Release of valuation allowance on deferred tax assets per share</w:t>
      </w:r>
    </w:p>
    <w:p>
      <w:pPr>
        <w:pStyle w:val="BodyText"/>
      </w:pPr>
      <w:r>
        <w:t xml:space="preserve">(1.70)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EPS attributable to common stockholders, diluted (non-GAAP)</w:t>
      </w:r>
    </w:p>
    <w:p>
      <w:pPr>
        <w:pStyle w:val="BodyText"/>
      </w:pPr>
      <w:r>
        <w:t xml:space="preserve">0.71</w:t>
      </w:r>
    </w:p>
    <w:p>
      <w:pPr>
        <w:pStyle w:val="BodyText"/>
      </w:pPr>
      <w:r>
        <w:t xml:space="preserve">0.45</w:t>
      </w:r>
    </w:p>
    <w:p>
      <w:pPr>
        <w:pStyle w:val="BodyText"/>
      </w:pPr>
      <w:r>
        <w:t xml:space="preserve">0.52</w:t>
      </w:r>
    </w:p>
    <w:p>
      <w:pPr>
        <w:pStyle w:val="BodyText"/>
      </w:pPr>
      <w:r>
        <w:t xml:space="preserve">0.72</w:t>
      </w:r>
    </w:p>
    <w:p>
      <w:pPr>
        <w:pStyle w:val="BodyText"/>
      </w:pPr>
      <w:r>
        <w:t xml:space="preserve">0.73</w:t>
      </w:r>
    </w:p>
    <w:p>
      <w:pPr>
        <w:pStyle w:val="BodyText"/>
      </w:pPr>
      <w:r>
        <w:t xml:space="preserve">Shares used in EPS calculation, diluted (GAAP and non-GAAP)</w:t>
      </w:r>
    </w:p>
    <w:p>
      <w:pPr>
        <w:pStyle w:val="BodyText"/>
      </w:pPr>
      <w:r>
        <w:t xml:space="preserve">3,492</w:t>
      </w:r>
    </w:p>
    <w:p>
      <w:pPr>
        <w:pStyle w:val="BodyText"/>
      </w:pPr>
      <w:r>
        <w:t xml:space="preserve">3,484</w:t>
      </w:r>
    </w:p>
    <w:p>
      <w:pPr>
        <w:pStyle w:val="BodyText"/>
      </w:pPr>
      <w:r>
        <w:t xml:space="preserve">3,481</w:t>
      </w:r>
    </w:p>
    <w:p>
      <w:pPr>
        <w:pStyle w:val="BodyText"/>
      </w:pPr>
      <w:r>
        <w:t xml:space="preserve">3,497</w:t>
      </w:r>
    </w:p>
    <w:p>
      <w:pPr>
        <w:pStyle w:val="BodyText"/>
      </w:pPr>
      <w:r>
        <w:t xml:space="preserve">3,517</w:t>
      </w:r>
    </w:p>
    <w:p>
      <w:pPr>
        <w:pStyle w:val="BodyText"/>
      </w:pPr>
      <w:r>
        <w:t xml:space="preserve">Net income attributable to common stockholders (GAAP)</w:t>
      </w:r>
    </w:p>
    <w:p>
      <w:pPr>
        <w:pStyle w:val="BodyText"/>
      </w:pPr>
      <w:r>
        <w:t xml:space="preserve">7,928</w:t>
      </w:r>
    </w:p>
    <w:p>
      <w:pPr>
        <w:pStyle w:val="BodyText"/>
      </w:pPr>
      <w:r>
        <w:t xml:space="preserve">1,129</w:t>
      </w:r>
    </w:p>
    <w:p>
      <w:pPr>
        <w:pStyle w:val="BodyText"/>
      </w:pPr>
      <w:r>
        <w:t xml:space="preserve">1,478</w:t>
      </w:r>
    </w:p>
    <w:p>
      <w:pPr>
        <w:pStyle w:val="BodyText"/>
      </w:pPr>
      <w:r>
        <w:t xml:space="preserve">2,167</w:t>
      </w:r>
    </w:p>
    <w:p>
      <w:pPr>
        <w:pStyle w:val="BodyText"/>
      </w:pPr>
      <w:r>
        <w:t xml:space="preserve">2,317</w:t>
      </w:r>
    </w:p>
    <w:p>
      <w:pPr>
        <w:pStyle w:val="BodyText"/>
      </w:pPr>
      <w:r>
        <w:t xml:space="preserve">Interest expense</w:t>
      </w:r>
    </w:p>
    <w:p>
      <w:pPr>
        <w:pStyle w:val="BodyText"/>
      </w:pPr>
      <w:r>
        <w:t xml:space="preserve">61</w:t>
      </w:r>
    </w:p>
    <w:p>
      <w:pPr>
        <w:pStyle w:val="BodyText"/>
      </w:pPr>
      <w:r>
        <w:t xml:space="preserve">76</w:t>
      </w:r>
    </w:p>
    <w:p>
      <w:pPr>
        <w:pStyle w:val="BodyText"/>
      </w:pPr>
      <w:r>
        <w:t xml:space="preserve">86</w:t>
      </w:r>
    </w:p>
    <w:p>
      <w:pPr>
        <w:pStyle w:val="BodyText"/>
      </w:pPr>
      <w:r>
        <w:t xml:space="preserve">92</w:t>
      </w:r>
    </w:p>
    <w:p>
      <w:pPr>
        <w:pStyle w:val="BodyText"/>
      </w:pPr>
      <w:r>
        <w:t xml:space="preserve">96</w:t>
      </w:r>
    </w:p>
    <w:p>
      <w:pPr>
        <w:pStyle w:val="BodyText"/>
      </w:pPr>
      <w:r>
        <w:t xml:space="preserve">(Benefit from) provision for income taxes</w:t>
      </w:r>
    </w:p>
    <w:p>
      <w:pPr>
        <w:pStyle w:val="BodyText"/>
      </w:pPr>
      <w:r>
        <w:t xml:space="preserve">(5,752)</w:t>
      </w:r>
    </w:p>
    <w:p>
      <w:pPr>
        <w:pStyle w:val="BodyText"/>
      </w:pPr>
      <w:r>
        <w:t xml:space="preserve">409</w:t>
      </w:r>
    </w:p>
    <w:p>
      <w:pPr>
        <w:pStyle w:val="BodyText"/>
      </w:pPr>
      <w:r>
        <w:t xml:space="preserve">393</w:t>
      </w:r>
    </w:p>
    <w:p>
      <w:pPr>
        <w:pStyle w:val="BodyText"/>
      </w:pPr>
      <w:r>
        <w:t xml:space="preserve">601</w:t>
      </w:r>
    </w:p>
    <w:p>
      <w:pPr>
        <w:pStyle w:val="BodyText"/>
      </w:pPr>
      <w:r>
        <w:t xml:space="preserve">434</w:t>
      </w:r>
    </w:p>
    <w:p>
      <w:pPr>
        <w:pStyle w:val="BodyText"/>
      </w:pPr>
      <w:r>
        <w:t xml:space="preserve">Depreciation, amortization and impairment</w:t>
      </w:r>
    </w:p>
    <w:p>
      <w:pPr>
        <w:pStyle w:val="BodyText"/>
      </w:pPr>
      <w:r>
        <w:t xml:space="preserve">1,232</w:t>
      </w:r>
    </w:p>
    <w:p>
      <w:pPr>
        <w:pStyle w:val="BodyText"/>
      </w:pPr>
      <w:r>
        <w:t xml:space="preserve">1,246</w:t>
      </w:r>
    </w:p>
    <w:p>
      <w:pPr>
        <w:pStyle w:val="BodyText"/>
      </w:pPr>
      <w:r>
        <w:t xml:space="preserve">1,278</w:t>
      </w:r>
    </w:p>
    <w:p>
      <w:pPr>
        <w:pStyle w:val="BodyText"/>
      </w:pPr>
      <w:r>
        <w:t xml:space="preserve">1,348</w:t>
      </w:r>
    </w:p>
    <w:p>
      <w:pPr>
        <w:pStyle w:val="BodyText"/>
      </w:pPr>
      <w:r>
        <w:t xml:space="preserve">1,496</w:t>
      </w:r>
    </w:p>
    <w:p>
      <w:pPr>
        <w:pStyle w:val="BodyText"/>
      </w:pPr>
      <w:r>
        <w:t xml:space="preserve">Stock-based compensation expense</w:t>
      </w:r>
    </w:p>
    <w:p>
      <w:pPr>
        <w:pStyle w:val="BodyText"/>
      </w:pPr>
      <w:r>
        <w:t xml:space="preserve">484</w:t>
      </w:r>
    </w:p>
    <w:p>
      <w:pPr>
        <w:pStyle w:val="BodyText"/>
      </w:pPr>
      <w:r>
        <w:t xml:space="preserve">524</w:t>
      </w:r>
    </w:p>
    <w:p>
      <w:pPr>
        <w:pStyle w:val="BodyText"/>
      </w:pPr>
      <w:r>
        <w:t xml:space="preserve">439</w:t>
      </w:r>
    </w:p>
    <w:p>
      <w:pPr>
        <w:pStyle w:val="BodyText"/>
      </w:pPr>
      <w:r>
        <w:t xml:space="preserve">457</w:t>
      </w:r>
    </w:p>
    <w:p>
      <w:pPr>
        <w:pStyle w:val="BodyText"/>
      </w:pPr>
      <w:r>
        <w:t xml:space="preserve">579</w:t>
      </w:r>
    </w:p>
    <w:p>
      <w:pPr>
        <w:pStyle w:val="BodyText"/>
      </w:pPr>
      <w:r>
        <w:t xml:space="preserve">Adjusted EBITDA (non-GAAP)</w:t>
      </w:r>
    </w:p>
    <w:p>
      <w:pPr>
        <w:pStyle w:val="BodyText"/>
      </w:pPr>
      <w:r>
        <w:t xml:space="preserve">3,953</w:t>
      </w:r>
    </w:p>
    <w:p>
      <w:pPr>
        <w:pStyle w:val="BodyText"/>
      </w:pPr>
      <w:r>
        <w:t xml:space="preserve">3,384</w:t>
      </w:r>
    </w:p>
    <w:p>
      <w:pPr>
        <w:pStyle w:val="BodyText"/>
      </w:pPr>
      <w:r>
        <w:t xml:space="preserve">3,674</w:t>
      </w:r>
    </w:p>
    <w:p>
      <w:pPr>
        <w:pStyle w:val="BodyText"/>
      </w:pPr>
      <w:r>
        <w:t xml:space="preserve">4,665</w:t>
      </w:r>
    </w:p>
    <w:p>
      <w:pPr>
        <w:pStyle w:val="BodyText"/>
      </w:pPr>
      <w:r>
        <w:t xml:space="preserve">4,922</w:t>
      </w:r>
    </w:p>
    <w:p>
      <w:pPr>
        <w:pStyle w:val="BodyText"/>
      </w:pPr>
      <w:r>
        <w:t xml:space="preserve">Total revenues</w:t>
      </w:r>
    </w:p>
    <w:p>
      <w:pPr>
        <w:pStyle w:val="BodyText"/>
      </w:pPr>
      <w:r>
        <w:t xml:space="preserve">25,167</w:t>
      </w:r>
    </w:p>
    <w:p>
      <w:pPr>
        <w:pStyle w:val="BodyText"/>
      </w:pPr>
      <w:r>
        <w:t xml:space="preserve">21,301</w:t>
      </w:r>
    </w:p>
    <w:p>
      <w:pPr>
        <w:pStyle w:val="BodyText"/>
      </w:pPr>
      <w:r>
        <w:t xml:space="preserve">25,500</w:t>
      </w:r>
    </w:p>
    <w:p>
      <w:pPr>
        <w:pStyle w:val="BodyText"/>
      </w:pPr>
      <w:r>
        <w:t xml:space="preserve">25,182</w:t>
      </w:r>
    </w:p>
    <w:p>
      <w:pPr>
        <w:pStyle w:val="BodyText"/>
      </w:pPr>
      <w:r>
        <w:t xml:space="preserve">25,707</w:t>
      </w:r>
    </w:p>
    <w:p>
      <w:pPr>
        <w:pStyle w:val="BodyText"/>
      </w:pPr>
      <w:r>
        <w:t xml:space="preserve">Adjusted EBITDA margin (non-GAAP)</w:t>
      </w:r>
    </w:p>
    <w:p>
      <w:pPr>
        <w:pStyle w:val="BodyText"/>
      </w:pPr>
      <w:r>
        <w:t xml:space="preserve">15.7%</w:t>
      </w:r>
    </w:p>
    <w:p>
      <w:pPr>
        <w:pStyle w:val="BodyText"/>
      </w:pPr>
      <w:r>
        <w:t xml:space="preserve">15.9%</w:t>
      </w:r>
    </w:p>
    <w:p>
      <w:pPr>
        <w:pStyle w:val="BodyText"/>
      </w:pPr>
      <w:r>
        <w:t xml:space="preserve">14.4%</w:t>
      </w:r>
    </w:p>
    <w:p>
      <w:pPr>
        <w:pStyle w:val="BodyText"/>
      </w:pPr>
      <w:r>
        <w:t xml:space="preserve">18.5%</w:t>
      </w:r>
    </w:p>
    <w:p>
      <w:pPr>
        <w:pStyle w:val="BodyText"/>
      </w:pPr>
      <w:r>
        <w:t xml:space="preserve">19.1%</w:t>
      </w:r>
    </w:p>
    <w:p>
      <w:pPr>
        <w:pStyle w:val="BodyText"/>
      </w:pPr>
      <w:r>
        <w:t xml:space="preserve">R E C O N C I L I A T I O N O F G A A P T O N O N – G A A P F I N A N C I A L I N F O R M A T I O N</w:t>
      </w:r>
      <w:r>
        <w:br/>
      </w:r>
      <w:r>
        <w:t xml:space="preserve">(Unaudited)</w:t>
      </w:r>
    </w:p>
    <w:p>
      <w:pPr>
        <w:pStyle w:val="BodyText"/>
      </w:pPr>
      <w:r>
        <w:t xml:space="preserve">In millions of USD or shares as applicable, except per share data</w:t>
      </w:r>
    </w:p>
    <w:p>
      <w:pPr>
        <w:pStyle w:val="BodyText"/>
      </w:pPr>
      <w:r>
        <w:t xml:space="preserve">2020</w:t>
      </w:r>
    </w:p>
    <w:p>
      <w:pPr>
        <w:pStyle w:val="BodyText"/>
      </w:pPr>
      <w:r>
        <w:t xml:space="preserve">2021</w:t>
      </w:r>
    </w:p>
    <w:p>
      <w:pPr>
        <w:pStyle w:val="BodyText"/>
      </w:pPr>
      <w:r>
        <w:t xml:space="preserve">2022</w:t>
      </w:r>
    </w:p>
    <w:p>
      <w:pPr>
        <w:pStyle w:val="BodyText"/>
      </w:pPr>
      <w:r>
        <w:t xml:space="preserve">2023</w:t>
      </w:r>
    </w:p>
    <w:p>
      <w:pPr>
        <w:pStyle w:val="BodyText"/>
      </w:pPr>
      <w:r>
        <w:t xml:space="preserve">2024</w:t>
      </w:r>
    </w:p>
    <w:p>
      <w:pPr>
        <w:pStyle w:val="BodyText"/>
      </w:pPr>
      <w:r>
        <w:t xml:space="preserve">Net income attributable to common stockholders (GAAP)</w:t>
      </w:r>
    </w:p>
    <w:p>
      <w:pPr>
        <w:pStyle w:val="BodyText"/>
      </w:pPr>
      <w:r>
        <w:t xml:space="preserve">721</w:t>
      </w:r>
    </w:p>
    <w:p>
      <w:pPr>
        <w:pStyle w:val="BodyText"/>
      </w:pPr>
      <w:r>
        <w:t xml:space="preserve">5,519</w:t>
      </w:r>
    </w:p>
    <w:p>
      <w:pPr>
        <w:pStyle w:val="BodyText"/>
      </w:pPr>
      <w:r>
        <w:t xml:space="preserve">12,556</w:t>
      </w:r>
    </w:p>
    <w:p>
      <w:pPr>
        <w:pStyle w:val="BodyText"/>
      </w:pPr>
      <w:r>
        <w:t xml:space="preserve">14,997</w:t>
      </w:r>
    </w:p>
    <w:p>
      <w:pPr>
        <w:pStyle w:val="BodyText"/>
      </w:pPr>
      <w:r>
        <w:t xml:space="preserve">7,091</w:t>
      </w:r>
    </w:p>
    <w:p>
      <w:pPr>
        <w:pStyle w:val="BodyText"/>
      </w:pPr>
      <w:r>
        <w:t xml:space="preserve">Stock-based compensation expense, net of tax</w:t>
      </w:r>
    </w:p>
    <w:p>
      <w:pPr>
        <w:pStyle w:val="BodyText"/>
      </w:pPr>
      <w:r>
        <w:t xml:space="preserve">1,734</w:t>
      </w:r>
    </w:p>
    <w:p>
      <w:pPr>
        <w:pStyle w:val="BodyText"/>
      </w:pPr>
      <w:r>
        <w:t xml:space="preserve">2,121</w:t>
      </w:r>
    </w:p>
    <w:p>
      <w:pPr>
        <w:pStyle w:val="BodyText"/>
      </w:pPr>
      <w:r>
        <w:t xml:space="preserve">1,560</w:t>
      </w:r>
    </w:p>
    <w:p>
      <w:pPr>
        <w:pStyle w:val="BodyText"/>
      </w:pPr>
      <w:r>
        <w:t xml:space="preserve">1,812</w:t>
      </w:r>
    </w:p>
    <w:p>
      <w:pPr>
        <w:pStyle w:val="BodyText"/>
      </w:pPr>
      <w:r>
        <w:t xml:space="preserve">1,328</w:t>
      </w:r>
    </w:p>
    <w:p>
      <w:pPr>
        <w:pStyle w:val="BodyText"/>
      </w:pPr>
      <w:r>
        <w:t xml:space="preserve">Release of valuation allowance on deferred tax assets</w:t>
      </w:r>
    </w:p>
    <w:p>
      <w:pPr>
        <w:pStyle w:val="BodyText"/>
      </w:pPr>
      <w:r>
        <w:t xml:space="preserve">—</w:t>
      </w:r>
    </w:p>
    <w:p>
      <w:pPr>
        <w:pStyle w:val="BodyText"/>
      </w:pPr>
      <w:r>
        <w:t xml:space="preserve">—</w:t>
      </w:r>
    </w:p>
    <w:p>
      <w:pPr>
        <w:pStyle w:val="BodyText"/>
      </w:pPr>
      <w:r>
        <w:t xml:space="preserve">—</w:t>
      </w:r>
    </w:p>
    <w:p>
      <w:pPr>
        <w:pStyle w:val="BodyText"/>
      </w:pPr>
      <w:r>
        <w:t xml:space="preserve">(5,927)</w:t>
      </w:r>
    </w:p>
    <w:p>
      <w:pPr>
        <w:pStyle w:val="BodyText"/>
      </w:pPr>
      <w:r>
        <w:t xml:space="preserve">—</w:t>
      </w:r>
    </w:p>
    <w:p>
      <w:pPr>
        <w:pStyle w:val="BodyText"/>
      </w:pPr>
      <w:r>
        <w:t xml:space="preserve">Net income attributable to common stockholders (non-GAAP)</w:t>
      </w:r>
    </w:p>
    <w:p>
      <w:pPr>
        <w:pStyle w:val="BodyText"/>
      </w:pPr>
      <w:r>
        <w:t xml:space="preserve">2,455</w:t>
      </w:r>
    </w:p>
    <w:p>
      <w:pPr>
        <w:pStyle w:val="BodyText"/>
      </w:pPr>
      <w:r>
        <w:t xml:space="preserve">7,640</w:t>
      </w:r>
    </w:p>
    <w:p>
      <w:pPr>
        <w:pStyle w:val="BodyText"/>
      </w:pPr>
      <w:r>
        <w:t xml:space="preserve">14,116</w:t>
      </w:r>
    </w:p>
    <w:p>
      <w:pPr>
        <w:pStyle w:val="BodyText"/>
      </w:pPr>
      <w:r>
        <w:t xml:space="preserve">10,882</w:t>
      </w:r>
    </w:p>
    <w:p>
      <w:pPr>
        <w:pStyle w:val="BodyText"/>
      </w:pPr>
      <w:r>
        <w:t xml:space="preserve">8,419</w:t>
      </w:r>
    </w:p>
    <w:p>
      <w:pPr>
        <w:pStyle w:val="BodyText"/>
      </w:pPr>
      <w:r>
        <w:t xml:space="preserve">Less: Buy-outs of noncontrolling interests</w:t>
      </w:r>
    </w:p>
    <w:p>
      <w:pPr>
        <w:pStyle w:val="BodyText"/>
      </w:pPr>
      <w:r>
        <w:t xml:space="preserve">31</w:t>
      </w:r>
    </w:p>
    <w:p>
      <w:pPr>
        <w:pStyle w:val="BodyText"/>
      </w:pPr>
      <w:r>
        <w:t xml:space="preserve">(5)</w:t>
      </w:r>
    </w:p>
    <w:p>
      <w:pPr>
        <w:pStyle w:val="BodyText"/>
      </w:pPr>
      <w:r>
        <w:t xml:space="preserve">(27)</w:t>
      </w:r>
    </w:p>
    <w:p>
      <w:pPr>
        <w:pStyle w:val="BodyText"/>
      </w:pPr>
      <w:r>
        <w:t xml:space="preserve">(2)</w:t>
      </w:r>
    </w:p>
    <w:p>
      <w:pPr>
        <w:pStyle w:val="BodyText"/>
      </w:pPr>
      <w:r>
        <w:t xml:space="preserve">(39)</w:t>
      </w:r>
    </w:p>
    <w:p>
      <w:pPr>
        <w:pStyle w:val="BodyText"/>
      </w:pPr>
      <w:r>
        <w:t xml:space="preserve">Less: Dilutive convertible debt</w:t>
      </w:r>
    </w:p>
    <w:p>
      <w:pPr>
        <w:pStyle w:val="BodyText"/>
      </w:pPr>
      <w:r>
        <w:t xml:space="preserve">—</w:t>
      </w:r>
    </w:p>
    <w:p>
      <w:pPr>
        <w:pStyle w:val="BodyText"/>
      </w:pPr>
      <w:r>
        <w:t xml:space="preserve">(9)</w:t>
      </w:r>
    </w:p>
    <w:p>
      <w:pPr>
        <w:pStyle w:val="BodyText"/>
      </w:pPr>
      <w:r>
        <w:t xml:space="preserve">(1)</w:t>
      </w:r>
    </w:p>
    <w:p>
      <w:pPr>
        <w:pStyle w:val="BodyText"/>
      </w:pPr>
      <w:r>
        <w:t xml:space="preserve">—</w:t>
      </w:r>
    </w:p>
    <w:p>
      <w:pPr>
        <w:pStyle w:val="BodyText"/>
      </w:pPr>
      <w:r>
        <w:t xml:space="preserve">—</w:t>
      </w:r>
    </w:p>
    <w:p>
      <w:pPr>
        <w:pStyle w:val="BodyText"/>
      </w:pPr>
      <w:r>
        <w:t xml:space="preserve">Net income used in computing diluted EPS attributable to common stockholders (non-GAAP)</w:t>
      </w:r>
    </w:p>
    <w:p>
      <w:pPr>
        <w:pStyle w:val="BodyText"/>
      </w:pPr>
      <w:r>
        <w:t xml:space="preserve">2,424</w:t>
      </w:r>
    </w:p>
    <w:p>
      <w:pPr>
        <w:pStyle w:val="BodyText"/>
      </w:pPr>
      <w:r>
        <w:t xml:space="preserve">7,654</w:t>
      </w:r>
    </w:p>
    <w:p>
      <w:pPr>
        <w:pStyle w:val="BodyText"/>
      </w:pPr>
      <w:r>
        <w:t xml:space="preserve">14,143</w:t>
      </w:r>
    </w:p>
    <w:p>
      <w:pPr>
        <w:pStyle w:val="BodyText"/>
      </w:pPr>
      <w:r>
        <w:t xml:space="preserve">10,884</w:t>
      </w:r>
    </w:p>
    <w:p>
      <w:pPr>
        <w:pStyle w:val="BodyText"/>
      </w:pPr>
      <w:r>
        <w:t xml:space="preserve">8,458</w:t>
      </w:r>
    </w:p>
    <w:p>
      <w:pPr>
        <w:pStyle w:val="BodyText"/>
      </w:pPr>
      <w:r>
        <w:t xml:space="preserve">EPS attributable to common stockholders, diluted (GAAP)</w:t>
      </w:r>
    </w:p>
    <w:p>
      <w:pPr>
        <w:pStyle w:val="BodyText"/>
      </w:pPr>
      <w:r>
        <w:t xml:space="preserve">0.21</w:t>
      </w:r>
    </w:p>
    <w:p>
      <w:pPr>
        <w:pStyle w:val="BodyText"/>
      </w:pPr>
      <w:r>
        <w:t xml:space="preserve">1.63</w:t>
      </w:r>
    </w:p>
    <w:p>
      <w:pPr>
        <w:pStyle w:val="BodyText"/>
      </w:pPr>
      <w:r>
        <w:t xml:space="preserve">3.62</w:t>
      </w:r>
    </w:p>
    <w:p>
      <w:pPr>
        <w:pStyle w:val="BodyText"/>
      </w:pPr>
      <w:r>
        <w:t xml:space="preserve">4.30</w:t>
      </w:r>
    </w:p>
    <w:p>
      <w:pPr>
        <w:pStyle w:val="BodyText"/>
      </w:pPr>
      <w:r>
        <w:t xml:space="preserve">2.04</w:t>
      </w:r>
    </w:p>
    <w:p>
      <w:pPr>
        <w:pStyle w:val="BodyText"/>
      </w:pPr>
      <w:r>
        <w:t xml:space="preserve">Stock-based compensation expense per share, net of tax</w:t>
      </w:r>
    </w:p>
    <w:p>
      <w:pPr>
        <w:pStyle w:val="BodyText"/>
      </w:pPr>
      <w:r>
        <w:t xml:space="preserve">0.54</w:t>
      </w:r>
    </w:p>
    <w:p>
      <w:pPr>
        <w:pStyle w:val="BodyText"/>
      </w:pPr>
      <w:r>
        <w:t xml:space="preserve">0.63</w:t>
      </w:r>
    </w:p>
    <w:p>
      <w:pPr>
        <w:pStyle w:val="BodyText"/>
      </w:pPr>
      <w:r>
        <w:t xml:space="preserve">0.45</w:t>
      </w:r>
    </w:p>
    <w:p>
      <w:pPr>
        <w:pStyle w:val="BodyText"/>
      </w:pPr>
      <w:r>
        <w:t xml:space="preserve">0.52</w:t>
      </w:r>
    </w:p>
    <w:p>
      <w:pPr>
        <w:pStyle w:val="BodyText"/>
      </w:pPr>
      <w:r>
        <w:t xml:space="preserve">0.38</w:t>
      </w:r>
    </w:p>
    <w:p>
      <w:pPr>
        <w:pStyle w:val="BodyText"/>
      </w:pPr>
      <w:r>
        <w:t xml:space="preserve">Release of valuation allowance on deferred tax assets per share</w:t>
      </w:r>
    </w:p>
    <w:p>
      <w:pPr>
        <w:pStyle w:val="BodyText"/>
      </w:pPr>
      <w:r>
        <w:t xml:space="preserve">—</w:t>
      </w:r>
    </w:p>
    <w:p>
      <w:pPr>
        <w:pStyle w:val="BodyText"/>
      </w:pPr>
      <w:r>
        <w:t xml:space="preserve">—</w:t>
      </w:r>
    </w:p>
    <w:p>
      <w:pPr>
        <w:pStyle w:val="BodyText"/>
      </w:pPr>
      <w:r>
        <w:t xml:space="preserve">—</w:t>
      </w:r>
    </w:p>
    <w:p>
      <w:pPr>
        <w:pStyle w:val="BodyText"/>
      </w:pPr>
      <w:r>
        <w:t xml:space="preserve">(1.70)</w:t>
      </w:r>
    </w:p>
    <w:p>
      <w:pPr>
        <w:pStyle w:val="BodyText"/>
      </w:pPr>
      <w:r>
        <w:t xml:space="preserve">—</w:t>
      </w:r>
    </w:p>
    <w:p>
      <w:pPr>
        <w:pStyle w:val="BodyText"/>
      </w:pPr>
      <w:r>
        <w:t xml:space="preserve">EPS attributable to common stockholders, diluted (non-GAAP)</w:t>
      </w:r>
    </w:p>
    <w:p>
      <w:pPr>
        <w:pStyle w:val="BodyText"/>
      </w:pPr>
      <w:r>
        <w:t xml:space="preserve">0.75</w:t>
      </w:r>
    </w:p>
    <w:p>
      <w:pPr>
        <w:pStyle w:val="BodyText"/>
      </w:pPr>
      <w:r>
        <w:t xml:space="preserve">2.26</w:t>
      </w:r>
    </w:p>
    <w:p>
      <w:pPr>
        <w:pStyle w:val="BodyText"/>
      </w:pPr>
      <w:r>
        <w:t xml:space="preserve">4.07</w:t>
      </w:r>
    </w:p>
    <w:p>
      <w:pPr>
        <w:pStyle w:val="BodyText"/>
      </w:pPr>
      <w:r>
        <w:t xml:space="preserve">3.12</w:t>
      </w:r>
    </w:p>
    <w:p>
      <w:pPr>
        <w:pStyle w:val="BodyText"/>
      </w:pPr>
      <w:r>
        <w:t xml:space="preserve">2.42</w:t>
      </w:r>
    </w:p>
    <w:p>
      <w:pPr>
        <w:pStyle w:val="BodyText"/>
      </w:pPr>
      <w:r>
        <w:t xml:space="preserve">Shares used in EPS calculation, diluted (GAAP and non-GAAP)</w:t>
      </w:r>
    </w:p>
    <w:p>
      <w:pPr>
        <w:pStyle w:val="BodyText"/>
      </w:pPr>
      <w:r>
        <w:t xml:space="preserve">3,249</w:t>
      </w:r>
    </w:p>
    <w:p>
      <w:pPr>
        <w:pStyle w:val="BodyText"/>
      </w:pPr>
      <w:r>
        <w:t xml:space="preserve">3,386</w:t>
      </w:r>
    </w:p>
    <w:p>
      <w:pPr>
        <w:pStyle w:val="BodyText"/>
      </w:pPr>
      <w:r>
        <w:t xml:space="preserve">3,475</w:t>
      </w:r>
    </w:p>
    <w:p>
      <w:pPr>
        <w:pStyle w:val="BodyText"/>
      </w:pPr>
      <w:r>
        <w:t xml:space="preserve">3,485</w:t>
      </w:r>
    </w:p>
    <w:p>
      <w:pPr>
        <w:pStyle w:val="BodyText"/>
      </w:pPr>
      <w:r>
        <w:t xml:space="preserve">3,498</w:t>
      </w:r>
    </w:p>
    <w:p>
      <w:pPr>
        <w:pStyle w:val="BodyText"/>
      </w:pPr>
      <w:r>
        <w:t xml:space="preserve">Net income attributable to common stockholders (GAAP)</w:t>
      </w:r>
    </w:p>
    <w:p>
      <w:pPr>
        <w:pStyle w:val="BodyText"/>
      </w:pPr>
      <w:r>
        <w:t xml:space="preserve">721</w:t>
      </w:r>
    </w:p>
    <w:p>
      <w:pPr>
        <w:pStyle w:val="BodyText"/>
      </w:pPr>
      <w:r>
        <w:t xml:space="preserve">5,519</w:t>
      </w:r>
    </w:p>
    <w:p>
      <w:pPr>
        <w:pStyle w:val="BodyText"/>
      </w:pPr>
      <w:r>
        <w:t xml:space="preserve">12,556</w:t>
      </w:r>
    </w:p>
    <w:p>
      <w:pPr>
        <w:pStyle w:val="BodyText"/>
      </w:pPr>
      <w:r>
        <w:t xml:space="preserve">14,997</w:t>
      </w:r>
    </w:p>
    <w:p>
      <w:pPr>
        <w:pStyle w:val="BodyText"/>
      </w:pPr>
      <w:r>
        <w:t xml:space="preserve">7,091</w:t>
      </w:r>
    </w:p>
    <w:p>
      <w:pPr>
        <w:pStyle w:val="BodyText"/>
      </w:pPr>
      <w:r>
        <w:t xml:space="preserve">Interest expense</w:t>
      </w:r>
    </w:p>
    <w:p>
      <w:pPr>
        <w:pStyle w:val="BodyText"/>
      </w:pPr>
      <w:r>
        <w:t xml:space="preserve">748</w:t>
      </w:r>
    </w:p>
    <w:p>
      <w:pPr>
        <w:pStyle w:val="BodyText"/>
      </w:pPr>
      <w:r>
        <w:t xml:space="preserve">371</w:t>
      </w:r>
    </w:p>
    <w:p>
      <w:pPr>
        <w:pStyle w:val="BodyText"/>
      </w:pPr>
      <w:r>
        <w:t xml:space="preserve">191</w:t>
      </w:r>
    </w:p>
    <w:p>
      <w:pPr>
        <w:pStyle w:val="BodyText"/>
      </w:pPr>
      <w:r>
        <w:t xml:space="preserve">156</w:t>
      </w:r>
    </w:p>
    <w:p>
      <w:pPr>
        <w:pStyle w:val="BodyText"/>
      </w:pPr>
      <w:r>
        <w:t xml:space="preserve">350</w:t>
      </w:r>
    </w:p>
    <w:p>
      <w:pPr>
        <w:pStyle w:val="BodyText"/>
      </w:pPr>
      <w:r>
        <w:t xml:space="preserve">Provision for (benefit from) income taxes</w:t>
      </w:r>
    </w:p>
    <w:p>
      <w:pPr>
        <w:pStyle w:val="BodyText"/>
      </w:pPr>
      <w:r>
        <w:t xml:space="preserve">292</w:t>
      </w:r>
    </w:p>
    <w:p>
      <w:pPr>
        <w:pStyle w:val="BodyText"/>
      </w:pPr>
      <w:r>
        <w:t xml:space="preserve">699</w:t>
      </w:r>
    </w:p>
    <w:p>
      <w:pPr>
        <w:pStyle w:val="BodyText"/>
      </w:pPr>
      <w:r>
        <w:t xml:space="preserve">1,132</w:t>
      </w:r>
    </w:p>
    <w:p>
      <w:pPr>
        <w:pStyle w:val="BodyText"/>
      </w:pPr>
      <w:r>
        <w:t xml:space="preserve">(5,001)</w:t>
      </w:r>
    </w:p>
    <w:p>
      <w:pPr>
        <w:pStyle w:val="BodyText"/>
      </w:pPr>
      <w:r>
        <w:t xml:space="preserve">1,837</w:t>
      </w:r>
    </w:p>
    <w:p>
      <w:pPr>
        <w:pStyle w:val="BodyText"/>
      </w:pPr>
      <w:r>
        <w:t xml:space="preserve">Depreciation, amortization and impairment</w:t>
      </w:r>
    </w:p>
    <w:p>
      <w:pPr>
        <w:pStyle w:val="BodyText"/>
      </w:pPr>
      <w:r>
        <w:t xml:space="preserve">2,322</w:t>
      </w:r>
    </w:p>
    <w:p>
      <w:pPr>
        <w:pStyle w:val="BodyText"/>
      </w:pPr>
      <w:r>
        <w:t xml:space="preserve">2,911</w:t>
      </w:r>
    </w:p>
    <w:p>
      <w:pPr>
        <w:pStyle w:val="BodyText"/>
      </w:pPr>
      <w:r>
        <w:t xml:space="preserve">3,747</w:t>
      </w:r>
    </w:p>
    <w:p>
      <w:pPr>
        <w:pStyle w:val="BodyText"/>
      </w:pPr>
      <w:r>
        <w:t xml:space="preserve">4,667</w:t>
      </w:r>
    </w:p>
    <w:p>
      <w:pPr>
        <w:pStyle w:val="BodyText"/>
      </w:pPr>
      <w:r>
        <w:t xml:space="preserve">5,368</w:t>
      </w:r>
    </w:p>
    <w:p>
      <w:pPr>
        <w:pStyle w:val="BodyText"/>
      </w:pPr>
      <w:r>
        <w:t xml:space="preserve">Stock-based compensation expense</w:t>
      </w:r>
    </w:p>
    <w:p>
      <w:pPr>
        <w:pStyle w:val="BodyText"/>
      </w:pPr>
      <w:r>
        <w:t xml:space="preserve">1,734</w:t>
      </w:r>
    </w:p>
    <w:p>
      <w:pPr>
        <w:pStyle w:val="BodyText"/>
      </w:pPr>
      <w:r>
        <w:t xml:space="preserve">2,121</w:t>
      </w:r>
    </w:p>
    <w:p>
      <w:pPr>
        <w:pStyle w:val="BodyText"/>
      </w:pPr>
      <w:r>
        <w:t xml:space="preserve">1,560</w:t>
      </w:r>
    </w:p>
    <w:p>
      <w:pPr>
        <w:pStyle w:val="BodyText"/>
      </w:pPr>
      <w:r>
        <w:t xml:space="preserve">1,812</w:t>
      </w:r>
    </w:p>
    <w:p>
      <w:pPr>
        <w:pStyle w:val="BodyText"/>
      </w:pPr>
      <w:r>
        <w:t xml:space="preserve">1,999</w:t>
      </w:r>
    </w:p>
    <w:p>
      <w:pPr>
        <w:pStyle w:val="BodyText"/>
      </w:pPr>
      <w:r>
        <w:t xml:space="preserve">Adjusted EBITDA (non-GAAP)</w:t>
      </w:r>
    </w:p>
    <w:p>
      <w:pPr>
        <w:pStyle w:val="BodyText"/>
      </w:pPr>
      <w:r>
        <w:t xml:space="preserve">5,817</w:t>
      </w:r>
    </w:p>
    <w:p>
      <w:pPr>
        <w:pStyle w:val="BodyText"/>
      </w:pPr>
      <w:r>
        <w:t xml:space="preserve">11,621</w:t>
      </w:r>
    </w:p>
    <w:p>
      <w:pPr>
        <w:pStyle w:val="BodyText"/>
      </w:pPr>
      <w:r>
        <w:t xml:space="preserve">19,186</w:t>
      </w:r>
    </w:p>
    <w:p>
      <w:pPr>
        <w:pStyle w:val="BodyText"/>
      </w:pPr>
      <w:r>
        <w:t xml:space="preserve">16,331</w:t>
      </w:r>
    </w:p>
    <w:p>
      <w:pPr>
        <w:pStyle w:val="BodyText"/>
      </w:pPr>
      <w:r>
        <w:t xml:space="preserve">16,645</w:t>
      </w:r>
    </w:p>
    <w:p>
      <w:pPr>
        <w:pStyle w:val="BodyText"/>
      </w:pPr>
      <w:r>
        <w:t xml:space="preserve">Total revenues</w:t>
      </w:r>
    </w:p>
    <w:p>
      <w:pPr>
        <w:pStyle w:val="BodyText"/>
      </w:pPr>
      <w:r>
        <w:t xml:space="preserve">31,536</w:t>
      </w:r>
    </w:p>
    <w:p>
      <w:pPr>
        <w:pStyle w:val="BodyText"/>
      </w:pPr>
      <w:r>
        <w:t xml:space="preserve">53,823</w:t>
      </w:r>
    </w:p>
    <w:p>
      <w:pPr>
        <w:pStyle w:val="BodyText"/>
      </w:pPr>
      <w:r>
        <w:t xml:space="preserve">81,462</w:t>
      </w:r>
    </w:p>
    <w:p>
      <w:pPr>
        <w:pStyle w:val="BodyText"/>
      </w:pPr>
      <w:r>
        <w:t xml:space="preserve">96,773</w:t>
      </w:r>
    </w:p>
    <w:p>
      <w:pPr>
        <w:pStyle w:val="BodyText"/>
      </w:pPr>
      <w:r>
        <w:t xml:space="preserve">97,690</w:t>
      </w:r>
    </w:p>
    <w:p>
      <w:pPr>
        <w:pStyle w:val="BodyText"/>
      </w:pPr>
      <w:r>
        <w:t xml:space="preserve">Adjusted EBITDA margin (non-GAAP)</w:t>
      </w:r>
    </w:p>
    <w:p>
      <w:pPr>
        <w:pStyle w:val="BodyText"/>
      </w:pPr>
      <w:r>
        <w:t xml:space="preserve">18.4%</w:t>
      </w:r>
    </w:p>
    <w:p>
      <w:pPr>
        <w:pStyle w:val="BodyText"/>
      </w:pPr>
      <w:r>
        <w:t xml:space="preserve">21.6%</w:t>
      </w:r>
    </w:p>
    <w:p>
      <w:pPr>
        <w:pStyle w:val="BodyText"/>
      </w:pPr>
      <w:r>
        <w:t xml:space="preserve">23.6%</w:t>
      </w:r>
    </w:p>
    <w:p>
      <w:pPr>
        <w:pStyle w:val="BodyText"/>
      </w:pPr>
      <w:r>
        <w:t xml:space="preserve">17.2%</w:t>
      </w:r>
    </w:p>
    <w:p>
      <w:pPr>
        <w:pStyle w:val="BodyText"/>
      </w:pPr>
      <w:r>
        <w:t xml:space="preserve">17.0%</w:t>
      </w:r>
    </w:p>
    <w:p>
      <w:pPr>
        <w:pStyle w:val="BodyText"/>
      </w:pPr>
      <w:r>
        <w:t xml:space="preserve">R E C O N C I L I A T I O N O F G A A P T O N O N – G A A P F I N A N C I A L I N F O R M A T I O N</w:t>
      </w:r>
      <w:r>
        <w:br/>
      </w:r>
      <w:r>
        <w:t xml:space="preserve">(Unaudited)</w:t>
      </w:r>
    </w:p>
    <w:p>
      <w:pPr>
        <w:pStyle w:val="BodyText"/>
      </w:pPr>
      <w:r>
        <w:t xml:space="preserve">In millions of USD</w:t>
      </w:r>
    </w:p>
    <w:p>
      <w:pPr>
        <w:pStyle w:val="BodyText"/>
      </w:pPr>
      <w:r>
        <w:t xml:space="preserve">2Q-2021</w:t>
      </w:r>
    </w:p>
    <w:p>
      <w:pPr>
        <w:pStyle w:val="BodyText"/>
      </w:pPr>
      <w:r>
        <w:t xml:space="preserve">3Q-2021</w:t>
      </w:r>
    </w:p>
    <w:p>
      <w:pPr>
        <w:pStyle w:val="BodyText"/>
      </w:pPr>
      <w:r>
        <w:t xml:space="preserve">4Q-2021</w:t>
      </w:r>
    </w:p>
    <w:p>
      <w:pPr>
        <w:pStyle w:val="BodyText"/>
      </w:pPr>
      <w:r>
        <w:t xml:space="preserve">1Q-2022</w:t>
      </w:r>
    </w:p>
    <w:p>
      <w:pPr>
        <w:pStyle w:val="BodyText"/>
      </w:pPr>
      <w:r>
        <w:t xml:space="preserve">2Q-2022</w:t>
      </w:r>
    </w:p>
    <w:p>
      <w:pPr>
        <w:pStyle w:val="BodyText"/>
      </w:pPr>
      <w:r>
        <w:t xml:space="preserve">3Q-2022</w:t>
      </w:r>
    </w:p>
    <w:p>
      <w:pPr>
        <w:pStyle w:val="BodyText"/>
      </w:pPr>
      <w:r>
        <w:t xml:space="preserve">4Q-2022</w:t>
      </w:r>
    </w:p>
    <w:p>
      <w:pPr>
        <w:pStyle w:val="BodyText"/>
      </w:pPr>
      <w:r>
        <w:t xml:space="preserve">1Q-2023</w:t>
      </w:r>
    </w:p>
    <w:p>
      <w:pPr>
        <w:pStyle w:val="BodyText"/>
      </w:pPr>
      <w:r>
        <w:t xml:space="preserve">2Q-2023</w:t>
      </w:r>
    </w:p>
    <w:p>
      <w:pPr>
        <w:pStyle w:val="BodyText"/>
      </w:pPr>
      <w:r>
        <w:t xml:space="preserve">3Q-2023</w:t>
      </w:r>
    </w:p>
    <w:p>
      <w:pPr>
        <w:pStyle w:val="BodyText"/>
      </w:pPr>
      <w:r>
        <w:t xml:space="preserve">4Q-2023</w:t>
      </w:r>
    </w:p>
    <w:p>
      <w:pPr>
        <w:pStyle w:val="BodyText"/>
      </w:pPr>
      <w:r>
        <w:t xml:space="preserve">1Q-2024</w:t>
      </w:r>
    </w:p>
    <w:p>
      <w:pPr>
        <w:pStyle w:val="BodyText"/>
      </w:pPr>
      <w:r>
        <w:t xml:space="preserve">2Q-2024</w:t>
      </w:r>
    </w:p>
    <w:p>
      <w:pPr>
        <w:pStyle w:val="BodyText"/>
      </w:pPr>
      <w:r>
        <w:t xml:space="preserve">3Q-2024</w:t>
      </w:r>
    </w:p>
    <w:p>
      <w:pPr>
        <w:pStyle w:val="BodyText"/>
      </w:pPr>
      <w:r>
        <w:t xml:space="preserve">4Q-2024</w:t>
      </w:r>
    </w:p>
    <w:p>
      <w:pPr>
        <w:pStyle w:val="BodyText"/>
      </w:pPr>
      <w:r>
        <w:t xml:space="preserve">Net cash provided by operating activities (GAAP)</w:t>
      </w:r>
    </w:p>
    <w:p>
      <w:pPr>
        <w:pStyle w:val="BodyText"/>
      </w:pPr>
      <w:r>
        <w:t xml:space="preserve">2,124</w:t>
      </w:r>
    </w:p>
    <w:p>
      <w:pPr>
        <w:pStyle w:val="BodyText"/>
      </w:pPr>
      <w:r>
        <w:t xml:space="preserve">3,147</w:t>
      </w:r>
    </w:p>
    <w:p>
      <w:pPr>
        <w:pStyle w:val="BodyText"/>
      </w:pPr>
      <w:r>
        <w:t xml:space="preserve">4,585</w:t>
      </w:r>
    </w:p>
    <w:p>
      <w:pPr>
        <w:pStyle w:val="BodyText"/>
      </w:pPr>
      <w:r>
        <w:t xml:space="preserve">3,995</w:t>
      </w:r>
    </w:p>
    <w:p>
      <w:pPr>
        <w:pStyle w:val="BodyText"/>
      </w:pPr>
      <w:r>
        <w:t xml:space="preserve">2,351</w:t>
      </w:r>
    </w:p>
    <w:p>
      <w:pPr>
        <w:pStyle w:val="BodyText"/>
      </w:pPr>
      <w:r>
        <w:t xml:space="preserve">5,100</w:t>
      </w:r>
    </w:p>
    <w:p>
      <w:pPr>
        <w:pStyle w:val="BodyText"/>
      </w:pPr>
      <w:r>
        <w:t xml:space="preserve">3,278</w:t>
      </w:r>
    </w:p>
    <w:p>
      <w:pPr>
        <w:pStyle w:val="BodyText"/>
      </w:pPr>
      <w:r>
        <w:t xml:space="preserve">2,513</w:t>
      </w:r>
    </w:p>
    <w:p>
      <w:pPr>
        <w:pStyle w:val="BodyText"/>
      </w:pPr>
      <w:r>
        <w:t xml:space="preserve">3,065</w:t>
      </w:r>
    </w:p>
    <w:p>
      <w:pPr>
        <w:pStyle w:val="BodyText"/>
      </w:pPr>
      <w:r>
        <w:t xml:space="preserve">3,308</w:t>
      </w:r>
    </w:p>
    <w:p>
      <w:pPr>
        <w:pStyle w:val="BodyText"/>
      </w:pPr>
      <w:r>
        <w:t xml:space="preserve">4,370</w:t>
      </w:r>
    </w:p>
    <w:p>
      <w:pPr>
        <w:pStyle w:val="BodyText"/>
      </w:pPr>
      <w:r>
        <w:t xml:space="preserve">242</w:t>
      </w:r>
    </w:p>
    <w:p>
      <w:pPr>
        <w:pStyle w:val="BodyText"/>
      </w:pPr>
      <w:r>
        <w:t xml:space="preserve">3,612</w:t>
      </w:r>
    </w:p>
    <w:p>
      <w:pPr>
        <w:pStyle w:val="BodyText"/>
      </w:pPr>
      <w:r>
        <w:t xml:space="preserve">6,255</w:t>
      </w:r>
    </w:p>
    <w:p>
      <w:pPr>
        <w:pStyle w:val="BodyText"/>
      </w:pPr>
      <w:r>
        <w:t xml:space="preserve">4,814</w:t>
      </w:r>
    </w:p>
    <w:p>
      <w:pPr>
        <w:pStyle w:val="BodyText"/>
      </w:pPr>
      <w:r>
        <w:t xml:space="preserve">Capital expenditures</w:t>
      </w:r>
    </w:p>
    <w:p>
      <w:pPr>
        <w:pStyle w:val="BodyText"/>
      </w:pPr>
      <w:r>
        <w:t xml:space="preserve">(1,505)</w:t>
      </w:r>
    </w:p>
    <w:p>
      <w:pPr>
        <w:pStyle w:val="BodyText"/>
      </w:pPr>
      <w:r>
        <w:t xml:space="preserve">(1,819)</w:t>
      </w:r>
    </w:p>
    <w:p>
      <w:pPr>
        <w:pStyle w:val="BodyText"/>
      </w:pPr>
      <w:r>
        <w:t xml:space="preserve">(1,810)</w:t>
      </w:r>
    </w:p>
    <w:p>
      <w:pPr>
        <w:pStyle w:val="BodyText"/>
      </w:pPr>
      <w:r>
        <w:t xml:space="preserve">(1,767)</w:t>
      </w:r>
    </w:p>
    <w:p>
      <w:pPr>
        <w:pStyle w:val="BodyText"/>
      </w:pPr>
      <w:r>
        <w:t xml:space="preserve">(1,730)</w:t>
      </w:r>
    </w:p>
    <w:p>
      <w:pPr>
        <w:pStyle w:val="BodyText"/>
      </w:pPr>
      <w:r>
        <w:t xml:space="preserve">(1,803)</w:t>
      </w:r>
    </w:p>
    <w:p>
      <w:pPr>
        <w:pStyle w:val="BodyText"/>
      </w:pPr>
      <w:r>
        <w:t xml:space="preserve">(1,858)</w:t>
      </w:r>
    </w:p>
    <w:p>
      <w:pPr>
        <w:pStyle w:val="BodyText"/>
      </w:pPr>
      <w:r>
        <w:t xml:space="preserve">(2,072)</w:t>
      </w:r>
    </w:p>
    <w:p>
      <w:pPr>
        <w:pStyle w:val="BodyText"/>
      </w:pPr>
      <w:r>
        <w:t xml:space="preserve">(2,060)</w:t>
      </w:r>
    </w:p>
    <w:p>
      <w:pPr>
        <w:pStyle w:val="BodyText"/>
      </w:pPr>
      <w:r>
        <w:t xml:space="preserve">(2,460)</w:t>
      </w:r>
    </w:p>
    <w:p>
      <w:pPr>
        <w:pStyle w:val="BodyText"/>
      </w:pPr>
      <w:r>
        <w:t xml:space="preserve">(2,306)</w:t>
      </w:r>
    </w:p>
    <w:p>
      <w:pPr>
        <w:pStyle w:val="BodyText"/>
      </w:pPr>
      <w:r>
        <w:t xml:space="preserve">(2,773)</w:t>
      </w:r>
    </w:p>
    <w:p>
      <w:pPr>
        <w:pStyle w:val="BodyText"/>
      </w:pPr>
      <w:r>
        <w:t xml:space="preserve">(2,270)</w:t>
      </w:r>
    </w:p>
    <w:p>
      <w:pPr>
        <w:pStyle w:val="BodyText"/>
      </w:pPr>
      <w:r>
        <w:t xml:space="preserve">(3,513)</w:t>
      </w:r>
    </w:p>
    <w:p>
      <w:pPr>
        <w:pStyle w:val="BodyText"/>
      </w:pPr>
      <w:r>
        <w:t xml:space="preserve">(2,783)</w:t>
      </w:r>
    </w:p>
    <w:p>
      <w:pPr>
        <w:pStyle w:val="BodyText"/>
      </w:pPr>
      <w:r>
        <w:t xml:space="preserve">Free cash flow (non-GAAP)</w:t>
      </w:r>
    </w:p>
    <w:p>
      <w:pPr>
        <w:pStyle w:val="BodyText"/>
      </w:pPr>
      <w:r>
        <w:t xml:space="preserve">619</w:t>
      </w:r>
    </w:p>
    <w:p>
      <w:pPr>
        <w:pStyle w:val="BodyText"/>
      </w:pPr>
      <w:r>
        <w:t xml:space="preserve">1,328</w:t>
      </w:r>
    </w:p>
    <w:p>
      <w:pPr>
        <w:pStyle w:val="BodyText"/>
      </w:pPr>
      <w:r>
        <w:t xml:space="preserve">2,775</w:t>
      </w:r>
    </w:p>
    <w:p>
      <w:pPr>
        <w:pStyle w:val="BodyText"/>
      </w:pPr>
      <w:r>
        <w:t xml:space="preserve">2,228</w:t>
      </w:r>
    </w:p>
    <w:p>
      <w:pPr>
        <w:pStyle w:val="BodyText"/>
      </w:pPr>
      <w:r>
        <w:t xml:space="preserve">621</w:t>
      </w:r>
    </w:p>
    <w:p>
      <w:pPr>
        <w:pStyle w:val="BodyText"/>
      </w:pPr>
      <w:r>
        <w:t xml:space="preserve">3,297</w:t>
      </w:r>
    </w:p>
    <w:p>
      <w:pPr>
        <w:pStyle w:val="BodyText"/>
      </w:pPr>
      <w:r>
        <w:t xml:space="preserve">1,420</w:t>
      </w:r>
    </w:p>
    <w:p>
      <w:pPr>
        <w:pStyle w:val="BodyText"/>
      </w:pPr>
      <w:r>
        <w:t xml:space="preserve">441</w:t>
      </w:r>
    </w:p>
    <w:p>
      <w:pPr>
        <w:pStyle w:val="BodyText"/>
      </w:pPr>
      <w:r>
        <w:t xml:space="preserve">1,005</w:t>
      </w:r>
    </w:p>
    <w:p>
      <w:pPr>
        <w:pStyle w:val="BodyText"/>
      </w:pPr>
      <w:r>
        <w:t xml:space="preserve">848</w:t>
      </w:r>
    </w:p>
    <w:p>
      <w:pPr>
        <w:pStyle w:val="BodyText"/>
      </w:pPr>
      <w:r>
        <w:t xml:space="preserve">2,064</w:t>
      </w:r>
    </w:p>
    <w:p>
      <w:pPr>
        <w:pStyle w:val="BodyText"/>
      </w:pPr>
      <w:r>
        <w:t xml:space="preserve">(2,531)</w:t>
      </w:r>
    </w:p>
    <w:p>
      <w:pPr>
        <w:pStyle w:val="BodyText"/>
      </w:pPr>
      <w:r>
        <w:t xml:space="preserve">1,342</w:t>
      </w:r>
    </w:p>
    <w:p>
      <w:pPr>
        <w:pStyle w:val="BodyText"/>
      </w:pPr>
      <w:r>
        <w:t xml:space="preserve">2,742</w:t>
      </w:r>
    </w:p>
    <w:p>
      <w:pPr>
        <w:pStyle w:val="BodyText"/>
      </w:pPr>
      <w:r>
        <w:t xml:space="preserve">2,031</w:t>
      </w:r>
    </w:p>
    <w:p>
      <w:pPr>
        <w:pStyle w:val="BodyText"/>
      </w:pPr>
      <w:r>
        <w:t xml:space="preserve">In millions of USD</w:t>
      </w:r>
    </w:p>
    <w:p>
      <w:pPr>
        <w:pStyle w:val="BodyText"/>
      </w:pPr>
      <w:r>
        <w:t xml:space="preserve">2Q-2021</w:t>
      </w:r>
    </w:p>
    <w:p>
      <w:pPr>
        <w:pStyle w:val="BodyText"/>
      </w:pPr>
      <w:r>
        <w:t xml:space="preserve">3Q-2021</w:t>
      </w:r>
    </w:p>
    <w:p>
      <w:pPr>
        <w:pStyle w:val="BodyText"/>
      </w:pPr>
      <w:r>
        <w:t xml:space="preserve">4Q-2021</w:t>
      </w:r>
    </w:p>
    <w:p>
      <w:pPr>
        <w:pStyle w:val="BodyText"/>
      </w:pPr>
      <w:r>
        <w:t xml:space="preserve">1Q-2022</w:t>
      </w:r>
    </w:p>
    <w:p>
      <w:pPr>
        <w:pStyle w:val="BodyText"/>
      </w:pPr>
      <w:r>
        <w:t xml:space="preserve">2Q-2022</w:t>
      </w:r>
    </w:p>
    <w:p>
      <w:pPr>
        <w:pStyle w:val="BodyText"/>
      </w:pPr>
      <w:r>
        <w:t xml:space="preserve">3Q-2022</w:t>
      </w:r>
    </w:p>
    <w:p>
      <w:pPr>
        <w:pStyle w:val="BodyText"/>
      </w:pPr>
      <w:r>
        <w:t xml:space="preserve">4Q-2022</w:t>
      </w:r>
    </w:p>
    <w:p>
      <w:pPr>
        <w:pStyle w:val="BodyText"/>
      </w:pPr>
      <w:r>
        <w:t xml:space="preserve">1Q-2023</w:t>
      </w:r>
    </w:p>
    <w:p>
      <w:pPr>
        <w:pStyle w:val="BodyText"/>
      </w:pPr>
      <w:r>
        <w:t xml:space="preserve">2Q-2023</w:t>
      </w:r>
    </w:p>
    <w:p>
      <w:pPr>
        <w:pStyle w:val="BodyText"/>
      </w:pPr>
      <w:r>
        <w:t xml:space="preserve">3Q-2023</w:t>
      </w:r>
    </w:p>
    <w:p>
      <w:pPr>
        <w:pStyle w:val="BodyText"/>
      </w:pPr>
      <w:r>
        <w:t xml:space="preserve">4Q-2023</w:t>
      </w:r>
    </w:p>
    <w:p>
      <w:pPr>
        <w:pStyle w:val="BodyText"/>
      </w:pPr>
      <w:r>
        <w:t xml:space="preserve">1Q-2024</w:t>
      </w:r>
    </w:p>
    <w:p>
      <w:pPr>
        <w:pStyle w:val="BodyText"/>
      </w:pPr>
      <w:r>
        <w:t xml:space="preserve">2Q-2024</w:t>
      </w:r>
    </w:p>
    <w:p>
      <w:pPr>
        <w:pStyle w:val="BodyText"/>
      </w:pPr>
      <w:r>
        <w:t xml:space="preserve">3Q-2024</w:t>
      </w:r>
    </w:p>
    <w:p>
      <w:pPr>
        <w:pStyle w:val="BodyText"/>
      </w:pPr>
      <w:r>
        <w:t xml:space="preserve">3Q-2024</w:t>
      </w:r>
    </w:p>
    <w:p>
      <w:pPr>
        <w:pStyle w:val="BodyText"/>
      </w:pPr>
      <w:r>
        <w:t xml:space="preserve">Net income attributable to common stockholders (GAAP)</w:t>
      </w:r>
    </w:p>
    <w:p>
      <w:pPr>
        <w:pStyle w:val="BodyText"/>
      </w:pPr>
      <w:r>
        <w:t xml:space="preserve">1,142</w:t>
      </w:r>
    </w:p>
    <w:p>
      <w:pPr>
        <w:pStyle w:val="BodyText"/>
      </w:pPr>
      <w:r>
        <w:t xml:space="preserve">1,618</w:t>
      </w:r>
    </w:p>
    <w:p>
      <w:pPr>
        <w:pStyle w:val="BodyText"/>
      </w:pPr>
      <w:r>
        <w:t xml:space="preserve">2,321</w:t>
      </w:r>
    </w:p>
    <w:p>
      <w:pPr>
        <w:pStyle w:val="BodyText"/>
      </w:pPr>
      <w:r>
        <w:t xml:space="preserve">3,318</w:t>
      </w:r>
    </w:p>
    <w:p>
      <w:pPr>
        <w:pStyle w:val="BodyText"/>
      </w:pPr>
      <w:r>
        <w:t xml:space="preserve">2,259</w:t>
      </w:r>
    </w:p>
    <w:p>
      <w:pPr>
        <w:pStyle w:val="BodyText"/>
      </w:pPr>
      <w:r>
        <w:t xml:space="preserve">3,292</w:t>
      </w:r>
    </w:p>
    <w:p>
      <w:pPr>
        <w:pStyle w:val="BodyText"/>
      </w:pPr>
      <w:r>
        <w:t xml:space="preserve">3,687</w:t>
      </w:r>
    </w:p>
    <w:p>
      <w:pPr>
        <w:pStyle w:val="BodyText"/>
      </w:pPr>
      <w:r>
        <w:t xml:space="preserve">2,513</w:t>
      </w:r>
    </w:p>
    <w:p>
      <w:pPr>
        <w:pStyle w:val="BodyText"/>
      </w:pPr>
      <w:r>
        <w:t xml:space="preserve">2,703</w:t>
      </w:r>
    </w:p>
    <w:p>
      <w:pPr>
        <w:pStyle w:val="BodyText"/>
      </w:pPr>
      <w:r>
        <w:t xml:space="preserve">1,853</w:t>
      </w:r>
    </w:p>
    <w:p>
      <w:pPr>
        <w:pStyle w:val="BodyText"/>
      </w:pPr>
      <w:r>
        <w:t xml:space="preserve">7,928</w:t>
      </w:r>
    </w:p>
    <w:p>
      <w:pPr>
        <w:pStyle w:val="BodyText"/>
      </w:pPr>
      <w:r>
        <w:t xml:space="preserve">1,129</w:t>
      </w:r>
    </w:p>
    <w:p>
      <w:pPr>
        <w:pStyle w:val="BodyText"/>
      </w:pPr>
      <w:r>
        <w:t xml:space="preserve">1,478</w:t>
      </w:r>
    </w:p>
    <w:p>
      <w:pPr>
        <w:pStyle w:val="BodyText"/>
      </w:pPr>
      <w:r>
        <w:t xml:space="preserve">2,167</w:t>
      </w:r>
    </w:p>
    <w:p>
      <w:pPr>
        <w:pStyle w:val="BodyText"/>
      </w:pPr>
      <w:r>
        <w:t xml:space="preserve">2,317</w:t>
      </w:r>
    </w:p>
    <w:p>
      <w:pPr>
        <w:pStyle w:val="BodyText"/>
      </w:pPr>
      <w:r>
        <w:t xml:space="preserve">Interest expense</w:t>
      </w:r>
    </w:p>
    <w:p>
      <w:pPr>
        <w:pStyle w:val="BodyText"/>
      </w:pPr>
      <w:r>
        <w:t xml:space="preserve">75</w:t>
      </w:r>
    </w:p>
    <w:p>
      <w:pPr>
        <w:pStyle w:val="BodyText"/>
      </w:pPr>
      <w:r>
        <w:t xml:space="preserve">126</w:t>
      </w:r>
    </w:p>
    <w:p>
      <w:pPr>
        <w:pStyle w:val="BodyText"/>
      </w:pPr>
      <w:r>
        <w:t xml:space="preserve">71</w:t>
      </w:r>
    </w:p>
    <w:p>
      <w:pPr>
        <w:pStyle w:val="BodyText"/>
      </w:pPr>
      <w:r>
        <w:t xml:space="preserve">61</w:t>
      </w:r>
    </w:p>
    <w:p>
      <w:pPr>
        <w:pStyle w:val="BodyText"/>
      </w:pPr>
      <w:r>
        <w:t xml:space="preserve">44</w:t>
      </w:r>
    </w:p>
    <w:p>
      <w:pPr>
        <w:pStyle w:val="BodyText"/>
      </w:pPr>
      <w:r>
        <w:t xml:space="preserve">53</w:t>
      </w:r>
    </w:p>
    <w:p>
      <w:pPr>
        <w:pStyle w:val="BodyText"/>
      </w:pPr>
      <w:r>
        <w:t xml:space="preserve">33</w:t>
      </w:r>
    </w:p>
    <w:p>
      <w:pPr>
        <w:pStyle w:val="BodyText"/>
      </w:pPr>
      <w:r>
        <w:t xml:space="preserve">29</w:t>
      </w:r>
    </w:p>
    <w:p>
      <w:pPr>
        <w:pStyle w:val="BodyText"/>
      </w:pPr>
      <w:r>
        <w:t xml:space="preserve">28</w:t>
      </w:r>
    </w:p>
    <w:p>
      <w:pPr>
        <w:pStyle w:val="BodyText"/>
      </w:pPr>
      <w:r>
        <w:t xml:space="preserve">38</w:t>
      </w:r>
    </w:p>
    <w:p>
      <w:pPr>
        <w:pStyle w:val="BodyText"/>
      </w:pPr>
      <w:r>
        <w:t xml:space="preserve">61</w:t>
      </w:r>
    </w:p>
    <w:p>
      <w:pPr>
        <w:pStyle w:val="BodyText"/>
      </w:pPr>
      <w:r>
        <w:t xml:space="preserve">76</w:t>
      </w:r>
    </w:p>
    <w:p>
      <w:pPr>
        <w:pStyle w:val="BodyText"/>
      </w:pPr>
      <w:r>
        <w:t xml:space="preserve">86</w:t>
      </w:r>
    </w:p>
    <w:p>
      <w:pPr>
        <w:pStyle w:val="BodyText"/>
      </w:pPr>
      <w:r>
        <w:t xml:space="preserve">92</w:t>
      </w:r>
    </w:p>
    <w:p>
      <w:pPr>
        <w:pStyle w:val="BodyText"/>
      </w:pPr>
      <w:r>
        <w:t xml:space="preserve">96</w:t>
      </w:r>
    </w:p>
    <w:p>
      <w:pPr>
        <w:pStyle w:val="BodyText"/>
      </w:pPr>
      <w:r>
        <w:t xml:space="preserve">Provision for (benefit from) income taxes</w:t>
      </w:r>
    </w:p>
    <w:p>
      <w:pPr>
        <w:pStyle w:val="BodyText"/>
      </w:pPr>
      <w:r>
        <w:t xml:space="preserve">115</w:t>
      </w:r>
    </w:p>
    <w:p>
      <w:pPr>
        <w:pStyle w:val="BodyText"/>
      </w:pPr>
      <w:r>
        <w:t xml:space="preserve">223</w:t>
      </w:r>
    </w:p>
    <w:p>
      <w:pPr>
        <w:pStyle w:val="BodyText"/>
      </w:pPr>
      <w:r>
        <w:t xml:space="preserve">292</w:t>
      </w:r>
    </w:p>
    <w:p>
      <w:pPr>
        <w:pStyle w:val="BodyText"/>
      </w:pPr>
      <w:r>
        <w:t xml:space="preserve">346</w:t>
      </w:r>
    </w:p>
    <w:p>
      <w:pPr>
        <w:pStyle w:val="BodyText"/>
      </w:pPr>
      <w:r>
        <w:t xml:space="preserve">205</w:t>
      </w:r>
    </w:p>
    <w:p>
      <w:pPr>
        <w:pStyle w:val="BodyText"/>
      </w:pPr>
      <w:r>
        <w:t xml:space="preserve">305</w:t>
      </w:r>
    </w:p>
    <w:p>
      <w:pPr>
        <w:pStyle w:val="BodyText"/>
      </w:pPr>
      <w:r>
        <w:t xml:space="preserve">276</w:t>
      </w:r>
    </w:p>
    <w:p>
      <w:pPr>
        <w:pStyle w:val="BodyText"/>
      </w:pPr>
      <w:r>
        <w:t xml:space="preserve">261</w:t>
      </w:r>
    </w:p>
    <w:p>
      <w:pPr>
        <w:pStyle w:val="BodyText"/>
      </w:pPr>
      <w:r>
        <w:t xml:space="preserve">323</w:t>
      </w:r>
    </w:p>
    <w:p>
      <w:pPr>
        <w:pStyle w:val="BodyText"/>
      </w:pPr>
      <w:r>
        <w:t xml:space="preserve">167</w:t>
      </w:r>
    </w:p>
    <w:p>
      <w:pPr>
        <w:pStyle w:val="BodyText"/>
      </w:pPr>
      <w:r>
        <w:t xml:space="preserve">(5,752)</w:t>
      </w:r>
    </w:p>
    <w:p>
      <w:pPr>
        <w:pStyle w:val="BodyText"/>
      </w:pPr>
      <w:r>
        <w:t xml:space="preserve">409</w:t>
      </w:r>
    </w:p>
    <w:p>
      <w:pPr>
        <w:pStyle w:val="BodyText"/>
      </w:pPr>
      <w:r>
        <w:t xml:space="preserve">393</w:t>
      </w:r>
    </w:p>
    <w:p>
      <w:pPr>
        <w:pStyle w:val="BodyText"/>
      </w:pPr>
      <w:r>
        <w:t xml:space="preserve">601</w:t>
      </w:r>
    </w:p>
    <w:p>
      <w:pPr>
        <w:pStyle w:val="BodyText"/>
      </w:pPr>
      <w:r>
        <w:t xml:space="preserve">434</w:t>
      </w:r>
    </w:p>
    <w:p>
      <w:pPr>
        <w:pStyle w:val="BodyText"/>
      </w:pPr>
      <w:r>
        <w:t xml:space="preserve">Depreciation, amortization and impairment</w:t>
      </w:r>
    </w:p>
    <w:p>
      <w:pPr>
        <w:pStyle w:val="BodyText"/>
      </w:pPr>
      <w:r>
        <w:t xml:space="preserve">681</w:t>
      </w:r>
    </w:p>
    <w:p>
      <w:pPr>
        <w:pStyle w:val="BodyText"/>
      </w:pPr>
      <w:r>
        <w:t xml:space="preserve">761</w:t>
      </w:r>
    </w:p>
    <w:p>
      <w:pPr>
        <w:pStyle w:val="BodyText"/>
      </w:pPr>
      <w:r>
        <w:t xml:space="preserve">848</w:t>
      </w:r>
    </w:p>
    <w:p>
      <w:pPr>
        <w:pStyle w:val="BodyText"/>
      </w:pPr>
      <w:r>
        <w:t xml:space="preserve">880</w:t>
      </w:r>
    </w:p>
    <w:p>
      <w:pPr>
        <w:pStyle w:val="BodyText"/>
      </w:pPr>
      <w:r>
        <w:t xml:space="preserve">922</w:t>
      </w:r>
    </w:p>
    <w:p>
      <w:pPr>
        <w:pStyle w:val="BodyText"/>
      </w:pPr>
      <w:r>
        <w:t xml:space="preserve">956</w:t>
      </w:r>
    </w:p>
    <w:p>
      <w:pPr>
        <w:pStyle w:val="BodyText"/>
      </w:pPr>
      <w:r>
        <w:t xml:space="preserve">989</w:t>
      </w:r>
    </w:p>
    <w:p>
      <w:pPr>
        <w:pStyle w:val="BodyText"/>
      </w:pPr>
      <w:r>
        <w:t xml:space="preserve">1,046</w:t>
      </w:r>
    </w:p>
    <w:p>
      <w:pPr>
        <w:pStyle w:val="BodyText"/>
      </w:pPr>
      <w:r>
        <w:t xml:space="preserve">1,154</w:t>
      </w:r>
    </w:p>
    <w:p>
      <w:pPr>
        <w:pStyle w:val="BodyText"/>
      </w:pPr>
      <w:r>
        <w:t xml:space="preserve">1,235</w:t>
      </w:r>
    </w:p>
    <w:p>
      <w:pPr>
        <w:pStyle w:val="BodyText"/>
      </w:pPr>
      <w:r>
        <w:t xml:space="preserve">1,232</w:t>
      </w:r>
    </w:p>
    <w:p>
      <w:pPr>
        <w:pStyle w:val="BodyText"/>
      </w:pPr>
      <w:r>
        <w:t xml:space="preserve">1,246</w:t>
      </w:r>
    </w:p>
    <w:p>
      <w:pPr>
        <w:pStyle w:val="BodyText"/>
      </w:pPr>
      <w:r>
        <w:t xml:space="preserve">1,278</w:t>
      </w:r>
    </w:p>
    <w:p>
      <w:pPr>
        <w:pStyle w:val="BodyText"/>
      </w:pPr>
      <w:r>
        <w:t xml:space="preserve">1,348</w:t>
      </w:r>
    </w:p>
    <w:p>
      <w:pPr>
        <w:pStyle w:val="BodyText"/>
      </w:pPr>
      <w:r>
        <w:t xml:space="preserve">1,496</w:t>
      </w:r>
    </w:p>
    <w:p>
      <w:pPr>
        <w:pStyle w:val="BodyText"/>
      </w:pPr>
      <w:r>
        <w:t xml:space="preserve">Stock-based compensation expense</w:t>
      </w:r>
    </w:p>
    <w:p>
      <w:pPr>
        <w:pStyle w:val="BodyText"/>
      </w:pPr>
      <w:r>
        <w:t xml:space="preserve">474</w:t>
      </w:r>
    </w:p>
    <w:p>
      <w:pPr>
        <w:pStyle w:val="BodyText"/>
      </w:pPr>
      <w:r>
        <w:t xml:space="preserve">475</w:t>
      </w:r>
    </w:p>
    <w:p>
      <w:pPr>
        <w:pStyle w:val="BodyText"/>
      </w:pPr>
      <w:r>
        <w:t xml:space="preserve">558</w:t>
      </w:r>
    </w:p>
    <w:p>
      <w:pPr>
        <w:pStyle w:val="BodyText"/>
      </w:pPr>
      <w:r>
        <w:t xml:space="preserve">418</w:t>
      </w:r>
    </w:p>
    <w:p>
      <w:pPr>
        <w:pStyle w:val="BodyText"/>
      </w:pPr>
      <w:r>
        <w:t xml:space="preserve">361</w:t>
      </w:r>
    </w:p>
    <w:p>
      <w:pPr>
        <w:pStyle w:val="BodyText"/>
      </w:pPr>
      <w:r>
        <w:t xml:space="preserve">362</w:t>
      </w:r>
    </w:p>
    <w:p>
      <w:pPr>
        <w:pStyle w:val="BodyText"/>
      </w:pPr>
      <w:r>
        <w:t xml:space="preserve">419</w:t>
      </w:r>
    </w:p>
    <w:p>
      <w:pPr>
        <w:pStyle w:val="BodyText"/>
      </w:pPr>
      <w:r>
        <w:t xml:space="preserve">418</w:t>
      </w:r>
    </w:p>
    <w:p>
      <w:pPr>
        <w:pStyle w:val="BodyText"/>
      </w:pPr>
      <w:r>
        <w:t xml:space="preserve">445</w:t>
      </w:r>
    </w:p>
    <w:p>
      <w:pPr>
        <w:pStyle w:val="BodyText"/>
      </w:pPr>
      <w:r>
        <w:t xml:space="preserve">465</w:t>
      </w:r>
    </w:p>
    <w:p>
      <w:pPr>
        <w:pStyle w:val="BodyText"/>
      </w:pPr>
      <w:r>
        <w:t xml:space="preserve">484</w:t>
      </w:r>
    </w:p>
    <w:p>
      <w:pPr>
        <w:pStyle w:val="BodyText"/>
      </w:pPr>
      <w:r>
        <w:t xml:space="preserve">524</w:t>
      </w:r>
    </w:p>
    <w:p>
      <w:pPr>
        <w:pStyle w:val="BodyText"/>
      </w:pPr>
      <w:r>
        <w:t xml:space="preserve">439</w:t>
      </w:r>
    </w:p>
    <w:p>
      <w:pPr>
        <w:pStyle w:val="BodyText"/>
      </w:pPr>
      <w:r>
        <w:t xml:space="preserve">457</w:t>
      </w:r>
    </w:p>
    <w:p>
      <w:pPr>
        <w:pStyle w:val="BodyText"/>
      </w:pPr>
      <w:r>
        <w:t xml:space="preserve">579</w:t>
      </w:r>
    </w:p>
    <w:p>
      <w:pPr>
        <w:pStyle w:val="BodyText"/>
      </w:pPr>
      <w:r>
        <w:t xml:space="preserve">Adjusted EBITDA (non-GAAP)</w:t>
      </w:r>
    </w:p>
    <w:p>
      <w:pPr>
        <w:pStyle w:val="BodyText"/>
      </w:pPr>
      <w:r>
        <w:t xml:space="preserve">2,487</w:t>
      </w:r>
    </w:p>
    <w:p>
      <w:pPr>
        <w:pStyle w:val="BodyText"/>
      </w:pPr>
      <w:r>
        <w:t xml:space="preserve">3,203</w:t>
      </w:r>
    </w:p>
    <w:p>
      <w:pPr>
        <w:pStyle w:val="BodyText"/>
      </w:pPr>
      <w:r>
        <w:t xml:space="preserve">4,090</w:t>
      </w:r>
    </w:p>
    <w:p>
      <w:pPr>
        <w:pStyle w:val="BodyText"/>
      </w:pPr>
      <w:r>
        <w:t xml:space="preserve">5,023</w:t>
      </w:r>
    </w:p>
    <w:p>
      <w:pPr>
        <w:pStyle w:val="BodyText"/>
      </w:pPr>
      <w:r>
        <w:t xml:space="preserve">3,791</w:t>
      </w:r>
    </w:p>
    <w:p>
      <w:pPr>
        <w:pStyle w:val="BodyText"/>
      </w:pPr>
      <w:r>
        <w:t xml:space="preserve">4,968</w:t>
      </w:r>
    </w:p>
    <w:p>
      <w:pPr>
        <w:pStyle w:val="BodyText"/>
      </w:pPr>
      <w:r>
        <w:t xml:space="preserve">5,404</w:t>
      </w:r>
    </w:p>
    <w:p>
      <w:pPr>
        <w:pStyle w:val="BodyText"/>
      </w:pPr>
      <w:r>
        <w:t xml:space="preserve">4,267</w:t>
      </w:r>
    </w:p>
    <w:p>
      <w:pPr>
        <w:pStyle w:val="BodyText"/>
      </w:pPr>
      <w:r>
        <w:t xml:space="preserve">4,653</w:t>
      </w:r>
    </w:p>
    <w:p>
      <w:pPr>
        <w:pStyle w:val="BodyText"/>
      </w:pPr>
      <w:r>
        <w:t xml:space="preserve">3,758</w:t>
      </w:r>
    </w:p>
    <w:p>
      <w:pPr>
        <w:pStyle w:val="BodyText"/>
      </w:pPr>
      <w:r>
        <w:t xml:space="preserve">3,953</w:t>
      </w:r>
    </w:p>
    <w:p>
      <w:pPr>
        <w:pStyle w:val="BodyText"/>
      </w:pPr>
      <w:r>
        <w:t xml:space="preserve">3,384</w:t>
      </w:r>
    </w:p>
    <w:p>
      <w:pPr>
        <w:pStyle w:val="BodyText"/>
      </w:pPr>
      <w:r>
        <w:t xml:space="preserve">3,674</w:t>
      </w:r>
    </w:p>
    <w:p>
      <w:pPr>
        <w:pStyle w:val="BodyText"/>
      </w:pPr>
      <w:r>
        <w:t xml:space="preserve">4,665</w:t>
      </w:r>
    </w:p>
    <w:p>
      <w:pPr>
        <w:pStyle w:val="BodyText"/>
      </w:pPr>
      <w:r>
        <w:t xml:space="preserve">4,922</w:t>
      </w:r>
    </w:p>
    <w:p>
      <w:pPr>
        <w:pStyle w:val="BodyText"/>
      </w:pPr>
      <w:r>
        <w:t xml:space="preserve">In millions of USD</w:t>
      </w:r>
    </w:p>
    <w:p>
      <w:pPr>
        <w:pStyle w:val="BodyText"/>
      </w:pPr>
      <w:r>
        <w:t xml:space="preserve">1Q-2022</w:t>
      </w:r>
    </w:p>
    <w:p>
      <w:pPr>
        <w:pStyle w:val="BodyText"/>
      </w:pPr>
      <w:r>
        <w:t xml:space="preserve">2Q-2022</w:t>
      </w:r>
    </w:p>
    <w:p>
      <w:pPr>
        <w:pStyle w:val="BodyText"/>
      </w:pPr>
      <w:r>
        <w:t xml:space="preserve">3Q-2022</w:t>
      </w:r>
    </w:p>
    <w:p>
      <w:pPr>
        <w:pStyle w:val="BodyText"/>
      </w:pPr>
      <w:r>
        <w:t xml:space="preserve">4Q-2022</w:t>
      </w:r>
    </w:p>
    <w:p>
      <w:pPr>
        <w:pStyle w:val="BodyText"/>
      </w:pPr>
      <w:r>
        <w:t xml:space="preserve">1Q-2023</w:t>
      </w:r>
    </w:p>
    <w:p>
      <w:pPr>
        <w:pStyle w:val="BodyText"/>
      </w:pPr>
      <w:r>
        <w:t xml:space="preserve">2Q-2023</w:t>
      </w:r>
    </w:p>
    <w:p>
      <w:pPr>
        <w:pStyle w:val="BodyText"/>
      </w:pPr>
      <w:r>
        <w:t xml:space="preserve">3Q-2023</w:t>
      </w:r>
    </w:p>
    <w:p>
      <w:pPr>
        <w:pStyle w:val="BodyText"/>
      </w:pPr>
      <w:r>
        <w:t xml:space="preserve">4Q-2023</w:t>
      </w:r>
    </w:p>
    <w:p>
      <w:pPr>
        <w:pStyle w:val="BodyText"/>
      </w:pPr>
      <w:r>
        <w:t xml:space="preserve">1Q-2024</w:t>
      </w:r>
    </w:p>
    <w:p>
      <w:pPr>
        <w:pStyle w:val="BodyText"/>
      </w:pPr>
      <w:r>
        <w:t xml:space="preserve">2Q-2024</w:t>
      </w:r>
    </w:p>
    <w:p>
      <w:pPr>
        <w:pStyle w:val="BodyText"/>
      </w:pPr>
      <w:r>
        <w:t xml:space="preserve">3Q-2024</w:t>
      </w:r>
    </w:p>
    <w:p>
      <w:pPr>
        <w:pStyle w:val="BodyText"/>
      </w:pPr>
      <w:r>
        <w:t xml:space="preserve">4Q-2024</w:t>
      </w:r>
    </w:p>
    <w:p>
      <w:pPr>
        <w:pStyle w:val="BodyText"/>
      </w:pPr>
      <w:r>
        <w:t xml:space="preserve">Net cash provided by operating activities – TTM (GAAP)</w:t>
      </w:r>
    </w:p>
    <w:p>
      <w:pPr>
        <w:pStyle w:val="BodyText"/>
      </w:pPr>
      <w:r>
        <w:t xml:space="preserve">13,851</w:t>
      </w:r>
    </w:p>
    <w:p>
      <w:pPr>
        <w:pStyle w:val="BodyText"/>
      </w:pPr>
      <w:r>
        <w:t xml:space="preserve">14,078</w:t>
      </w:r>
    </w:p>
    <w:p>
      <w:pPr>
        <w:pStyle w:val="BodyText"/>
      </w:pPr>
      <w:r>
        <w:t xml:space="preserve">16,031</w:t>
      </w:r>
    </w:p>
    <w:p>
      <w:pPr>
        <w:pStyle w:val="BodyText"/>
      </w:pPr>
      <w:r>
        <w:t xml:space="preserve">14,724</w:t>
      </w:r>
    </w:p>
    <w:p>
      <w:pPr>
        <w:pStyle w:val="BodyText"/>
      </w:pPr>
      <w:r>
        <w:t xml:space="preserve">13,242</w:t>
      </w:r>
    </w:p>
    <w:p>
      <w:pPr>
        <w:pStyle w:val="BodyText"/>
      </w:pPr>
      <w:r>
        <w:t xml:space="preserve">13,956</w:t>
      </w:r>
    </w:p>
    <w:p>
      <w:pPr>
        <w:pStyle w:val="BodyText"/>
      </w:pPr>
      <w:r>
        <w:t xml:space="preserve">12,164</w:t>
      </w:r>
    </w:p>
    <w:p>
      <w:pPr>
        <w:pStyle w:val="BodyText"/>
      </w:pPr>
      <w:r>
        <w:t xml:space="preserve">13,256</w:t>
      </w:r>
    </w:p>
    <w:p>
      <w:pPr>
        <w:pStyle w:val="BodyText"/>
      </w:pPr>
      <w:r>
        <w:t xml:space="preserve">10,985</w:t>
      </w:r>
    </w:p>
    <w:p>
      <w:pPr>
        <w:pStyle w:val="BodyText"/>
      </w:pPr>
      <w:r>
        <w:t xml:space="preserve">11,532</w:t>
      </w:r>
    </w:p>
    <w:p>
      <w:pPr>
        <w:pStyle w:val="BodyText"/>
      </w:pPr>
      <w:r>
        <w:t xml:space="preserve">14,479</w:t>
      </w:r>
    </w:p>
    <w:p>
      <w:pPr>
        <w:pStyle w:val="BodyText"/>
      </w:pPr>
      <w:r>
        <w:t xml:space="preserve">14,923</w:t>
      </w:r>
    </w:p>
    <w:p>
      <w:pPr>
        <w:pStyle w:val="BodyText"/>
      </w:pPr>
      <w:r>
        <w:t xml:space="preserve">Capital expenditures – TTM</w:t>
      </w:r>
    </w:p>
    <w:p>
      <w:pPr>
        <w:pStyle w:val="BodyText"/>
      </w:pPr>
      <w:r>
        <w:t xml:space="preserve">(6,901)</w:t>
      </w:r>
    </w:p>
    <w:p>
      <w:pPr>
        <w:pStyle w:val="BodyText"/>
      </w:pPr>
      <w:r>
        <w:t xml:space="preserve">(7,126)</w:t>
      </w:r>
    </w:p>
    <w:p>
      <w:pPr>
        <w:pStyle w:val="BodyText"/>
      </w:pPr>
      <w:r>
        <w:t xml:space="preserve">(7,110)</w:t>
      </w:r>
    </w:p>
    <w:p>
      <w:pPr>
        <w:pStyle w:val="BodyText"/>
      </w:pPr>
      <w:r>
        <w:t xml:space="preserve">(7,158)</w:t>
      </w:r>
    </w:p>
    <w:p>
      <w:pPr>
        <w:pStyle w:val="BodyText"/>
      </w:pPr>
      <w:r>
        <w:t xml:space="preserve">(7,463)</w:t>
      </w:r>
    </w:p>
    <w:p>
      <w:pPr>
        <w:pStyle w:val="BodyText"/>
      </w:pPr>
      <w:r>
        <w:t xml:space="preserve">(7,793)</w:t>
      </w:r>
    </w:p>
    <w:p>
      <w:pPr>
        <w:pStyle w:val="BodyText"/>
      </w:pPr>
      <w:r>
        <w:t xml:space="preserve">(8,450)</w:t>
      </w:r>
    </w:p>
    <w:p>
      <w:pPr>
        <w:pStyle w:val="BodyText"/>
      </w:pPr>
      <w:r>
        <w:t xml:space="preserve">(8,898)</w:t>
      </w:r>
    </w:p>
    <w:p>
      <w:pPr>
        <w:pStyle w:val="BodyText"/>
      </w:pPr>
      <w:r>
        <w:t xml:space="preserve">(9,599)</w:t>
      </w:r>
    </w:p>
    <w:p>
      <w:pPr>
        <w:pStyle w:val="BodyText"/>
      </w:pPr>
      <w:r>
        <w:t xml:space="preserve">(9,809)</w:t>
      </w:r>
    </w:p>
    <w:p>
      <w:pPr>
        <w:pStyle w:val="BodyText"/>
      </w:pPr>
      <w:r>
        <w:t xml:space="preserve">(10,862)</w:t>
      </w:r>
    </w:p>
    <w:p>
      <w:pPr>
        <w:pStyle w:val="BodyText"/>
      </w:pPr>
      <w:r>
        <w:t xml:space="preserve">(11,339)</w:t>
      </w:r>
    </w:p>
    <w:p>
      <w:pPr>
        <w:pStyle w:val="BodyText"/>
      </w:pPr>
      <w:r>
        <w:t xml:space="preserve">Free cash flow – TTM (non-GAAP)</w:t>
      </w:r>
    </w:p>
    <w:p>
      <w:pPr>
        <w:pStyle w:val="BodyText"/>
      </w:pPr>
      <w:r>
        <w:t xml:space="preserve">6,950</w:t>
      </w:r>
    </w:p>
    <w:p>
      <w:pPr>
        <w:pStyle w:val="BodyText"/>
      </w:pPr>
      <w:r>
        <w:t xml:space="preserve">6,952</w:t>
      </w:r>
    </w:p>
    <w:p>
      <w:pPr>
        <w:pStyle w:val="BodyText"/>
      </w:pPr>
      <w:r>
        <w:t xml:space="preserve">8,921</w:t>
      </w:r>
    </w:p>
    <w:p>
      <w:pPr>
        <w:pStyle w:val="BodyText"/>
      </w:pPr>
      <w:r>
        <w:t xml:space="preserve">7,566</w:t>
      </w:r>
    </w:p>
    <w:p>
      <w:pPr>
        <w:pStyle w:val="BodyText"/>
      </w:pPr>
      <w:r>
        <w:t xml:space="preserve">5,779</w:t>
      </w:r>
    </w:p>
    <w:p>
      <w:pPr>
        <w:pStyle w:val="BodyText"/>
      </w:pPr>
      <w:r>
        <w:t xml:space="preserve">6,163</w:t>
      </w:r>
    </w:p>
    <w:p>
      <w:pPr>
        <w:pStyle w:val="BodyText"/>
      </w:pPr>
      <w:r>
        <w:t xml:space="preserve">3,714</w:t>
      </w:r>
    </w:p>
    <w:p>
      <w:pPr>
        <w:pStyle w:val="BodyText"/>
      </w:pPr>
      <w:r>
        <w:t xml:space="preserve">4,358</w:t>
      </w:r>
    </w:p>
    <w:p>
      <w:pPr>
        <w:pStyle w:val="BodyText"/>
      </w:pPr>
      <w:r>
        <w:t xml:space="preserve">1,386</w:t>
      </w:r>
    </w:p>
    <w:p>
      <w:pPr>
        <w:pStyle w:val="BodyText"/>
      </w:pPr>
      <w:r>
        <w:t xml:space="preserve">1,723</w:t>
      </w:r>
    </w:p>
    <w:p>
      <w:pPr>
        <w:pStyle w:val="BodyText"/>
      </w:pPr>
      <w:r>
        <w:t xml:space="preserve">3,617</w:t>
      </w:r>
    </w:p>
    <w:p>
      <w:pPr>
        <w:pStyle w:val="BodyText"/>
      </w:pPr>
      <w:r>
        <w:t xml:space="preserve">3,584</w:t>
      </w:r>
    </w:p>
    <w:p>
      <w:pPr>
        <w:pStyle w:val="BodyText"/>
      </w:pPr>
      <w:r>
        <w:t xml:space="preserve">In millions of USD</w:t>
      </w:r>
    </w:p>
    <w:p>
      <w:pPr>
        <w:pStyle w:val="BodyText"/>
      </w:pPr>
      <w:r>
        <w:t xml:space="preserve">1Q-2022</w:t>
      </w:r>
    </w:p>
    <w:p>
      <w:pPr>
        <w:pStyle w:val="BodyText"/>
      </w:pPr>
      <w:r>
        <w:t xml:space="preserve">2Q-2022</w:t>
      </w:r>
    </w:p>
    <w:p>
      <w:pPr>
        <w:pStyle w:val="BodyText"/>
      </w:pPr>
      <w:r>
        <w:t xml:space="preserve">3Q-2022</w:t>
      </w:r>
    </w:p>
    <w:p>
      <w:pPr>
        <w:pStyle w:val="BodyText"/>
      </w:pPr>
      <w:r>
        <w:t xml:space="preserve">4Q-2022</w:t>
      </w:r>
    </w:p>
    <w:p>
      <w:pPr>
        <w:pStyle w:val="BodyText"/>
      </w:pPr>
      <w:r>
        <w:t xml:space="preserve">1Q-2023</w:t>
      </w:r>
    </w:p>
    <w:p>
      <w:pPr>
        <w:pStyle w:val="BodyText"/>
      </w:pPr>
      <w:r>
        <w:t xml:space="preserve">2Q-2023</w:t>
      </w:r>
    </w:p>
    <w:p>
      <w:pPr>
        <w:pStyle w:val="BodyText"/>
      </w:pPr>
      <w:r>
        <w:t xml:space="preserve">3Q-2023</w:t>
      </w:r>
    </w:p>
    <w:p>
      <w:pPr>
        <w:pStyle w:val="BodyText"/>
      </w:pPr>
      <w:r>
        <w:t xml:space="preserve">4Q-2023</w:t>
      </w:r>
    </w:p>
    <w:p>
      <w:pPr>
        <w:pStyle w:val="BodyText"/>
      </w:pPr>
      <w:r>
        <w:t xml:space="preserve">1Q-2024</w:t>
      </w:r>
    </w:p>
    <w:p>
      <w:pPr>
        <w:pStyle w:val="BodyText"/>
      </w:pPr>
      <w:r>
        <w:t xml:space="preserve">2Q-2024</w:t>
      </w:r>
    </w:p>
    <w:p>
      <w:pPr>
        <w:pStyle w:val="BodyText"/>
      </w:pPr>
      <w:r>
        <w:t xml:space="preserve">3Q-2024</w:t>
      </w:r>
    </w:p>
    <w:p>
      <w:pPr>
        <w:pStyle w:val="BodyText"/>
      </w:pPr>
      <w:r>
        <w:t xml:space="preserve">3Q-2024</w:t>
      </w:r>
    </w:p>
    <w:p>
      <w:pPr>
        <w:pStyle w:val="BodyText"/>
      </w:pPr>
      <w:r>
        <w:t xml:space="preserve">Net income attributable to common stockholders – TTM (GAAP)</w:t>
      </w:r>
    </w:p>
    <w:p>
      <w:pPr>
        <w:pStyle w:val="BodyText"/>
      </w:pPr>
      <w:r>
        <w:t xml:space="preserve">8,399</w:t>
      </w:r>
    </w:p>
    <w:p>
      <w:pPr>
        <w:pStyle w:val="BodyText"/>
      </w:pPr>
      <w:r>
        <w:t xml:space="preserve">9,516</w:t>
      </w:r>
    </w:p>
    <w:p>
      <w:pPr>
        <w:pStyle w:val="BodyText"/>
      </w:pPr>
      <w:r>
        <w:t xml:space="preserve">11,190</w:t>
      </w:r>
    </w:p>
    <w:p>
      <w:pPr>
        <w:pStyle w:val="BodyText"/>
      </w:pPr>
      <w:r>
        <w:t xml:space="preserve">12,556</w:t>
      </w:r>
    </w:p>
    <w:p>
      <w:pPr>
        <w:pStyle w:val="BodyText"/>
      </w:pPr>
      <w:r>
        <w:t xml:space="preserve">11,751</w:t>
      </w:r>
    </w:p>
    <w:p>
      <w:pPr>
        <w:pStyle w:val="BodyText"/>
      </w:pPr>
      <w:r>
        <w:t xml:space="preserve">12,195</w:t>
      </w:r>
    </w:p>
    <w:p>
      <w:pPr>
        <w:pStyle w:val="BodyText"/>
      </w:pPr>
      <w:r>
        <w:t xml:space="preserve">10,756</w:t>
      </w:r>
    </w:p>
    <w:p>
      <w:pPr>
        <w:pStyle w:val="BodyText"/>
      </w:pPr>
      <w:r>
        <w:t xml:space="preserve">14,997</w:t>
      </w:r>
    </w:p>
    <w:p>
      <w:pPr>
        <w:pStyle w:val="BodyText"/>
      </w:pPr>
      <w:r>
        <w:t xml:space="preserve">13,613</w:t>
      </w:r>
    </w:p>
    <w:p>
      <w:pPr>
        <w:pStyle w:val="BodyText"/>
      </w:pPr>
      <w:r>
        <w:t xml:space="preserve">12,388</w:t>
      </w:r>
    </w:p>
    <w:p>
      <w:pPr>
        <w:pStyle w:val="BodyText"/>
      </w:pPr>
      <w:r>
        <w:t xml:space="preserve">12,702</w:t>
      </w:r>
    </w:p>
    <w:p>
      <w:pPr>
        <w:pStyle w:val="BodyText"/>
      </w:pPr>
      <w:r>
        <w:t xml:space="preserve">7,091</w:t>
      </w:r>
    </w:p>
    <w:p>
      <w:pPr>
        <w:pStyle w:val="BodyText"/>
      </w:pPr>
      <w:r>
        <w:t xml:space="preserve">Interest expense – TTM</w:t>
      </w:r>
    </w:p>
    <w:p>
      <w:pPr>
        <w:pStyle w:val="BodyText"/>
      </w:pPr>
      <w:r>
        <w:t xml:space="preserve">333</w:t>
      </w:r>
    </w:p>
    <w:p>
      <w:pPr>
        <w:pStyle w:val="BodyText"/>
      </w:pPr>
      <w:r>
        <w:t xml:space="preserve">302</w:t>
      </w:r>
    </w:p>
    <w:p>
      <w:pPr>
        <w:pStyle w:val="BodyText"/>
      </w:pPr>
      <w:r>
        <w:t xml:space="preserve">229</w:t>
      </w:r>
    </w:p>
    <w:p>
      <w:pPr>
        <w:pStyle w:val="BodyText"/>
      </w:pPr>
      <w:r>
        <w:t xml:space="preserve">191</w:t>
      </w:r>
    </w:p>
    <w:p>
      <w:pPr>
        <w:pStyle w:val="BodyText"/>
      </w:pPr>
      <w:r>
        <w:t xml:space="preserve">159</w:t>
      </w:r>
    </w:p>
    <w:p>
      <w:pPr>
        <w:pStyle w:val="BodyText"/>
      </w:pPr>
      <w:r>
        <w:t xml:space="preserve">143</w:t>
      </w:r>
    </w:p>
    <w:p>
      <w:pPr>
        <w:pStyle w:val="BodyText"/>
      </w:pPr>
      <w:r>
        <w:t xml:space="preserve">128</w:t>
      </w:r>
    </w:p>
    <w:p>
      <w:pPr>
        <w:pStyle w:val="BodyText"/>
      </w:pPr>
      <w:r>
        <w:t xml:space="preserve">156</w:t>
      </w:r>
    </w:p>
    <w:p>
      <w:pPr>
        <w:pStyle w:val="BodyText"/>
      </w:pPr>
      <w:r>
        <w:t xml:space="preserve">203</w:t>
      </w:r>
    </w:p>
    <w:p>
      <w:pPr>
        <w:pStyle w:val="BodyText"/>
      </w:pPr>
      <w:r>
        <w:t xml:space="preserve">261</w:t>
      </w:r>
    </w:p>
    <w:p>
      <w:pPr>
        <w:pStyle w:val="BodyText"/>
      </w:pPr>
      <w:r>
        <w:t xml:space="preserve">315</w:t>
      </w:r>
    </w:p>
    <w:p>
      <w:pPr>
        <w:pStyle w:val="BodyText"/>
      </w:pPr>
      <w:r>
        <w:t xml:space="preserve">350</w:t>
      </w:r>
    </w:p>
    <w:p>
      <w:pPr>
        <w:pStyle w:val="BodyText"/>
      </w:pPr>
      <w:r>
        <w:t xml:space="preserve">Provision for (benefit from) income taxes – TTM</w:t>
      </w:r>
    </w:p>
    <w:p>
      <w:pPr>
        <w:pStyle w:val="BodyText"/>
      </w:pPr>
      <w:r>
        <w:t xml:space="preserve">976</w:t>
      </w:r>
    </w:p>
    <w:p>
      <w:pPr>
        <w:pStyle w:val="BodyText"/>
      </w:pPr>
      <w:r>
        <w:t xml:space="preserve">1,066</w:t>
      </w:r>
    </w:p>
    <w:p>
      <w:pPr>
        <w:pStyle w:val="BodyText"/>
      </w:pPr>
      <w:r>
        <w:t xml:space="preserve">1,148</w:t>
      </w:r>
    </w:p>
    <w:p>
      <w:pPr>
        <w:pStyle w:val="BodyText"/>
      </w:pPr>
      <w:r>
        <w:t xml:space="preserve">1,132</w:t>
      </w:r>
    </w:p>
    <w:p>
      <w:pPr>
        <w:pStyle w:val="BodyText"/>
      </w:pPr>
      <w:r>
        <w:t xml:space="preserve">1,047</w:t>
      </w:r>
    </w:p>
    <w:p>
      <w:pPr>
        <w:pStyle w:val="BodyText"/>
      </w:pPr>
      <w:r>
        <w:t xml:space="preserve">1,165</w:t>
      </w:r>
    </w:p>
    <w:p>
      <w:pPr>
        <w:pStyle w:val="BodyText"/>
      </w:pPr>
      <w:r>
        <w:t xml:space="preserve">1,027</w:t>
      </w:r>
    </w:p>
    <w:p>
      <w:pPr>
        <w:pStyle w:val="BodyText"/>
      </w:pPr>
      <w:r>
        <w:t xml:space="preserve">(5,001)</w:t>
      </w:r>
    </w:p>
    <w:p>
      <w:pPr>
        <w:pStyle w:val="BodyText"/>
      </w:pPr>
      <w:r>
        <w:t xml:space="preserve">(4,853)</w:t>
      </w:r>
    </w:p>
    <w:p>
      <w:pPr>
        <w:pStyle w:val="BodyText"/>
      </w:pPr>
      <w:r>
        <w:t xml:space="preserve">(4,783)</w:t>
      </w:r>
    </w:p>
    <w:p>
      <w:pPr>
        <w:pStyle w:val="BodyText"/>
      </w:pPr>
      <w:r>
        <w:t xml:space="preserve">(4,349)</w:t>
      </w:r>
    </w:p>
    <w:p>
      <w:pPr>
        <w:pStyle w:val="BodyText"/>
      </w:pPr>
      <w:r>
        <w:t xml:space="preserve">1,837</w:t>
      </w:r>
    </w:p>
    <w:p>
      <w:pPr>
        <w:pStyle w:val="BodyText"/>
      </w:pPr>
      <w:r>
        <w:t xml:space="preserve">Depreciation, amortization and impairment – TTM</w:t>
      </w:r>
    </w:p>
    <w:p>
      <w:pPr>
        <w:pStyle w:val="BodyText"/>
      </w:pPr>
      <w:r>
        <w:t xml:space="preserve">3,170</w:t>
      </w:r>
    </w:p>
    <w:p>
      <w:pPr>
        <w:pStyle w:val="BodyText"/>
      </w:pPr>
      <w:r>
        <w:t xml:space="preserve">3,411</w:t>
      </w:r>
    </w:p>
    <w:p>
      <w:pPr>
        <w:pStyle w:val="BodyText"/>
      </w:pPr>
      <w:r>
        <w:t xml:space="preserve">3,606</w:t>
      </w:r>
    </w:p>
    <w:p>
      <w:pPr>
        <w:pStyle w:val="BodyText"/>
      </w:pPr>
      <w:r>
        <w:t xml:space="preserve">3,747</w:t>
      </w:r>
    </w:p>
    <w:p>
      <w:pPr>
        <w:pStyle w:val="BodyText"/>
      </w:pPr>
      <w:r>
        <w:t xml:space="preserve">3,913</w:t>
      </w:r>
    </w:p>
    <w:p>
      <w:pPr>
        <w:pStyle w:val="BodyText"/>
      </w:pPr>
      <w:r>
        <w:t xml:space="preserve">4,145</w:t>
      </w:r>
    </w:p>
    <w:p>
      <w:pPr>
        <w:pStyle w:val="BodyText"/>
      </w:pPr>
      <w:r>
        <w:t xml:space="preserve">4,424</w:t>
      </w:r>
    </w:p>
    <w:p>
      <w:pPr>
        <w:pStyle w:val="BodyText"/>
      </w:pPr>
      <w:r>
        <w:t xml:space="preserve">4,667</w:t>
      </w:r>
    </w:p>
    <w:p>
      <w:pPr>
        <w:pStyle w:val="BodyText"/>
      </w:pPr>
      <w:r>
        <w:t xml:space="preserve">4,867</w:t>
      </w:r>
    </w:p>
    <w:p>
      <w:pPr>
        <w:pStyle w:val="BodyText"/>
      </w:pPr>
      <w:r>
        <w:t xml:space="preserve">4,991</w:t>
      </w:r>
    </w:p>
    <w:p>
      <w:pPr>
        <w:pStyle w:val="BodyText"/>
      </w:pPr>
      <w:r>
        <w:t xml:space="preserve">5,104</w:t>
      </w:r>
    </w:p>
    <w:p>
      <w:pPr>
        <w:pStyle w:val="BodyText"/>
      </w:pPr>
      <w:r>
        <w:t xml:space="preserve">5,368</w:t>
      </w:r>
    </w:p>
    <w:p>
      <w:pPr>
        <w:pStyle w:val="BodyText"/>
      </w:pPr>
      <w:r>
        <w:t xml:space="preserve">Stock-based compensation expense – TTM</w:t>
      </w:r>
    </w:p>
    <w:p>
      <w:pPr>
        <w:pStyle w:val="BodyText"/>
      </w:pPr>
      <w:r>
        <w:t xml:space="preserve">1,925</w:t>
      </w:r>
    </w:p>
    <w:p>
      <w:pPr>
        <w:pStyle w:val="BodyText"/>
      </w:pPr>
      <w:r>
        <w:t xml:space="preserve">1,812</w:t>
      </w:r>
    </w:p>
    <w:p>
      <w:pPr>
        <w:pStyle w:val="BodyText"/>
      </w:pPr>
      <w:r>
        <w:t xml:space="preserve">1,699</w:t>
      </w:r>
    </w:p>
    <w:p>
      <w:pPr>
        <w:pStyle w:val="BodyText"/>
      </w:pPr>
      <w:r>
        <w:t xml:space="preserve">1,560</w:t>
      </w:r>
    </w:p>
    <w:p>
      <w:pPr>
        <w:pStyle w:val="BodyText"/>
      </w:pPr>
      <w:r>
        <w:t xml:space="preserve">1,560</w:t>
      </w:r>
    </w:p>
    <w:p>
      <w:pPr>
        <w:pStyle w:val="BodyText"/>
      </w:pPr>
      <w:r>
        <w:t xml:space="preserve">1,644</w:t>
      </w:r>
    </w:p>
    <w:p>
      <w:pPr>
        <w:pStyle w:val="BodyText"/>
      </w:pPr>
      <w:r>
        <w:t xml:space="preserve">1,747</w:t>
      </w:r>
    </w:p>
    <w:p>
      <w:pPr>
        <w:pStyle w:val="BodyText"/>
      </w:pPr>
      <w:r>
        <w:t xml:space="preserve">1,812</w:t>
      </w:r>
    </w:p>
    <w:p>
      <w:pPr>
        <w:pStyle w:val="BodyText"/>
      </w:pPr>
      <w:r>
        <w:t xml:space="preserve">1,918</w:t>
      </w:r>
    </w:p>
    <w:p>
      <w:pPr>
        <w:pStyle w:val="BodyText"/>
      </w:pPr>
      <w:r>
        <w:t xml:space="preserve">1,912</w:t>
      </w:r>
    </w:p>
    <w:p>
      <w:pPr>
        <w:pStyle w:val="BodyText"/>
      </w:pPr>
      <w:r>
        <w:t xml:space="preserve">1,904</w:t>
      </w:r>
    </w:p>
    <w:p>
      <w:pPr>
        <w:pStyle w:val="BodyText"/>
      </w:pPr>
      <w:r>
        <w:t xml:space="preserve">1,999</w:t>
      </w:r>
    </w:p>
    <w:p>
      <w:pPr>
        <w:pStyle w:val="BodyText"/>
      </w:pPr>
      <w:r>
        <w:t xml:space="preserve">Adjusted EBITDA – TTM (non-GAAP)</w:t>
      </w:r>
    </w:p>
    <w:p>
      <w:pPr>
        <w:pStyle w:val="BodyText"/>
      </w:pPr>
      <w:r>
        <w:t xml:space="preserve">14,803</w:t>
      </w:r>
    </w:p>
    <w:p>
      <w:pPr>
        <w:pStyle w:val="BodyText"/>
      </w:pPr>
      <w:r>
        <w:t xml:space="preserve">16,107</w:t>
      </w:r>
    </w:p>
    <w:p>
      <w:pPr>
        <w:pStyle w:val="BodyText"/>
      </w:pPr>
      <w:r>
        <w:t xml:space="preserve">17,872</w:t>
      </w:r>
    </w:p>
    <w:p>
      <w:pPr>
        <w:pStyle w:val="BodyText"/>
      </w:pPr>
      <w:r>
        <w:t xml:space="preserve">19,186</w:t>
      </w:r>
    </w:p>
    <w:p>
      <w:pPr>
        <w:pStyle w:val="BodyText"/>
      </w:pPr>
      <w:r>
        <w:t xml:space="preserve">18,430</w:t>
      </w:r>
    </w:p>
    <w:p>
      <w:pPr>
        <w:pStyle w:val="BodyText"/>
      </w:pPr>
      <w:r>
        <w:t xml:space="preserve">19,292</w:t>
      </w:r>
    </w:p>
    <w:p>
      <w:pPr>
        <w:pStyle w:val="BodyText"/>
      </w:pPr>
      <w:r>
        <w:t xml:space="preserve">18,082</w:t>
      </w:r>
    </w:p>
    <w:p>
      <w:pPr>
        <w:pStyle w:val="BodyText"/>
      </w:pPr>
      <w:r>
        <w:t xml:space="preserve">16,631</w:t>
      </w:r>
    </w:p>
    <w:p>
      <w:pPr>
        <w:pStyle w:val="BodyText"/>
      </w:pPr>
      <w:r>
        <w:t xml:space="preserve">15,748</w:t>
      </w:r>
    </w:p>
    <w:p>
      <w:pPr>
        <w:pStyle w:val="BodyText"/>
      </w:pPr>
      <w:r>
        <w:t xml:space="preserve">14,769</w:t>
      </w:r>
    </w:p>
    <w:p>
      <w:pPr>
        <w:pStyle w:val="BodyText"/>
      </w:pPr>
      <w:r>
        <w:t xml:space="preserve">15,676</w:t>
      </w:r>
    </w:p>
    <w:p>
      <w:pPr>
        <w:pStyle w:val="BodyText"/>
      </w:pPr>
      <w:r>
        <w:t xml:space="preserve">16,645</w:t>
      </w:r>
    </w:p>
    <w:bookmarkEnd w:id="41"/>
    <w:bookmarkStart w:id="42" w:name="webcast-information"/>
    <w:p>
      <w:pPr>
        <w:pStyle w:val="Heading1"/>
      </w:pPr>
      <w:r>
        <w:t xml:space="preserve">WEBCAST INFORMATION</w:t>
      </w:r>
    </w:p>
    <w:p>
      <w:pPr>
        <w:pStyle w:val="FirstParagraph"/>
      </w:pPr>
      <w:r>
        <w:t xml:space="preserve">Tesla will provide a live webcast of its fourth quarter 2024 financial results conference call beginning at 4:30 p.m. CT on January 29, 2025 at ir.tesla.com. This webcast will also be available for replay for approximately one year thereafter.</w:t>
      </w:r>
    </w:p>
    <w:bookmarkEnd w:id="42"/>
    <w:bookmarkStart w:id="43" w:name="certain-terms"/>
    <w:p>
      <w:pPr>
        <w:pStyle w:val="Heading1"/>
      </w:pPr>
      <w:r>
        <w:t xml:space="preserve">CERTAIN TERMS</w:t>
      </w:r>
    </w:p>
    <w:p>
      <w:pPr>
        <w:pStyle w:val="FirstParagraph"/>
      </w:pPr>
      <w:r>
        <w:t xml:space="preserve">When used in this update, certain terms have the following meanings. Our vehicle deliveries include only vehicles that have been transferred to end customers with all paperwork correctly completed. Our energy product deployment volume includes both customer units when installed and equipment sales at time of delivery.</w:t>
      </w:r>
      <w:r>
        <w:t xml:space="preserve"> </w:t>
      </w:r>
      <w:r>
        <w:t xml:space="preserve">“Adjusted EBITDA”</w:t>
      </w:r>
      <w:r>
        <w:t xml:space="preserve"> </w:t>
      </w:r>
      <w:r>
        <w:t xml:space="preserve">is equal to (i) net income (loss) attributable to common stockholders before (ii)(a) interest expense, (b) provision for income taxes, (c) depreciation, amortization and impairment and (d) stock-based compensation expense.</w:t>
      </w:r>
      <w:r>
        <w:t xml:space="preserve"> </w:t>
      </w:r>
      <w:r>
        <w:t xml:space="preserve">“Free cash flow”</w:t>
      </w:r>
      <w:r>
        <w:t xml:space="preserve"> </w:t>
      </w:r>
      <w:r>
        <w:t xml:space="preserve">is operating cash flow less capital expenditures. Average cost per vehicle is cost of automotive sales divided by new vehicle deliveries (excluding operating leases). “Days sales outstanding” is equal to (i) average accounts receivable, net for the period divided by (ii) total revenues and multiplied by (iii) the number of days in the period. “Days payable outstanding” is equal to (i) average accounts payable for the period divided by (ii) total cost of revenues and multiplied by (iii) the number of days in the period. “Days of supply” is calculated by dividing new car ending inventory by the relevant period’s deliveries and using trading days. Constant currency impacts are calculated by comparing actuals against current results converted into USD using average exchange rates from the prior period.</w:t>
      </w:r>
    </w:p>
    <w:bookmarkEnd w:id="43"/>
    <w:bookmarkStart w:id="44" w:name="non-gaap-financial-information"/>
    <w:p>
      <w:pPr>
        <w:pStyle w:val="Heading1"/>
      </w:pPr>
      <w:r>
        <w:t xml:space="preserve">NON-GAAP FINANCIAL INFORMATION</w:t>
      </w:r>
    </w:p>
    <w:p>
      <w:pPr>
        <w:pStyle w:val="FirstParagraph"/>
      </w:pPr>
      <w:r>
        <w:t xml:space="preserve">Consolidated financial information has been presented in accordance with GAAP as well as on a non-GAAP basis to supplement our consolidated financial results. Our non-GAAP financial measures include non-GAAP net income (loss) attributable to common stockholders, non-GAAP net income (loss) attributable to common stockholders on a diluted per share basis (calculated using weighted average shares for GAAP diluted net income (loss) attributable to common stockholders), Adjusted EBITDA, Adjusted EBITDA margin and free cash flow. These non-GAAP financial measures also facilitate management’s internal comparisons to Tesla’s historical performance as well as comparisons to the operating results of other companies. Management believes that it is useful to supplement its GAAP financial statements with this non-GAAP information because management uses such information internally for its operating, budgeting and financial planning purposes. Management also believes that presentation of the non-GAAP financial measures provides useful information to our investors regarding our financial condition and results of operations, so that investors can see through the eyes of Tesla management regarding important financial metrics that Tesla uses to run the business and allowing investors to better understand Tesla’s performance. Non-GAAP information is not prepared under a comprehensive set of accounting rules and therefore, should only be read in conjunction with financial information reported under U.S. GAAP when understanding Tesla’s operating performance. A reconciliation between GAAP and non-GAAP financial information is provided above.</w:t>
      </w:r>
    </w:p>
    <w:bookmarkEnd w:id="44"/>
    <w:bookmarkStart w:id="45" w:name="forward-looking-statements"/>
    <w:p>
      <w:pPr>
        <w:pStyle w:val="Heading1"/>
      </w:pPr>
      <w:r>
        <w:t xml:space="preserve">FORWARD-LOOKING STATEMENTS</w:t>
      </w:r>
    </w:p>
    <w:p>
      <w:pPr>
        <w:pStyle w:val="FirstParagraph"/>
      </w:pPr>
      <w:r>
        <w:t xml:space="preserve">Certain statements in this update, including, but not limited to, statements in the “Outlook” section; statements relating to the development, strategy, ramp, production and capacity, demand and market growth, cost, pricing and profitability, investment, deliveries, deployment, availability and other features and improvements and timing of existing and future Tesla products and services; statements regarding operating margin, operating profits, spending and liquidity; and statements regarding expansion, improvements and/or ramp and related timing at our factories and refinery are “forward-looking statements” within the meaning of the Private Securities Litigation Reform Act of 1995. Forward-looking statements are based on assumptions and management’s current expectations, involve certain risks and uncertainties, and are not guarantees. Future results may differ materially from those expressed in any forward-looking statement. The following important factors, without limitation, could cause actual results to differ materially from those in the forward-looking statements: the risk of delays in launching and/or manufacturing our products, services and features cost-effectively; our ability to build and/or grow our products and services, sales, delivery, installation, servicing and charging capabilities and effectively manage this growth; our ability to successfully and timely develop, introduce and scale, as well as our consumers’ demand for, products and services based on artificial intelligence, robotics and automation, electric vehicles, Autopilot and FSD (Supervised) features, and ride-hailing services generally and our vehicles and services specifically; the ability of suppliers to deliver components according to schedules, prices, quality and volumes acceptable to us, and our ability to manage such components effectively; any issues with lithium-ion cells or other components manufactured at our factories; our ability to ramp our factories in accordance with our plans; our ability to procure supply of battery cells, including through our own manufacturing; risks relating to international expansion; any failures by Tesla products to perform as expected or if product recalls occur; the risk of product liability claims; competition in the automotive, transportation and energy product and services markets; our ability to maintain public credibility and confidence in our long-term business prospects; our ability to manage risks relating to our various product financing programs; the status of government and economic incentives for electric vehicles and energy products; our ability to attract, hire and retain key employees and qualified personnel; our ability to maintain the security of our information and production and product systems; our compliance with various regulations and laws applicable to our operations and products, which may evolve from time to time; risks relating to our indebtedness and financing strategies; and adverse foreign exchange movements. More information on potential factors that could affect our financial results is included from time to time in our Securities and Exchange Commission filings and reports, including the risks identified under the section captioned “Risk Factors” in our annual report on Form 10-K filed with the SEC on January 29, 2024 and subsequent quarterly reports on Form 10-Q. Tesla disclaims any obligation to update information contained in these forward-looking statements whether as a result of new information, future events or otherwise.</w:t>
      </w:r>
    </w:p>
    <w:p>
      <w:pPr>
        <w:pStyle w:val="BodyText"/>
      </w:pPr>
      <w:r>
        <w:t xml:space="preserve">T=sln</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2026-05-20T06:38:59Z</dcterms:created>
  <dcterms:modified xsi:type="dcterms:W3CDTF">2026-05-20T06:38:59Z</dcterms:modified>
</cp:coreProperties>
</file>

<file path=docProps/custom.xml><?xml version="1.0" encoding="utf-8"?>
<Properties xmlns="http://schemas.openxmlformats.org/officeDocument/2006/custom-properties" xmlns:vt="http://schemas.openxmlformats.org/officeDocument/2006/docPropsVTypes"/>
</file>