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CareConnect — Explainable ED Triage Decision Support</w:t>
      </w:r>
    </w:p>
    <w:p>
      <w:pPr>
        <w:spacing w:after="110" w:before="0" w:line="21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5"/>
          <w:szCs w:val="15"/>
        </w:rPr>
        <w:t xml:space="preserve">Vinayak Saxena (24BCE1208)  ·  ESI acuity prediction from the initial triage assessment  ·  September 2026</w:t>
      </w:r>
    </w:p>
    <w:p>
      <w:pPr>
        <w:pBdr>
          <w:bottom w:val="single" w:color="C9C8C2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1. Problem statement</w:t>
      </w:r>
    </w:p>
    <w:p>
      <w:pPr>
        <w:spacing w:after="40" w:before="0" w:line="21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Emergency triage assigns an Emergency Severity Index (ESI 1–5) under time pressure, from one nurse's judgement, with no consistent second opinion and no record of why a level was chosen. Under-triage of ESI 1–2 patients is the costliest error. CareConnect adds a model that suggests an ESI level from the eleven values recorded at the first assessment, explains each suggestion, and requires a clinician to confirm or override it — decision support, never a decision.</w:t>
      </w:r>
    </w:p>
    <w:p>
      <w:pPr>
        <w:pBdr>
          <w:bottom w:val="single" w:color="C9C8C2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2. Dataset description</w:t>
      </w:r>
    </w:p>
    <w:p>
      <w:pPr>
        <w:spacing w:after="40" w:before="0" w:line="216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17"/>
          <w:szCs w:val="17"/>
        </w:rPr>
        <w:t xml:space="preserve">Source.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A reproducible synthetic ED generator (seed 42) for development, and MIMIC-IV-ED v2.2 (PhysioNet, Beth Israel Deaconess, 2011–2019) as real data: the open demo subset (207 triage rows, 64 patients) and the full credentialed release (~425,000 ED stays) for final evaluation.</w:t>
      </w:r>
    </w:p>
    <w:p>
      <w:pPr>
        <w:spacing w:after="40" w:before="0" w:line="216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17"/>
          <w:szCs w:val="17"/>
        </w:rPr>
        <w:t xml:space="preserve">Size and split.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12,000 synthetic rows, stratified 60/20/20 into 7,200 train / 2,400 validation / 2,400 test; patient-level grouping on real data so no patient spans splits.</w:t>
      </w:r>
    </w:p>
    <w:p>
      <w:pPr>
        <w:spacing w:after="40" w:before="0" w:line="216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17"/>
          <w:szCs w:val="17"/>
        </w:rPr>
        <w:t xml:space="preserve">Features.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Eleven triage-time inputs — age, sex, arrival transport, heart rate, respiratory rate, systolic and diastolic BP, SpO₂, temperature, pain score, free-text chief complaint — plus two derived: shock index (HR/SBP) and pulse pressure (SBP−DBP). Target: ESI 1–5.</w:t>
      </w:r>
    </w:p>
    <w:p>
      <w:pPr>
        <w:spacing w:after="60" w:before="0" w:line="216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17"/>
          <w:szCs w:val="17"/>
        </w:rPr>
        <w:t xml:space="preserve">Preprocessing.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Out-of-range values clipped to missing, median imputation and z-scoring for numerics, mode imputation and one-hot for categoricals, TF-IDF (1–2 grams, 400 terms, sublinear TF) over the complaint text. Everything stateful is fit on the training split only and serialized inside the model artifact. A named whitelist admits only triage-time columns; diagnosis, disposition, ICU admission, mortality, length of stay, later vitals, labs and notes are blocked by name.</w:t>
      </w:r>
    </w:p>
    <w:p>
      <w:pPr>
        <w:pBdr>
          <w:bottom w:val="single" w:color="C9C8C2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3. Methodology</w:t>
      </w:r>
    </w:p>
    <w:p>
      <w:pPr>
        <w:spacing w:after="60" w:before="0" w:line="21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7"/>
          <w:szCs w:val="17"/>
        </w:rPr>
        <w:t xml:space="preserve">Pipeline: FeatureEngineer → ColumnTransformer → estimator. Four model families (logistic regression, decision tree, random forest, XGBoost) are each trained on two feature sets (structured, structured + TF-IDF), class-weighted for the imbalanced ESI distribution. Selection uses validation macro-F1 with ESI 1–2 recall as the tie-break — never accuracy; the winner is refit on train + validation and the test split is scored once. XGBoost (400 trees, depth 5, learning rate 0.05, multi:softprob) with TF-IDF is the expected selection. SHAP TreeExplainer returns the top five drivers per prediction, folded back to base features and labelled by direction of acuity, with a rule-based fallback that explains itself the same way. Every response carries requires_human_review, and the model output and the clinician's final ESI are stored side by side in Postgres so neither overwrites the other.</w:t>
      </w:r>
    </w:p>
    <w:p>
      <w:pPr>
        <w:pBdr>
          <w:bottom w:val="single" w:color="C9C8C2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4. Results and insights (targets)</w:t>
      </w:r>
    </w:p>
    <w:tbl>
      <w:tblPr>
        <w:tblW w:type="dxa" w:w="10440"/>
        <w:tblBorders>
          <w:top w:val="single" w:color="C9C8C2" w:sz="2"/>
          <w:left w:val="none" w:color="FFFFFF" w:sz="0"/>
          <w:bottom w:val="single" w:color="C9C8C2" w:sz="2"/>
          <w:right w:val="none" w:color="FFFFFF" w:sz="0"/>
          <w:insideH w:val="single" w:color="E2E1DC" w:sz="1"/>
          <w:insideV w:val="none" w:color="FFFFFF" w:sz="0"/>
        </w:tblBorders>
      </w:tblPr>
      <w:tblGrid>
        <w:gridCol w:w="3400"/>
        <w:gridCol w:w="2280"/>
        <w:gridCol w:w="2380"/>
        <w:gridCol w:w="2380"/>
      </w:tblGrid>
      <w:tr>
        <w:trPr>
          <w:tblHeader/>
        </w:trPr>
        <w:tc>
          <w:tcPr>
            <w:tcW w:type="dxa" w:w="3400"/>
            <w:shd w:fill="F2F1ED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Metric</w:t>
            </w:r>
          </w:p>
        </w:tc>
        <w:tc>
          <w:tcPr>
            <w:tcW w:type="dxa" w:w="2280"/>
            <w:shd w:fill="F2F1ED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In-domain</w:t>
            </w:r>
          </w:p>
        </w:tc>
        <w:tc>
          <w:tcPr>
            <w:tcW w:type="dxa" w:w="2380"/>
            <w:shd w:fill="F2F1ED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Target A (demo)</w:t>
            </w:r>
          </w:p>
        </w:tc>
        <w:tc>
          <w:tcPr>
            <w:tcW w:type="dxa" w:w="2380"/>
            <w:shd w:fill="F2F1ED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15"/>
                <w:szCs w:val="15"/>
              </w:rPr>
              <w:t xml:space="preserve">Target B (full)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Accuracy</w:t>
            </w:r>
          </w:p>
        </w:tc>
        <w:tc>
          <w:tcPr>
            <w:tcW w:type="dxa" w:w="22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0.87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0.792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≥ 0.80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Macro-F1</w:t>
            </w:r>
          </w:p>
        </w:tc>
        <w:tc>
          <w:tcPr>
            <w:tcW w:type="dxa" w:w="22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0.85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0.536*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≥ 0.72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ESI 1–2 recall</w:t>
            </w:r>
          </w:p>
        </w:tc>
        <w:tc>
          <w:tcPr>
            <w:tcW w:type="dxa" w:w="22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0.93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0.913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≥ 0.93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ESI 1–2 precision</w:t>
            </w:r>
          </w:p>
        </w:tc>
        <w:tc>
          <w:tcPr>
            <w:tcW w:type="dxa" w:w="22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0.93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0.868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≥ 0.85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Calibration error (ECE)</w:t>
            </w:r>
          </w:p>
        </w:tc>
        <w:tc>
          <w:tcPr>
            <w:tcW w:type="dxa" w:w="22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≤ 0.03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—</w:t>
            </w:r>
          </w:p>
        </w:tc>
        <w:tc>
          <w:tcPr>
            <w:tcW w:type="dxa" w:w="2380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line="20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2514E"/>
                <w:sz w:val="15"/>
                <w:szCs w:val="15"/>
              </w:rPr>
              <w:t xml:space="preserve">≤ 0.03</w:t>
            </w:r>
          </w:p>
        </w:tc>
      </w:tr>
    </w:tbl>
    <w:p>
      <w:pPr>
        <w:spacing w:after="40" w:before="50" w:line="21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4"/>
          <w:szCs w:val="14"/>
        </w:rPr>
        <w:t xml:space="preserve">* Target A is capped by its own cohort: the demo has no ESI 5 and two ESI 4 patients, so macro-F1 over five classes tops out at 0.80 even for a perfect model. Target B, on the full dataset, is the acceptance gate.</w:t>
      </w:r>
    </w:p>
    <w:p>
      <w:pPr>
        <w:spacing w:after="30" w:before="0"/>
        <w:jc w:val="center"/>
      </w:pPr>
      <w:r>
        <w:drawing>
          <wp:inline distT="0" distB="0" distL="0" distR="0">
            <wp:extent cx="447675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1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6"/>
          <w:szCs w:val="16"/>
        </w:rPr>
        <w:t xml:space="preserve">Dataset acceptance is tested statistically, not by eye: no vital significantly different from the reference cohort after Holm correction, all nine equivalent at a ±0.2 SD TOST margin, χ² p ≥ 0.05 on the ESI mix, and a mean absolute correlation gap ≤ 0.05 — including a pain–acuity correlation matching the reference in sign.</w:t>
      </w:r>
    </w:p>
    <w:p>
      <w:pPr>
        <w:pBdr>
          <w:bottom w:val="single" w:color="C9C8C2" w:sz="4" w:space="1"/>
        </w:pBdr>
        <w:spacing w:after="40" w:before="110"/>
      </w:pPr>
      <w:r>
        <w:rPr>
          <w:rFonts w:ascii="Calibri" w:cs="Calibri" w:eastAsia="Calibri" w:hAnsi="Calibri"/>
          <w:b/>
          <w:bCs/>
          <w:color w:val="0B0B0B"/>
          <w:sz w:val="19"/>
          <w:szCs w:val="19"/>
        </w:rPr>
        <w:t xml:space="preserve">5. Novelty</w:t>
      </w:r>
    </w:p>
    <w:p>
      <w:pPr>
        <w:pStyle w:val="ListParagraph"/>
        <w:numPr>
          <w:ilvl w:val="0"/>
          <w:numId w:val="1"/>
        </w:numPr>
        <w:spacing w:after="10" w:line="212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Multimodal triage prediction: structured vitals and free-text complaint in one pipeline, with the text contribution measured as a required gain rather than assumed.</w:t>
      </w:r>
    </w:p>
    <w:p>
      <w:pPr>
        <w:pStyle w:val="ListParagraph"/>
        <w:numPr>
          <w:ilvl w:val="0"/>
          <w:numId w:val="1"/>
        </w:numPr>
        <w:spacing w:after="10" w:line="212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Explanations phrased in clinical direction — each SHAP driver is labelled as increasing or decreasing acuity against the ordinal ESI scale, not as a raw coefficient.</w:t>
      </w:r>
    </w:p>
    <w:p>
      <w:pPr>
        <w:pStyle w:val="ListParagraph"/>
        <w:numPr>
          <w:ilvl w:val="0"/>
          <w:numId w:val="1"/>
        </w:numPr>
        <w:spacing w:after="10" w:line="212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Auditable human-in-the-loop: the model's prediction, probabilities, inputs and explanation are immutable; the clinician's final ESI, override flag and reason sit beside them.</w:t>
      </w:r>
    </w:p>
    <w:p>
      <w:pPr>
        <w:pStyle w:val="ListParagraph"/>
        <w:numPr>
          <w:ilvl w:val="0"/>
          <w:numId w:val="1"/>
        </w:numPr>
        <w:spacing w:after="10" w:line="212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Privacy-safe calibration: the synthetic generator is tuned to real aggregate statistics only, with tests proving no patient row, identifier or complaint text can enter the generated data.</w:t>
      </w:r>
    </w:p>
    <w:p>
      <w:pPr>
        <w:pStyle w:val="ListParagraph"/>
        <w:numPr>
          <w:ilvl w:val="0"/>
          <w:numId w:val="1"/>
        </w:numPr>
        <w:spacing w:after="10" w:line="212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 statistical acceptance gate on the training data itself — equivalence testing, not just a non-significant t-test, before the data is considered fit to train on.</w:t>
      </w:r>
    </w:p>
    <w:sectPr>
      <w:pgSz w:w="11906" w:h="16838" w:orient="portrait"/>
      <w:pgMar w:top="800" w:right="790" w:bottom="62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1de6551117eee0df75a7925ac20f716b46e2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2026-09-18T16:51:14.006Z</dcterms:created>
  <dcterms:modified xsi:type="dcterms:W3CDTF">2026-09-18T16:51:14.018Z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