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Synthetic vs MIMIC-IV-ED — Statistical Analysis</w:t>
      </w:r>
    </w:p>
    <w:p>
      <w:pPr/>
      <w:r>
        <w:t xml:space="preserve">Sep 18, 2026</w:t>
      </w:r>
      <w:r>
        <w:t xml:space="preserve"> · </w:t>
      </w:r>
      <w:r>
        <w:t>Vinayak Saxena</w:t>
      </w:r>
    </w:p>
    <w:p>
      <w:pPr>
        <w:pStyle w:val="Heading2"/>
      </w:pPr>
      <w:r>
        <w:t xml:space="preserve">1. Summary</w:t>
      </w:r>
    </w:p>
    <w:p>
      <w:pPr/>
      <w:r>
        <w:t xml:space="preserve">The synthetic training data differs from the MIMIC-IV-ED demo on </w:t>
      </w:r>
      <w:r>
        <w:rPr>
          <w:b/>
        </w:rPr>
        <w:t xml:space="preserve">6 of 9 vital-sign features</w:t>
      </w:r>
      <w:r>
        <w:t xml:space="preserve"> (Welch t-tests, Holm-corrected p &lt; 0.05), on the </w:t>
      </w:r>
      <w:r>
        <w:rPr>
          <w:b/>
        </w:rPr>
        <w:t xml:space="preserve">ESI mix</w:t>
      </w:r>
      <w:r>
        <w:t xml:space="preserve"> (χ² = 168.9, df = 4, p = 1.8 × 10⁻³⁵) and on </w:t>
      </w:r>
      <w:r>
        <w:rPr>
          <w:b/>
        </w:rPr>
        <w:t xml:space="preserve">arrival transport</w:t>
      </w:r>
      <w:r>
        <w:t xml:space="preserve"> (χ² = 240.0, p = 7.8 × 10⁻⁵⁰). Sex is the one variable that already matched (p = 0.21).</w:t>
      </w:r>
    </w:p>
    <w:p>
      <w:pPr/>
      <w:r>
        <w:t xml:space="preserve">Calibrating the generator to MIMIC's aggregate statistics helped, and the improvement is statistically supported where it is measured as a distribution shape: paired across the 9 features, the </w:t>
      </w:r>
      <w:r>
        <w:rPr>
          <w:b/>
        </w:rPr>
        <w:t xml:space="preserve">KS distance fell from 0.237 to 0.172</w:t>
      </w:r>
      <w:r>
        <w:t xml:space="preserve"> (paired t = −2.84, df = 8, p = 0.022; Wilcoxon p = 0.039; 8 of 9 features improved). The ESI mix went from χ² p = 1.8 × 10⁻³⁵ to </w:t>
      </w:r>
      <w:r>
        <w:rPr>
          <w:b/>
        </w:rPr>
        <w:t xml:space="preserve">p = 0.073</w:t>
      </w:r>
      <w:r>
        <w:t xml:space="preserve">, i.e. no longer distinguishable from MIMIC's, and the correlation gap halved (paired t = −2.62, p = 0.034).</w:t>
      </w:r>
    </w:p>
    <w:p>
      <w:pPr/>
      <w:r>
        <w:t xml:space="preserve">Three caveats shape everything below.</w:t>
      </w:r>
    </w:p>
    <w:p>
      <w:pPr>
        <w:pStyle w:val="ListParagraph"/>
        <w:numPr>
          <w:ilvl w:val="0"/>
          <w:numId w:val="2"/>
        </w:numPr>
      </w:pPr>
      <w:r>
        <w:t xml:space="preserve">With n = 12,000 vs n = 207, the tests can detect a standardised difference as small as </w:t>
      </w:r>
      <w:r>
        <w:rPr>
          <w:b/>
        </w:rPr>
        <w:t xml:space="preserve">d = 0.20</w:t>
      </w:r>
      <w:r>
        <w:t xml:space="preserve">, so tiny, clinically meaningless gaps still come out "significant".</w:t>
      </w:r>
    </w:p>
    <w:p>
      <w:pPr>
        <w:pStyle w:val="ListParagraph"/>
        <w:numPr>
          <w:ilvl w:val="0"/>
          <w:numId w:val="2"/>
        </w:numPr>
      </w:pPr>
      <w:r>
        <w:t xml:space="preserve">The two datasets are </w:t>
      </w:r>
      <w:r>
        <w:rPr>
          <w:b/>
        </w:rPr>
        <w:t xml:space="preserve">not naturally paired</w:t>
      </w:r>
      <w:r>
        <w:t xml:space="preserve"> — no patient appears in both. Paired tests are reported in three explicitly constructed forms (Section 3), each with its own meaning.</w:t>
      </w:r>
    </w:p>
    <w:p>
      <w:pPr>
        <w:pStyle w:val="ListParagraph"/>
        <w:numPr>
          <w:ilvl w:val="0"/>
          <w:numId w:val="2"/>
        </w:numPr>
      </w:pPr>
      <w:r>
        <w:t xml:space="preserve">After calibration, most features still fail a </w:t>
      </w:r>
      <w:r>
        <w:rPr>
          <w:b/>
        </w:rPr>
        <w:t xml:space="preserve">0.2 SD equivalence test</w:t>
      </w:r>
      <w:r>
        <w:t xml:space="preserve">, so "no longer significantly different" is not the same as "proven similar".</w:t>
      </w:r>
    </w:p>
    <w:p>
      <w:pPr>
        <w:pStyle w:val="Heading2"/>
      </w:pPr>
      <w:r>
        <w:t xml:space="preserve">2. Data and cleaning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Rows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synthetic_original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ml/data/generated/synthetic_original.csv</w:t>
            </w:r>
            <w:r>
              <w:t xml:space="preserve">, seed 42</w:t>
            </w:r>
          </w:p>
        </w:tc>
        <w:tc>
          <w:tcPr>
            <w:tcW w:w="2340" w:type="dxa"/>
          </w:tcPr>
          <w:p>
            <w:pPr/>
            <w:r>
              <w:t xml:space="preserve">12,000</w:t>
            </w:r>
          </w:p>
        </w:tc>
        <w:tc>
          <w:tcPr>
            <w:tcW w:w="2340" w:type="dxa"/>
          </w:tcPr>
          <w:p>
            <w:pPr/>
            <w:r>
              <w:t xml:space="preserve">The data the shipped model was trained 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synthetic_mimic_calibrated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ml/data/generated/synthetic_mimic_calibrated.csv</w:t>
            </w:r>
            <w:r>
              <w:t xml:space="preserve">, seed 42</w:t>
            </w:r>
          </w:p>
        </w:tc>
        <w:tc>
          <w:tcPr>
            <w:tcW w:w="2340" w:type="dxa"/>
          </w:tcPr>
          <w:p>
            <w:pPr/>
            <w:r>
              <w:t xml:space="preserve">12,000</w:t>
            </w:r>
          </w:p>
        </w:tc>
        <w:tc>
          <w:tcPr>
            <w:tcW w:w="2340" w:type="dxa"/>
          </w:tcPr>
          <w:p>
            <w:pPr/>
            <w:r>
              <w:t xml:space="preserve">Same generator, parameters tuned to MIMIC aggregates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mimic_demo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mimic-iv-ed-demo-2.2/.../ed/</w:t>
            </w:r>
            <w:r>
              <w:t xml:space="preserve"> (</w:t>
            </w:r>
            <w:r>
              <w:rPr>
                <w:rStyle w:val="CodeChar"/>
              </w:rPr>
              <w:t xml:space="preserve">triage</w:t>
            </w:r>
            <w:r>
              <w:t xml:space="preserve"> + </w:t>
            </w:r>
            <w:r>
              <w:rPr>
                <w:rStyle w:val="CodeChar"/>
              </w:rPr>
              <w:t xml:space="preserve">edstays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207 of 222 stays, 64 patients</w:t>
            </w:r>
          </w:p>
        </w:tc>
        <w:tc>
          <w:tcPr>
            <w:tcW w:w="2340" w:type="dxa"/>
          </w:tcPr>
          <w:p>
            <w:pPr/>
            <w:r>
              <w:t xml:space="preserve">Real reference</w:t>
            </w:r>
          </w:p>
        </w:tc>
      </w:tr>
    </w:tbl>
    <w:p>
      <w:pPr/>
      <w:r>
        <w:t xml:space="preserve">MIMIC rows are mapped with the project's own loader logic: temperature °F → °C, pain free text → first number clipped to 0–10, </w:t>
      </w:r>
      <w:r>
        <w:rPr>
          <w:rStyle w:val="CodeChar"/>
        </w:rPr>
        <w:t xml:space="preserve">acuity</w:t>
      </w:r>
      <w:r>
        <w:t xml:space="preserve"> → </w:t>
      </w:r>
      <w:r>
        <w:rPr>
          <w:rStyle w:val="CodeChar"/>
        </w:rPr>
        <w:t xml:space="preserve">esi</w:t>
      </w:r>
      <w:r>
        <w:t xml:space="preserve">, 15 stays without a valid ESI dropped. </w:t>
      </w:r>
      <w:r>
        <w:rPr>
          <w:rStyle w:val="CodeChar"/>
        </w:rPr>
        <w:t xml:space="preserve">shock_index</w:t>
      </w:r>
      <w:r>
        <w:t xml:space="preserve"> and </w:t>
      </w:r>
      <w:r>
        <w:rPr>
          <w:rStyle w:val="CodeChar"/>
        </w:rPr>
        <w:t xml:space="preserve">pulse_pressure</w:t>
      </w:r>
      <w:r>
        <w:t xml:space="preserve"> are derived exactly as </w:t>
      </w:r>
      <w:r>
        <w:rPr>
          <w:rStyle w:val="CodeChar"/>
        </w:rPr>
        <w:t xml:space="preserve">FeatureEngineer</w:t>
      </w:r>
      <w:r>
        <w:t xml:space="preserve"> does.</w:t>
      </w:r>
    </w:p>
    <w:p>
      <w:pPr/>
      <w:r>
        <w:rPr>
          <w:b/>
        </w:rPr>
        <w:t xml:space="preserve">Cleaning applied before testing.</w:t>
      </w:r>
      <w:r>
        <w:t xml:space="preserve"> Values outside </w:t>
      </w:r>
      <w:r>
        <w:rPr>
          <w:rStyle w:val="CodeChar"/>
        </w:rPr>
        <w:t xml:space="preserve">ml/config.py</w:t>
      </w:r>
      <w:r>
        <w:t xml:space="preserve">'s </w:t>
      </w:r>
      <w:r>
        <w:rPr>
          <w:rStyle w:val="CodeChar"/>
        </w:rPr>
        <w:t xml:space="preserve">FEATURE_RANGES</w:t>
      </w:r>
      <w:r>
        <w:t xml:space="preserve"> are set to missing, which is what the training pipeline does. This removes exactly two malformed MIMIC values: one diastolic BP of 879 mmHg and one temperature that was recorded in Celsius and then converted again (2.5 °C). Both were reported, not silently dropped, in the project's own domain-shift write-up.</w:t>
      </w:r>
    </w:p>
    <w:p>
      <w:pPr/>
      <w:r>
        <w:t xml:space="preserve">Cleaning matters for the results. With those two values left in, MIMIC's diastolic BP mean is 77.0 (SD 59.3) and pulse pressure 59.9 (SD 63.9); after cleaning they are </w:t>
      </w:r>
      <w:r>
        <w:rPr>
          <w:b/>
        </w:rPr>
        <w:t xml:space="preserve">73.0 (SD 15.8)</w:t>
      </w:r>
      <w:r>
        <w:t xml:space="preserve"> and </w:t>
      </w:r>
      <w:r>
        <w:rPr>
          <w:b/>
        </w:rPr>
        <w:t xml:space="preserve">64.1 (SD 24.7)</w:t>
      </w:r>
      <w:r>
        <w:t xml:space="preserve">, and the direction of the diastolic difference flips: synthetic BP now looks </w:t>
      </w:r>
      <w:r>
        <w:rPr>
          <w:i/>
        </w:rPr>
        <w:t xml:space="preserve">higher</w:t>
      </w:r>
      <w:r>
        <w:t xml:space="preserve"> than MIMIC rather than lower. Every test below uses the cleaned values.</w:t>
      </w:r>
    </w:p>
    <w:p>
      <w:pPr/>
      <w:r>
        <w:t xml:space="preserve">Missing data is handled test by test (complete cases per feature), so the MIMIC sample is 189–199 rows depending on the vital. </w:t>
      </w:r>
      <w:r>
        <w:rPr>
          <w:rStyle w:val="CodeChar"/>
        </w:rPr>
        <w:t xml:space="preserve">age</w:t>
      </w:r>
      <w:r>
        <w:t xml:space="preserve"> is 100% missing in MIMIC (the demo has no </w:t>
      </w:r>
      <w:r>
        <w:rPr>
          <w:rStyle w:val="CodeChar"/>
        </w:rPr>
        <w:t xml:space="preserve">patients.csv</w:t>
      </w:r>
      <w:r>
        <w:t xml:space="preserve">) and is therefore excluded from all tests.</w:t>
      </w:r>
    </w:p>
    <w:p>
      <w:pPr>
        <w:pStyle w:val="Heading2"/>
      </w:pPr>
      <w:r>
        <w:t xml:space="preserve">3. Test design</w:t>
      </w:r>
    </w:p>
    <w:p>
      <w:pPr/>
      <w:r>
        <w:t xml:space="preserve">A paired t-test needs matched units — the same patient measured twice, or two measurements that belong together. </w:t>
      </w:r>
      <w:r>
        <w:rPr>
          <w:b/>
        </w:rPr>
        <w:t xml:space="preserve">No patient appears in both datasets</w:t>
      </w:r>
      <w:r>
        <w:t xml:space="preserve">, and the synthetic rows are independent draws with no patient linkage at all, so there is no natural pairing. Running a paired test on two unrelated columns of different lengths would be wrong.</w:t>
      </w:r>
    </w:p>
    <w:p>
      <w:pPr/>
      <w:r>
        <w:t xml:space="preserve">So the analysis reports both families, and is explicit about what each answers.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Family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Pairing unit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 answered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Unpaired</w:t>
            </w:r>
          </w:p>
        </w:tc>
        <w:tc>
          <w:tcPr>
            <w:tcW w:w="2340" w:type="dxa"/>
          </w:tcPr>
          <w:p>
            <w:pPr/>
            <w:r>
              <w:t xml:space="preserve">Welch t (unequal variance), Student t, Mann–Whitney U, two-sample KS, Levene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Do synthetic and real distributions differ?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Paired (a)</w:t>
            </w:r>
          </w:p>
        </w:tc>
        <w:tc>
          <w:tcPr>
            <w:tcW w:w="2340" w:type="dxa"/>
          </w:tcPr>
          <w:p>
            <w:pPr/>
            <w:r>
              <w:t xml:space="preserve">Paired t and Wilcoxon signed-rank on quantile-matched values</w:t>
            </w:r>
          </w:p>
        </w:tc>
        <w:tc>
          <w:tcPr>
            <w:tcW w:w="2340" w:type="dxa"/>
          </w:tcPr>
          <w:p>
            <w:pPr/>
            <w:r>
              <w:t xml:space="preserve">the i-th quantile of each dataset</w:t>
            </w:r>
          </w:p>
        </w:tc>
        <w:tc>
          <w:tcPr>
            <w:tcW w:w="2340" w:type="dxa"/>
          </w:tcPr>
          <w:p>
            <w:pPr/>
            <w:r>
              <w:t xml:space="preserve">Where along the distribution do they differ, and by how much?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Paired (b)</w:t>
            </w:r>
          </w:p>
        </w:tc>
        <w:tc>
          <w:tcPr>
            <w:tcW w:w="2340" w:type="dxa"/>
          </w:tcPr>
          <w:p>
            <w:pPr/>
            <w:r>
              <w:t xml:space="preserve">One-sample t and Wilcoxon on within-ESI mean differences</w:t>
            </w:r>
          </w:p>
        </w:tc>
        <w:tc>
          <w:tcPr>
            <w:tcW w:w="2340" w:type="dxa"/>
          </w:tcPr>
          <w:p>
            <w:pPr/>
            <w:r>
              <w:t xml:space="preserve">one ESI class × one feature</w:t>
            </w:r>
          </w:p>
        </w:tc>
        <w:tc>
          <w:tcPr>
            <w:tcW w:w="2340" w:type="dxa"/>
          </w:tcPr>
          <w:p>
            <w:pPr/>
            <w:r>
              <w:t xml:space="preserve">Do they still differ once acuity is held constant?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Paired (c)</w:t>
            </w:r>
          </w:p>
        </w:tc>
        <w:tc>
          <w:tcPr>
            <w:tcW w:w="2340" w:type="dxa"/>
          </w:tcPr>
          <w:p>
            <w:pPr/>
            <w:r>
              <w:t xml:space="preserve">Paired t, Wilcoxon and sign test on distance-to-MIMIC before vs after calibration</w:t>
            </w:r>
          </w:p>
        </w:tc>
        <w:tc>
          <w:tcPr>
            <w:tcW w:w="2340" w:type="dxa"/>
          </w:tcPr>
          <w:p>
            <w:pPr/>
            <w:r>
              <w:t xml:space="preserve">one feature</w:t>
            </w:r>
          </w:p>
        </w:tc>
        <w:tc>
          <w:tcPr>
            <w:tcW w:w="2340" w:type="dxa"/>
          </w:tcPr>
          <w:p>
            <w:pPr/>
            <w:r>
              <w:t xml:space="preserve">Did calibration move the data closer to real data?</w:t>
            </w:r>
          </w:p>
        </w:tc>
      </w:tr>
    </w:tbl>
    <w:p>
      <w:pPr>
        <w:jc w:val="center"/>
      </w:pPr>
      <w:bookmarkStart w:id="1" w:name="bongo_lang_mermaid_1"/>
      <w:bookmarkEnd w:id="1"/>
      <w:r>
        <w:drawing>
          <wp:inline>
            <wp:extent cx="5760720" cy="2299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Paired form (a) sorts both samples and pairs the i-th smallest value in each, so the pairs are quantiles rather than patients. This is a legitimate way to test for a distribution shift, but its p-values must not be read as patient-level evidence: the pairing removes the sampling noise an unpaired test has to carry, so the t-values are much larger.</w:t>
      </w:r>
    </w:p>
    <w:p>
      <w:pPr/>
      <w:r>
        <w:t xml:space="preserve">Paired form (b) is the closest thing to a clinically meaningful pairing: within one ESI class, the synthetic mean and the real mean describe the same kind of patient.</w:t>
      </w:r>
    </w:p>
    <w:p>
      <w:pPr/>
      <w:r>
        <w:t xml:space="preserve">Paired form (c) is the standard before/after design, and here the pairing is genuine — each feature contributes one "before" and one "after" measurement of the same quantity.</w:t>
      </w:r>
    </w:p>
    <w:p>
      <w:pPr/>
      <w:r>
        <w:t xml:space="preserve">All p-values in a family are reported raw and corrected with Holm (family-wise) and Benjamini–Hochberg (false discovery rate). Tests are two-sided at α = 0.05.</w:t>
      </w:r>
    </w:p>
    <w:p>
      <w:pPr>
        <w:pStyle w:val="Heading2"/>
      </w:pPr>
      <w:r>
        <w:t xml:space="preserve">4. Assumptions and power</w:t>
      </w:r>
    </w:p>
    <w:p>
      <w:pPr/>
      <w:r>
        <w:rPr>
          <w:b/>
        </w:rPr>
        <w:t xml:space="preserve">Normality.</w:t>
      </w:r>
      <w:r>
        <w:t xml:space="preserve"> Shapiro–Wilk rejects normality for most features in both datasets, and several MIMIC features are strongly skewed.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Shapiro p (MIMIC)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Skew (MIMIC)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Excess kurtosis (MIMIC)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Heart rate</w:t>
            </w:r>
          </w:p>
        </w:tc>
        <w:tc>
          <w:tcPr>
            <w:tcW w:w="2340" w:type="dxa"/>
          </w:tcPr>
          <w:p>
            <w:pPr/>
            <w:r>
              <w:t xml:space="preserve">0.128</w:t>
            </w:r>
          </w:p>
        </w:tc>
        <w:tc>
          <w:tcPr>
            <w:tcW w:w="2340" w:type="dxa"/>
          </w:tcPr>
          <w:p>
            <w:pPr/>
            <w:r>
              <w:t xml:space="preserve">0.32</w:t>
            </w:r>
          </w:p>
        </w:tc>
        <w:tc>
          <w:tcPr>
            <w:tcW w:w="2340" w:type="dxa"/>
          </w:tcPr>
          <w:p>
            <w:pPr/>
            <w:r>
              <w:t xml:space="preserve">0.01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Respiratory rate</w:t>
            </w:r>
          </w:p>
        </w:tc>
        <w:tc>
          <w:tcPr>
            <w:tcW w:w="2340" w:type="dxa"/>
          </w:tcPr>
          <w:p>
            <w:pPr/>
            <w:r>
              <w:t xml:space="preserve">2.0 × 10⁻¹⁶</w:t>
            </w:r>
          </w:p>
        </w:tc>
        <w:tc>
          <w:tcPr>
            <w:tcW w:w="2340" w:type="dxa"/>
          </w:tcPr>
          <w:p>
            <w:pPr/>
            <w:r>
              <w:t xml:space="preserve">2.22</w:t>
            </w:r>
          </w:p>
        </w:tc>
        <w:tc>
          <w:tcPr>
            <w:tcW w:w="2340" w:type="dxa"/>
          </w:tcPr>
          <w:p>
            <w:pPr/>
            <w:r>
              <w:t xml:space="preserve">6.69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Systolic BP</w:t>
            </w:r>
          </w:p>
        </w:tc>
        <w:tc>
          <w:tcPr>
            <w:tcW w:w="2340" w:type="dxa"/>
          </w:tcPr>
          <w:p>
            <w:pPr/>
            <w:r>
              <w:t xml:space="preserve">0.051</w:t>
            </w:r>
          </w:p>
        </w:tc>
        <w:tc>
          <w:tcPr>
            <w:tcW w:w="2340" w:type="dxa"/>
          </w:tcPr>
          <w:p>
            <w:pPr/>
            <w:r>
              <w:t xml:space="preserve">0.37</w:t>
            </w:r>
          </w:p>
        </w:tc>
        <w:tc>
          <w:tcPr>
            <w:tcW w:w="2340" w:type="dxa"/>
          </w:tcPr>
          <w:p>
            <w:pPr/>
            <w:r>
              <w:t xml:space="preserve">−0.10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Diastolic BP</w:t>
            </w:r>
          </w:p>
        </w:tc>
        <w:tc>
          <w:tcPr>
            <w:tcW w:w="2340" w:type="dxa"/>
          </w:tcPr>
          <w:p>
            <w:pPr/>
            <w:r>
              <w:t xml:space="preserve">0.061</w:t>
            </w:r>
          </w:p>
        </w:tc>
        <w:tc>
          <w:tcPr>
            <w:tcW w:w="2340" w:type="dxa"/>
          </w:tcPr>
          <w:p>
            <w:pPr/>
            <w:r>
              <w:t xml:space="preserve">0.36</w:t>
            </w:r>
          </w:p>
        </w:tc>
        <w:tc>
          <w:tcPr>
            <w:tcW w:w="2340" w:type="dxa"/>
          </w:tcPr>
          <w:p>
            <w:pPr/>
            <w:r>
              <w:t xml:space="preserve">−0.04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SpO₂</w:t>
            </w:r>
          </w:p>
        </w:tc>
        <w:tc>
          <w:tcPr>
            <w:tcW w:w="2340" w:type="dxa"/>
          </w:tcPr>
          <w:p>
            <w:pPr/>
            <w:r>
              <w:t xml:space="preserve">2.6 × 10⁻¹⁷</w:t>
            </w:r>
          </w:p>
        </w:tc>
        <w:tc>
          <w:tcPr>
            <w:tcW w:w="2340" w:type="dxa"/>
          </w:tcPr>
          <w:p>
            <w:pPr/>
            <w:r>
              <w:t xml:space="preserve">−2.96</w:t>
            </w:r>
          </w:p>
        </w:tc>
        <w:tc>
          <w:tcPr>
            <w:tcW w:w="2340" w:type="dxa"/>
          </w:tcPr>
          <w:p>
            <w:pPr/>
            <w:r>
              <w:t xml:space="preserve">15.34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Temperature</w:t>
            </w:r>
          </w:p>
        </w:tc>
        <w:tc>
          <w:tcPr>
            <w:tcW w:w="2340" w:type="dxa"/>
          </w:tcPr>
          <w:p>
            <w:pPr/>
            <w:r>
              <w:t xml:space="preserve">0.0022</w:t>
            </w:r>
          </w:p>
        </w:tc>
        <w:tc>
          <w:tcPr>
            <w:tcW w:w="2340" w:type="dxa"/>
          </w:tcPr>
          <w:p>
            <w:pPr/>
            <w:r>
              <w:t xml:space="preserve">0.26</w:t>
            </w:r>
          </w:p>
        </w:tc>
        <w:tc>
          <w:tcPr>
            <w:tcW w:w="2340" w:type="dxa"/>
          </w:tcPr>
          <w:p>
            <w:pPr/>
            <w:r>
              <w:t xml:space="preserve">0.39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Pain</w:t>
            </w:r>
          </w:p>
        </w:tc>
        <w:tc>
          <w:tcPr>
            <w:tcW w:w="2340" w:type="dxa"/>
          </w:tcPr>
          <w:p>
            <w:pPr/>
            <w:r>
              <w:t xml:space="preserve">1.2 × 10⁻¹⁴</w:t>
            </w:r>
          </w:p>
        </w:tc>
        <w:tc>
          <w:tcPr>
            <w:tcW w:w="2340" w:type="dxa"/>
          </w:tcPr>
          <w:p>
            <w:pPr/>
            <w:r>
              <w:t xml:space="preserve">0.20</w:t>
            </w:r>
          </w:p>
        </w:tc>
        <w:tc>
          <w:tcPr>
            <w:tcW w:w="2340" w:type="dxa"/>
          </w:tcPr>
          <w:p>
            <w:pPr/>
            <w:r>
              <w:t xml:space="preserve">−1.62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Shock index</w:t>
            </w:r>
          </w:p>
        </w:tc>
        <w:tc>
          <w:tcPr>
            <w:tcW w:w="2340" w:type="dxa"/>
          </w:tcPr>
          <w:p>
            <w:pPr/>
            <w:r>
              <w:t xml:space="preserve">0.00020</w:t>
            </w:r>
          </w:p>
        </w:tc>
        <w:tc>
          <w:tcPr>
            <w:tcW w:w="2340" w:type="dxa"/>
          </w:tcPr>
          <w:p>
            <w:pPr/>
            <w:r>
              <w:t xml:space="preserve">0.63</w:t>
            </w:r>
          </w:p>
        </w:tc>
        <w:tc>
          <w:tcPr>
            <w:tcW w:w="2340" w:type="dxa"/>
          </w:tcPr>
          <w:p>
            <w:pPr/>
            <w:r>
              <w:t xml:space="preserve">0.06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Pulse pressure</w:t>
            </w:r>
          </w:p>
        </w:tc>
        <w:tc>
          <w:tcPr>
            <w:tcW w:w="2340" w:type="dxa"/>
          </w:tcPr>
          <w:p>
            <w:pPr/>
            <w:r>
              <w:t xml:space="preserve">1.3 × 10⁻⁵</w:t>
            </w:r>
          </w:p>
        </w:tc>
        <w:tc>
          <w:tcPr>
            <w:tcW w:w="2340" w:type="dxa"/>
          </w:tcPr>
          <w:p>
            <w:pPr/>
            <w:r>
              <w:t xml:space="preserve">0.71</w:t>
            </w:r>
          </w:p>
        </w:tc>
        <w:tc>
          <w:tcPr>
            <w:tcW w:w="2340" w:type="dxa"/>
          </w:tcPr>
          <w:p>
            <w:pPr/>
            <w:r>
              <w:t xml:space="preserve">0.06</w:t>
            </w:r>
          </w:p>
        </w:tc>
      </w:tr>
    </w:tbl>
    <w:p>
      <w:pPr/>
      <w:r>
        <w:t xml:space="preserve">This is why every t-test is reported next to a rank-based test (Mann–Whitney or Wilcoxon). With n = 189–199 on the MIMIC side, the central limit theorem makes the t-test on means reasonably robust anyway, and the two families agree on every feature except respiratory rate and pain, where the means are close but the shapes are not.</w:t>
      </w:r>
    </w:p>
    <w:p>
      <w:pPr/>
      <w:r>
        <w:rPr>
          <w:b/>
        </w:rPr>
        <w:t xml:space="preserve">Equal variance.</w:t>
      </w:r>
      <w:r>
        <w:t xml:space="preserve"> Levene's test rejects equal variance for 7 of 9 features (p &lt; 0.05); only heart rate (p = 0.87) and shock index (p = 0.54) pass. Welch's t-test is therefore the primary test; Student's t is reported alongside for completeness.</w:t>
      </w:r>
    </w:p>
    <w:p>
      <w:pPr/>
      <w:r>
        <w:rPr>
          <w:b/>
        </w:rPr>
        <w:t xml:space="preserve">Power.</w:t>
      </w:r>
      <w:r>
        <w:t xml:space="preserve"> At α = 0.05 and 80% power with 12,000 vs 207 rows, the smallest detectable standardised difference is </w:t>
      </w:r>
      <w:r>
        <w:rPr>
          <w:b/>
        </w:rPr>
        <w:t xml:space="preserve">Cohen's d = 0.20</w:t>
      </w:r>
      <w:r>
        <w:t xml:space="preserve"> — a "small" effect. Anything larger will be flagged as significant, so effect size, not the p-value, is what says whether a difference matters. Effect sizes here use these conventions: d ≈ 0.2 small, 0.5 medium, 0.8 large; Cliff's δ ≈ 0.15 small, 0.33 medium, 0.47 large.</w:t>
      </w:r>
    </w:p>
    <w:p>
      <w:pPr/>
      <w:r>
        <w:rPr>
          <w:b/>
        </w:rPr>
        <w:t xml:space="preserve">What the small MIMIC sample costs.</w:t>
      </w:r>
      <w:r>
        <w:t xml:space="preserve"> ESI 4 has 2 rows and ESI 5 has none, so no per-class test is possible for them, and the within-ESI analysis uses classes 1–3 only (18, 97 and 90 rows).</w:t>
      </w:r>
    </w:p>
    <w:p>
      <w:pPr>
        <w:pStyle w:val="Heading2"/>
      </w:pPr>
      <w:r>
        <w:t xml:space="preserve">5. Two-sample tests: synthetic vs MIMIC</w:t>
      </w:r>
    </w:p>
    <w:p>
      <w:pPr/>
      <w:r>
        <w:t xml:space="preserve">Six of nine features differ significantly after Holm correction. The largest gaps are pulse pressure (d = −0.71), diastolic BP (d = 0.55) and temperature (d = 0.46).</w:t>
      </w:r>
    </w:p>
    <w:p>
      <w:pPr/>
      <w:r>
        <w:rPr>
          <w:rStyle w:val="CodeChar"/>
          <w:b/>
        </w:rPr>
        <w:t xml:space="preserve">synthetic_original</w:t>
      </w:r>
      <w:r>
        <w:rPr>
          <w:b/>
        </w:rPr>
        <w:t xml:space="preserve"> vs MIMIC demo</w:t>
      </w:r>
    </w:p>
    <w:tbl>
      <w:tblPr>
        <w:tblStyle w:val="TableGrid"/>
        <w:tblW w:w="0" w:type="auto"/>
        <w:tblLayout w:type="autofit"/>
        <w:tblLook w:val="04A0" w:firstRow="1" w:lastRow="0" w:firstColumn="0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Feature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Synthetic mean (SD)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MIMIC mean (SD)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Difference [95% CI]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Welch t (df)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p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Holm p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Cohen's d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Cliff's δ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Mann–Whitney p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rPr>
                <w:sz w:val="14"/>
              </w:rPr>
              <w:t xml:space="preserve">KS</w:t>
            </w:r>
          </w:p>
        </w:tc>
      </w:tr>
      <w:tr>
        <w:tc>
          <w:tcPr>
            <w:tcW w:w="850" w:type="dxa"/>
          </w:tcPr>
          <w:p>
            <w:pPr/>
            <w:r>
              <w:rPr>
                <w:sz w:val="14"/>
              </w:rPr>
              <w:t xml:space="preserve">Heart rate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90.76 (20.31)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91.17 (18.89)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−0.41 [−3.08, 2.26]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−0.30 (205)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0.76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1.00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−0.02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0.03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0.47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0.095</w:t>
            </w:r>
          </w:p>
        </w:tc>
      </w:tr>
      <w:tr>
        <w:tc>
          <w:tcPr>
            <w:tcW w:w="850" w:type="dxa"/>
          </w:tcPr>
          <w:p>
            <w:pPr/>
            <w:r>
              <w:rPr>
                <w:sz w:val="14"/>
              </w:rPr>
              <w:t xml:space="preserve">Respiratory rate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18.58 (4.51)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18.14 (3.01)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0.44 [0.01, 0.87]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2.04 (214)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0.043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0.13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0.10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−0.03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0.59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0.218</w:t>
            </w:r>
          </w:p>
        </w:tc>
      </w:tr>
      <w:tr>
        <w:tc>
          <w:tcPr>
            <w:tcW w:w="850" w:type="dxa"/>
          </w:tcPr>
          <w:p>
            <w:pPr/>
            <w:r>
              <w:rPr>
                <w:sz w:val="14"/>
              </w:rPr>
              <w:t xml:space="preserve">Systolic BP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128.47 (19.55)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136.95 (27.83)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−8.48 [−12.39, −4.58]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−4.28 (201)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2.9 × 10⁻⁵</w:t>
            </w:r>
          </w:p>
        </w:tc>
        <w:tc>
          <w:tcPr>
            <w:tcW w:w="850" w:type="dxa"/>
          </w:tcPr>
          <w:p>
            <w:pPr/>
            <w:r>
              <w:rPr>
                <w:b/>
                <w:sz w:val="14"/>
              </w:rPr>
              <w:t xml:space="preserve">1.4 × 10⁻⁴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−0.43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0.15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1.3 × 10⁻⁴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0.198</w:t>
            </w:r>
          </w:p>
        </w:tc>
      </w:tr>
      <w:tr>
        <w:tc>
          <w:tcPr>
            <w:tcW w:w="850" w:type="dxa"/>
          </w:tcPr>
          <w:p>
            <w:pPr/>
            <w:r>
              <w:rPr>
                <w:sz w:val="14"/>
              </w:rPr>
              <w:t xml:space="preserve">Diastolic BP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79.66 (12.04)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72.99 (15.78)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6.67 [4.45, 8.90]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5.92 (201)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1.4 × 10⁻⁸</w:t>
            </w:r>
          </w:p>
        </w:tc>
        <w:tc>
          <w:tcPr>
            <w:tcW w:w="850" w:type="dxa"/>
          </w:tcPr>
          <w:p>
            <w:pPr/>
            <w:r>
              <w:rPr>
                <w:b/>
                <w:sz w:val="14"/>
              </w:rPr>
              <w:t xml:space="preserve">8.3 × 10⁻⁸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0.55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−0.30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7.1 × 10⁻¹³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0.277</w:t>
            </w:r>
          </w:p>
        </w:tc>
      </w:tr>
      <w:tr>
        <w:tc>
          <w:tcPr>
            <w:tcW w:w="850" w:type="dxa"/>
          </w:tcPr>
          <w:p>
            <w:pPr/>
            <w:r>
              <w:rPr>
                <w:sz w:val="14"/>
              </w:rPr>
              <w:t xml:space="preserve">SpO₂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96.27 (3.36)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97.69 (2.70)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−1.42 [−1.80, −1.04]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−7.31 (208)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5.7 × 10⁻¹²</w:t>
            </w:r>
          </w:p>
        </w:tc>
        <w:tc>
          <w:tcPr>
            <w:tcW w:w="850" w:type="dxa"/>
          </w:tcPr>
          <w:p>
            <w:pPr/>
            <w:r>
              <w:rPr>
                <w:b/>
                <w:sz w:val="14"/>
              </w:rPr>
              <w:t xml:space="preserve">4.0 × 10⁻¹¹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−0.42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0.33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1.9 × 10⁻¹⁴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0.301</w:t>
            </w:r>
          </w:p>
        </w:tc>
      </w:tr>
      <w:tr>
        <w:tc>
          <w:tcPr>
            <w:tcW w:w="850" w:type="dxa"/>
          </w:tcPr>
          <w:p>
            <w:pPr/>
            <w:r>
              <w:rPr>
                <w:sz w:val="14"/>
              </w:rPr>
              <w:t xml:space="preserve">Temperature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37.11 (0.84)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36.72 (0.48)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0.38 [0.31, 0.45]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10.81 (215)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4.8 × 10⁻²²</w:t>
            </w:r>
          </w:p>
        </w:tc>
        <w:tc>
          <w:tcPr>
            <w:tcW w:w="850" w:type="dxa"/>
          </w:tcPr>
          <w:p>
            <w:pPr/>
            <w:r>
              <w:rPr>
                <w:b/>
                <w:sz w:val="14"/>
              </w:rPr>
              <w:t xml:space="preserve">4.3 × 10⁻²¹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0.46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−0.31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2.6 × 10⁻¹⁴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0.360</w:t>
            </w:r>
          </w:p>
        </w:tc>
      </w:tr>
      <w:tr>
        <w:tc>
          <w:tcPr>
            <w:tcW w:w="850" w:type="dxa"/>
          </w:tcPr>
          <w:p>
            <w:pPr/>
            <w:r>
              <w:rPr>
                <w:sz w:val="14"/>
              </w:rPr>
              <w:t xml:space="preserve">Pain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4.22 (2.61)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4.10 (4.01)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0.12 [−0.46, 0.70]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0.41 (191)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0.69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1.00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0.05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−0.05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0.18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0.342</w:t>
            </w:r>
          </w:p>
        </w:tc>
      </w:tr>
      <w:tr>
        <w:tc>
          <w:tcPr>
            <w:tcW w:w="850" w:type="dxa"/>
          </w:tcPr>
          <w:p>
            <w:pPr/>
            <w:r>
              <w:rPr>
                <w:sz w:val="14"/>
              </w:rPr>
              <w:t xml:space="preserve">Shock index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0.73 (0.26)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0.70 (0.22)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0.03 [0.00, 0.06]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2.19 (207)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0.030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0.12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0.13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−0.06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0.12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0.114</w:t>
            </w:r>
          </w:p>
        </w:tc>
      </w:tr>
      <w:tr>
        <w:tc>
          <w:tcPr>
            <w:tcW w:w="850" w:type="dxa"/>
          </w:tcPr>
          <w:p>
            <w:pPr/>
            <w:r>
              <w:rPr>
                <w:sz w:val="14"/>
              </w:rPr>
              <w:t xml:space="preserve">Pulse pressure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48.75 (21.54)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64.09 (24.69)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−15.34 [−18.83, −11.86]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−8.69 (202)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1.3 × 10⁻¹⁵</w:t>
            </w:r>
          </w:p>
        </w:tc>
        <w:tc>
          <w:tcPr>
            <w:tcW w:w="850" w:type="dxa"/>
          </w:tcPr>
          <w:p>
            <w:pPr/>
            <w:r>
              <w:rPr>
                <w:b/>
                <w:sz w:val="14"/>
              </w:rPr>
              <w:t xml:space="preserve">1.0 × 10⁻¹⁴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−0.71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0.32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2.5 × 10⁻¹⁵</w:t>
            </w:r>
          </w:p>
        </w:tc>
        <w:tc>
          <w:tcPr>
            <w:tcW w:w="850" w:type="dxa"/>
          </w:tcPr>
          <w:p>
            <w:pPr/>
            <w:r>
              <w:rPr>
                <w:sz w:val="14"/>
              </w:rPr>
              <w:t xml:space="preserve">0.228</w:t>
            </w:r>
          </w:p>
        </w:tc>
      </w:tr>
    </w:tbl>
    <w:p>
      <w:pPr/>
      <w:r>
        <w:rPr>
          <w:rStyle w:val="CodeChar"/>
          <w:b/>
        </w:rPr>
        <w:t xml:space="preserve">synthetic_mimic_calibrated</w:t>
      </w:r>
      <w:r>
        <w:rPr>
          <w:b/>
        </w:rPr>
        <w:t xml:space="preserve"> vs MIMIC demo</w:t>
      </w:r>
    </w:p>
    <w:tbl>
      <w:tblPr>
        <w:tblStyle w:val="TableGrid"/>
        <w:tblW w:w="0" w:type="auto"/>
        <w:tblLayout w:type="autofi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Feature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Difference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Welch 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Holm 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Cohen's 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KS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Heart rate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1.80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1.33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0.19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0.56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0.09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0.082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Respiratory rate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0.59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2.71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0.0074</w:t>
            </w:r>
          </w:p>
        </w:tc>
        <w:tc>
          <w:tcPr>
            <w:tcW w:w="1337" w:type="dxa"/>
          </w:tcPr>
          <w:p>
            <w:pPr/>
            <w:r>
              <w:rPr>
                <w:b/>
                <w:sz w:val="15"/>
              </w:rPr>
              <w:t xml:space="preserve">0.044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0.15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0.282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Systolic BP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−2.11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−1.06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0.29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0.58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−0.08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0.050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Diastolic BP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5.21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4.47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1.2 × 10⁻⁵</w:t>
            </w:r>
          </w:p>
        </w:tc>
        <w:tc>
          <w:tcPr>
            <w:tcW w:w="1337" w:type="dxa"/>
          </w:tcPr>
          <w:p>
            <w:pPr/>
            <w:r>
              <w:rPr>
                <w:b/>
                <w:sz w:val="15"/>
              </w:rPr>
              <w:t xml:space="preserve">1.1 × 10⁻⁴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0.16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0.129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SpO₂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−0.83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−4.28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2.8 × 10⁻⁵</w:t>
            </w:r>
          </w:p>
        </w:tc>
        <w:tc>
          <w:tcPr>
            <w:tcW w:w="1337" w:type="dxa"/>
          </w:tcPr>
          <w:p>
            <w:pPr/>
            <w:r>
              <w:rPr>
                <w:b/>
                <w:sz w:val="15"/>
              </w:rPr>
              <w:t xml:space="preserve">2.3 × 10⁻⁴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−0.26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0.208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Temperature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−0.03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−0.75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0.45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0.58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−0.01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0.251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Pain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0.44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1.50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0.54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0.286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Shock index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2.25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0.025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0.13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0.12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0.054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Pulse pressure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−7.50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−4.17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4.5 × 10⁻⁵</w:t>
            </w:r>
          </w:p>
        </w:tc>
        <w:tc>
          <w:tcPr>
            <w:tcW w:w="1337" w:type="dxa"/>
          </w:tcPr>
          <w:p>
            <w:pPr/>
            <w:r>
              <w:rPr>
                <w:b/>
                <w:sz w:val="15"/>
              </w:rPr>
              <w:t xml:space="preserve">3.1 × 10⁻⁴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−0.18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0.207</w:t>
            </w:r>
          </w:p>
        </w:tc>
      </w:tr>
    </w:tbl>
    <w:p>
      <w:pPr/>
      <w:r>
        <w:t xml:space="preserve">Significant differences fall from 6 features to 4, and every effect size except SpO₂ drops below 0.2.</w:t>
      </w:r>
    </w:p>
    <w:p>
      <w:pPr/>
      <w:r>
        <w:drawing>
          <wp:inline distT="0" distB="0" distL="0" distR="0">
            <wp:extent cx="5486400" cy="3020785"/>
            <wp:docPr id="1" name="image1" descr="statistical_tests.json · 9 features × 2 synthetic datase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atistical_tests.json · 9 features × 2 synthetic datase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statistical_tests.json · 9 features × 2 synthetic datasets</w:t>
      </w:r>
    </w:p>
    <w:p>
      <w:pPr/>
      <w:r>
        <w:t xml:space="preserve">Two features deserve a note. </w:t>
      </w:r>
      <w:r>
        <w:rPr>
          <w:b/>
        </w:rPr>
        <w:t xml:space="preserve">Temperature</w:t>
      </w:r>
      <w:r>
        <w:t xml:space="preserve"> has the largest KS distance in the original data (0.360) but the smallest effect size after calibration (d = −0.01), because MIMIC's temperatures are recorded in whole and half degrees Fahrenheit, giving a comb-shaped distribution that no continuous generator can match. </w:t>
      </w:r>
      <w:r>
        <w:rPr>
          <w:b/>
        </w:rPr>
        <w:t xml:space="preserve">Pain</w:t>
      </w:r>
      <w:r>
        <w:t xml:space="preserve"> shows the opposite pattern: means agree (4.22 vs 4.10, p = 0.69) while shapes do not (KS = 0.342), because real pain scores pile up at 0 and 10.</w:t>
      </w:r>
    </w:p>
    <w:p>
      <w:pPr>
        <w:pStyle w:val="Heading2"/>
      </w:pPr>
      <w:r>
        <w:t xml:space="preserve">6. Paired tests</w:t>
      </w:r>
    </w:p>
    <w:p>
      <w:pPr>
        <w:pStyle w:val="Heading3"/>
      </w:pPr>
      <w:r>
        <w:t xml:space="preserve">6.1 Quantile-matched pairs (form a)</w:t>
      </w:r>
    </w:p>
    <w:p>
      <w:pPr/>
      <w:r>
        <w:t xml:space="preserve">Each MIMIC value is paired with the synthetic value at the same quantile, giving 189–199 pairs per feature. The mean differences match the unpaired results almost exactly; what changes is precision — the confidence intervals are 3–4 times narrower, so weak differences now reach significance too.</w:t>
      </w:r>
    </w:p>
    <w:tbl>
      <w:tblPr>
        <w:tblStyle w:val="TableGrid"/>
        <w:tblW w:w="0" w:type="auto"/>
        <w:tblLayout w:type="autofit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Feature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Pairs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Mean difference [95% CI]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Paired t (df)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p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Holm p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d₂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Wilcoxon p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Heart rate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198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−0.43 [−0.83, −0.04]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−2.16 (197)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0.032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0.063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−0.15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1.0 × 10⁻¹⁰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Respiratory rate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199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0.44 [0.19, 0.68]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3.50 (198)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5.7 × 10⁻⁴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0.0017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0.25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0.0021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Systolic BP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199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−8.50 [−9.81, −7.19]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−12.75 (198)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1.4 × 10⁻²⁷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6.9 × 10⁻²⁷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−0.90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1.9 × 10⁻²⁴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Diastolic BP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198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6.68 [6.03, 7.32]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20.40 (197)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1.8 × 10⁻⁵⁰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1.3 × 10⁻⁴⁹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1.45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3.2 × 10⁻²⁹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SpO₂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198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−1.41 [−1.54, −1.29]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−22.01 (197)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5.6 × 10⁻⁵⁵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4.5 × 10⁻⁵⁴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−1.56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2.7 × 10⁻³²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Temperature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195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0.38 [0.33, 0.43]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14.81 (194)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1.1 × 10⁻³³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6.4 × 10⁻³³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1.06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2.4 × 10⁻²⁷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Pain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189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0.13 [−0.15, 0.40]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0.92 (188)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0.36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0.36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0.07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0.23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Shock index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198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0.03 [0.02, 0.05]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4.57 (197)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8.7 × 10⁻⁶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3.5 × 10⁻⁵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0.33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1.0 × 10⁻¹⁵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Pulse pressure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198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−15.35 [−16.18, −14.53]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−36.76 (197)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3.8 × 10⁻⁹⁰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3.4 × 10⁻⁸⁹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−2.61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3.0 × 10⁻³⁴</w:t>
            </w:r>
          </w:p>
        </w:tc>
      </w:tr>
    </w:tbl>
    <w:p>
      <w:pPr/>
      <w:r>
        <w:t xml:space="preserve">On the calibrated data the same test still rejects for 8 of 9 features, but the paired effect sizes shrink sharply: pulse pressure d₂ −2.61 → −0.37, diastolic BP 1.45 → 0.29, temperature 1.06 → −0.02. Only SpO₂ stays large (−1.21).</w:t>
      </w:r>
    </w:p>
    <w:p>
      <w:pPr/>
      <w:r>
        <w:t xml:space="preserve">The contrast between the two tables is the point: at the level of </w:t>
      </w:r>
      <w:r>
        <w:rPr>
          <w:i/>
        </w:rPr>
        <w:t xml:space="preserve">means</w:t>
      </w:r>
      <w:r>
        <w:t xml:space="preserve"> the calibrated data is close to MIMIC, while at the level of </w:t>
      </w:r>
      <w:r>
        <w:rPr>
          <w:i/>
        </w:rPr>
        <w:t xml:space="preserve">whole distributions</w:t>
      </w:r>
      <w:r>
        <w:t xml:space="preserve"> small systematic gaps remain and this very sensitive test still finds them.</w:t>
      </w:r>
    </w:p>
    <w:p>
      <w:pPr>
        <w:pStyle w:val="Heading3"/>
      </w:pPr>
      <w:r>
        <w:t xml:space="preserve">6.2 Within-ESI pairs (form b)</w:t>
      </w:r>
    </w:p>
    <w:p>
      <w:pPr/>
      <w:r>
        <w:t xml:space="preserve">Here each pair is one ESI class × one feature (3 classes × 9 features = 27 pairs), which holds acuity constant.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Mean paired difference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 (df = 26)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Wilcoxon 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Original vs MIMIC</w:t>
            </w:r>
          </w:p>
        </w:tc>
        <w:tc>
          <w:tcPr>
            <w:tcW w:w="1872" w:type="dxa"/>
          </w:tcPr>
          <w:p>
            <w:pPr/>
            <w:r>
              <w:t xml:space="preserve">−0.38</w:t>
            </w:r>
          </w:p>
        </w:tc>
        <w:tc>
          <w:tcPr>
            <w:tcW w:w="1872" w:type="dxa"/>
          </w:tcPr>
          <w:p>
            <w:pPr/>
            <w:r>
              <w:t xml:space="preserve">−0.31</w:t>
            </w:r>
          </w:p>
        </w:tc>
        <w:tc>
          <w:tcPr>
            <w:tcW w:w="1872" w:type="dxa"/>
          </w:tcPr>
          <w:p>
            <w:pPr/>
            <w:r>
              <w:t xml:space="preserve">0.76</w:t>
            </w:r>
          </w:p>
        </w:tc>
        <w:tc>
          <w:tcPr>
            <w:tcW w:w="1872" w:type="dxa"/>
          </w:tcPr>
          <w:p>
            <w:pPr/>
            <w:r>
              <w:t xml:space="preserve">0.79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Calibrated vs MIMIC</w:t>
            </w:r>
          </w:p>
        </w:tc>
        <w:tc>
          <w:tcPr>
            <w:tcW w:w="1872" w:type="dxa"/>
          </w:tcPr>
          <w:p>
            <w:pPr/>
            <w:r>
              <w:t xml:space="preserve">−0.53</w:t>
            </w:r>
          </w:p>
        </w:tc>
        <w:tc>
          <w:tcPr>
            <w:tcW w:w="1872" w:type="dxa"/>
          </w:tcPr>
          <w:p>
            <w:pPr/>
            <w:r>
              <w:t xml:space="preserve">−0.60</w:t>
            </w:r>
          </w:p>
        </w:tc>
        <w:tc>
          <w:tcPr>
            <w:tcW w:w="1872" w:type="dxa"/>
          </w:tcPr>
          <w:p>
            <w:pPr/>
            <w:r>
              <w:t xml:space="preserve">0.55</w:t>
            </w:r>
          </w:p>
        </w:tc>
        <w:tc>
          <w:tcPr>
            <w:tcW w:w="1872" w:type="dxa"/>
          </w:tcPr>
          <w:p>
            <w:pPr/>
            <w:r>
              <w:t xml:space="preserve">0.77</w:t>
            </w:r>
          </w:p>
        </w:tc>
      </w:tr>
    </w:tbl>
    <w:p>
      <w:pPr/>
      <w:r>
        <w:t xml:space="preserve">Neither is significant, but that is a weak result rather than evidence of similarity: the differences are in raw units and cancel out (temperature off by +0.4, pulse pressure off by −15). Standardising each difference by the MIMIC subgroup's SD is more informative.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ESI class (MIMIC n)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Mean standardised difference, original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Mean standardised difference, calibrated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 (18)</w:t>
            </w:r>
          </w:p>
        </w:tc>
        <w:tc>
          <w:tcPr>
            <w:tcW w:w="1872" w:type="dxa"/>
          </w:tcPr>
          <w:p>
            <w:pPr/>
            <w:r>
              <w:t xml:space="preserve">0.35</w:t>
            </w:r>
          </w:p>
        </w:tc>
        <w:tc>
          <w:tcPr>
            <w:tcW w:w="1872" w:type="dxa"/>
          </w:tcPr>
          <w:p>
            <w:pPr/>
            <w:r>
              <w:t xml:space="preserve">1.55</w:t>
            </w:r>
          </w:p>
        </w:tc>
        <w:tc>
          <w:tcPr>
            <w:tcW w:w="1872" w:type="dxa"/>
          </w:tcPr>
          <w:p>
            <w:pPr/>
            <w:r>
              <w:t xml:space="preserve">0.16</w:t>
            </w:r>
          </w:p>
        </w:tc>
        <w:tc>
          <w:tcPr>
            <w:tcW w:w="1872" w:type="dxa"/>
          </w:tcPr>
          <w:p>
            <w:pPr/>
            <w:r>
              <w:t xml:space="preserve">0.16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 (97)</w:t>
            </w:r>
          </w:p>
        </w:tc>
        <w:tc>
          <w:tcPr>
            <w:tcW w:w="1872" w:type="dxa"/>
          </w:tcPr>
          <w:p>
            <w:pPr/>
            <w:r>
              <w:t xml:space="preserve">0.22</w:t>
            </w:r>
          </w:p>
        </w:tc>
        <w:tc>
          <w:tcPr>
            <w:tcW w:w="1872" w:type="dxa"/>
          </w:tcPr>
          <w:p>
            <w:pPr/>
            <w:r>
              <w:t xml:space="preserve">0.94</w:t>
            </w:r>
          </w:p>
        </w:tc>
        <w:tc>
          <w:tcPr>
            <w:tcW w:w="1872" w:type="dxa"/>
          </w:tcPr>
          <w:p>
            <w:pPr/>
            <w:r>
              <w:t xml:space="preserve">0.37</w:t>
            </w:r>
          </w:p>
        </w:tc>
        <w:tc>
          <w:tcPr>
            <w:tcW w:w="1872" w:type="dxa"/>
          </w:tcPr>
          <w:p>
            <w:pPr/>
            <w:r>
              <w:t xml:space="preserve">0.04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 (90)</w:t>
            </w:r>
          </w:p>
        </w:tc>
        <w:tc>
          <w:tcPr>
            <w:tcW w:w="1872" w:type="dxa"/>
          </w:tcPr>
          <w:p>
            <w:pPr/>
            <w:r>
              <w:t xml:space="preserve">0.00</w:t>
            </w:r>
          </w:p>
        </w:tc>
        <w:tc>
          <w:tcPr>
            <w:tcW w:w="1872" w:type="dxa"/>
          </w:tcPr>
          <w:p>
            <w:pPr/>
            <w:r>
              <w:t xml:space="preserve">−0.01</w:t>
            </w:r>
          </w:p>
        </w:tc>
        <w:tc>
          <w:tcPr>
            <w:tcW w:w="1872" w:type="dxa"/>
          </w:tcPr>
          <w:p>
            <w:pPr/>
            <w:r>
              <w:t xml:space="preserve">0.99</w:t>
            </w:r>
          </w:p>
        </w:tc>
        <w:tc>
          <w:tcPr>
            <w:tcW w:w="1872" w:type="dxa"/>
          </w:tcPr>
          <w:p>
            <w:pPr/>
            <w:r>
              <w:t xml:space="preserve">−0.04</w:t>
            </w:r>
          </w:p>
        </w:tc>
      </w:tr>
    </w:tbl>
    <w:p>
      <w:pPr/>
      <w:r>
        <w:t xml:space="preserve">Once acuity is held constant, the synthetic vitals sit within about a third of a standard deviation of the real ones, and calibration halves what remains. The gap is largest at ESI 1, the class with 18 real patients — the acuity level the model most needs to get right, and the one with the least real data to check against.</w:t>
      </w:r>
    </w:p>
    <w:p>
      <w:pPr>
        <w:pStyle w:val="Heading2"/>
      </w:pPr>
      <w:r>
        <w:t xml:space="preserve">7. Did calibration help? (form c)</w:t>
      </w:r>
    </w:p>
    <w:p>
      <w:pPr/>
      <w:r>
        <w:t xml:space="preserve">This is the one genuinely paired design: each of the 9 features contributes its distance to MIMIC before calibration and after, and the test asks whether the after-values are smaller.</w:t>
      </w:r>
    </w:p>
    <w:tbl>
      <w:tblPr>
        <w:tblStyle w:val="TableGrid"/>
        <w:tblW w:w="0" w:type="auto"/>
        <w:tblLayout w:type="autofit"/>
        <w:tblLook w:val="04A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Distance measure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Mean before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Mean after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Change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Paired t (df = 8)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p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d₂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Wilcoxon p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Features improved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rPr>
                <w:sz w:val="14"/>
              </w:rPr>
              <w:t xml:space="preserve">Sign test p</w:t>
            </w:r>
          </w:p>
        </w:tc>
      </w:tr>
      <w:tr>
        <w:tc>
          <w:tcPr>
            <w:tcW w:w="936" w:type="dxa"/>
          </w:tcPr>
          <w:p>
            <w:pPr/>
            <w:r>
              <w:rPr>
                <w:sz w:val="14"/>
              </w:rPr>
              <w:t xml:space="preserve">KS statistic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0.237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0.172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−0.065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−2.84</w:t>
            </w:r>
          </w:p>
        </w:tc>
        <w:tc>
          <w:tcPr>
            <w:tcW w:w="936" w:type="dxa"/>
          </w:tcPr>
          <w:p>
            <w:pPr/>
            <w:r>
              <w:rPr>
                <w:b/>
                <w:sz w:val="14"/>
              </w:rPr>
              <w:t xml:space="preserve">0.022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−0.95</w:t>
            </w:r>
          </w:p>
        </w:tc>
        <w:tc>
          <w:tcPr>
            <w:tcW w:w="936" w:type="dxa"/>
          </w:tcPr>
          <w:p>
            <w:pPr/>
            <w:r>
              <w:rPr>
                <w:b/>
                <w:sz w:val="14"/>
              </w:rPr>
              <w:t xml:space="preserve">0.039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8 / 9</w:t>
            </w:r>
          </w:p>
        </w:tc>
        <w:tc>
          <w:tcPr>
            <w:tcW w:w="936" w:type="dxa"/>
          </w:tcPr>
          <w:p>
            <w:pPr/>
            <w:r>
              <w:rPr>
                <w:b/>
                <w:sz w:val="14"/>
              </w:rPr>
              <w:t xml:space="preserve">0.039</w:t>
            </w:r>
          </w:p>
        </w:tc>
      </w:tr>
      <w:tr>
        <w:tc>
          <w:tcPr>
            <w:tcW w:w="936" w:type="dxa"/>
          </w:tcPr>
          <w:p>
            <w:pPr/>
            <w:r>
              <w:rPr>
                <w:sz w:val="14"/>
              </w:rPr>
              <w:t xml:space="preserve">|Cohen's d|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0.319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0.132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−0.187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−2.26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0.054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−0.75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0.13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6 / 9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0.51</w:t>
            </w:r>
          </w:p>
        </w:tc>
      </w:tr>
      <w:tr>
        <w:tc>
          <w:tcPr>
            <w:tcW w:w="936" w:type="dxa"/>
          </w:tcPr>
          <w:p>
            <w:pPr/>
            <w:r>
              <w:rPr>
                <w:sz w:val="14"/>
              </w:rPr>
              <w:t xml:space="preserve">Absolute mean difference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3.70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2.06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−1.64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−1.53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0.16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−0.51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0.25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5 / 9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1.00</w:t>
            </w:r>
          </w:p>
        </w:tc>
      </w:tr>
      <w:tr>
        <w:tc>
          <w:tcPr>
            <w:tcW w:w="936" w:type="dxa"/>
          </w:tcPr>
          <w:p>
            <w:pPr/>
            <w:r>
              <w:rPr>
                <w:sz w:val="14"/>
              </w:rPr>
              <w:t xml:space="preserve">Wasserstein distance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4.28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3.93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−0.35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−0.37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0.72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−0.12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0.57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6 / 9</w:t>
            </w:r>
          </w:p>
        </w:tc>
        <w:tc>
          <w:tcPr>
            <w:tcW w:w="936" w:type="dxa"/>
          </w:tcPr>
          <w:p>
            <w:pPr/>
            <w:r>
              <w:rPr>
                <w:sz w:val="14"/>
              </w:rPr>
              <w:t xml:space="preserve">0.51</w:t>
            </w:r>
          </w:p>
        </w:tc>
      </w:tr>
    </w:tbl>
    <w:p>
      <w:pPr/>
      <w:r>
        <w:t xml:space="preserve">Only the KS statistic — the measure of overall distribution shape — improves significantly, and it does so on all three tests (parametric, rank-based and sign), which is as consistent as 9 pairs can be. The effect size is large (d₂ = −0.95).</w:t>
      </w:r>
    </w:p>
    <w:p>
      <w:pPr/>
      <w:r>
        <w:t xml:space="preserve">The measures that are sensitive to a few extreme values (mean difference, Wasserstein) show a big average improvement but fail the test, because the improvement is uneven: heart rate and temperature moved </w:t>
      </w:r>
      <w:r>
        <w:rPr>
          <w:i/>
        </w:rPr>
        <w:t xml:space="preserve">away</w:t>
      </w:r>
      <w:r>
        <w:t xml:space="preserve"> on Wasserstein while systolic BP moved a long way toward MIMIC. With 9 pairs, that spread swamps the mean.</w:t>
      </w:r>
    </w:p>
    <w:p>
      <w:pPr/>
      <w:r>
        <w:rPr>
          <w:b/>
        </w:rPr>
        <w:t xml:space="preserve">Reading this honestly:</w:t>
      </w:r>
      <w:r>
        <w:t xml:space="preserve"> calibration reliably improved distribution shape, showed a large but not statistically confirmed improvement in standardised location (|d| 0.32 → 0.13, p = 0.054), and did not measurably improve outlier-sensitive distance. Nine features is a small sample for a paired test, so p = 0.054 should be read as "underpowered", not "no effect".</w:t>
      </w:r>
    </w:p>
    <w:p>
      <w:pPr>
        <w:pStyle w:val="Heading2"/>
      </w:pPr>
      <w:r>
        <w:t xml:space="preserve">8. Categorical variables</w:t>
      </w:r>
    </w:p>
    <w:p>
      <w:pPr/>
      <w:r>
        <w:t xml:space="preserve">Each test is a chi-square goodness-of-fit: the MIMIC counts are the observations, and the synthetic proportions supply the expected counts.</w:t>
      </w:r>
    </w:p>
    <w:tbl>
      <w:tblPr>
        <w:tblStyle w:val="TableGrid"/>
        <w:tblW w:w="0" w:type="auto"/>
        <w:tblLayout w:type="autofit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Variable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Dataset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χ²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df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p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Cramér's V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TVD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JS distance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Sex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Original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1.60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0.21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0.088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0.044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0.037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Sex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Calibrated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0.84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0.014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0.007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0.006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Arrival transport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Original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240.0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7.8 × 10⁻⁵⁰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0.482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0.444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0.510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Arrival transport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Calibrated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95.8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4.0 × 10⁻¹⁹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0.304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0.299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0.435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ESI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Original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168.9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1.8 × 10⁻³⁵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0.452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0.339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0.451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ESI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Calibrated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8.60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0.073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0.102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0.047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0.120</w:t>
            </w:r>
          </w:p>
        </w:tc>
      </w:tr>
    </w:tbl>
    <w:p>
      <w:pPr/>
      <w:r>
        <w:rPr>
          <w:b/>
        </w:rPr>
        <w:t xml:space="preserve">ESI is the headline.</w:t>
      </w:r>
      <w:r>
        <w:t xml:space="preserve"> The original generator's acuity mix is incompatible with MIMIC's (p = 1.8 × 10⁻³⁵, V = 0.45, a large effect). After calibration the same test no longer rejects (p = 0.073) and the effect size is small — this is the clearest success in the whole comparison.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ESI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MIMIC observed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Expected from original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Expected from calibrated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15.5</w:t>
            </w:r>
          </w:p>
        </w:tc>
        <w:tc>
          <w:tcPr>
            <w:tcW w:w="2340" w:type="dxa"/>
          </w:tcPr>
          <w:p>
            <w:pPr/>
            <w:r>
              <w:t xml:space="preserve">17.6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97</w:t>
            </w:r>
          </w:p>
        </w:tc>
        <w:tc>
          <w:tcPr>
            <w:tcW w:w="2340" w:type="dxa"/>
          </w:tcPr>
          <w:p>
            <w:pPr/>
            <w:r>
              <w:t xml:space="preserve">36.6</w:t>
            </w:r>
          </w:p>
        </w:tc>
        <w:tc>
          <w:tcPr>
            <w:tcW w:w="2340" w:type="dxa"/>
          </w:tcPr>
          <w:p>
            <w:pPr/>
            <w:r>
              <w:t xml:space="preserve">94.2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90</w:t>
            </w:r>
          </w:p>
        </w:tc>
        <w:tc>
          <w:tcPr>
            <w:tcW w:w="2340" w:type="dxa"/>
          </w:tcPr>
          <w:p>
            <w:pPr/>
            <w:r>
              <w:t xml:space="preserve">82.7</w:t>
            </w:r>
          </w:p>
        </w:tc>
        <w:tc>
          <w:tcPr>
            <w:tcW w:w="2340" w:type="dxa"/>
          </w:tcPr>
          <w:p>
            <w:pPr/>
            <w:r>
              <w:t xml:space="preserve">85.5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30.7</w:t>
            </w:r>
          </w:p>
        </w:tc>
        <w:tc>
          <w:tcPr>
            <w:tcW w:w="2340" w:type="dxa"/>
          </w:tcPr>
          <w:p>
            <w:pPr/>
            <w:r>
              <w:t xml:space="preserve">10.1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41.5</w:t>
            </w:r>
          </w:p>
        </w:tc>
        <w:tc>
          <w:tcPr>
            <w:tcW w:w="2340" w:type="dxa"/>
          </w:tcPr>
          <w:p>
            <w:pPr/>
            <w:r>
              <w:t xml:space="preserve">1.4</w:t>
            </w:r>
          </w:p>
        </w:tc>
      </w:tr>
    </w:tbl>
    <w:p>
      <w:pPr/>
      <w:r>
        <w:t xml:space="preserve">The residual χ² after calibration comes almost entirely from ESI 4 (2 observed vs 10.1 expected), which is the deliberate 1% floor the calibration applies so that no class disappears.</w:t>
      </w:r>
    </w:p>
    <w:p>
      <w:pPr/>
      <w:r>
        <w:rPr>
          <w:b/>
        </w:rPr>
        <w:t xml:space="preserve">Arrival transport stays significantly different</w:t>
      </w:r>
      <w:r>
        <w:t xml:space="preserve"> even after calibration, and this is expected: it was never a calibration target. MIMIC is ambulance-heavy (119 of 207, 57%) where the synthetic generator is walk-in heavy (105.8 expected, 51%), and MIMIC uses </w:t>
      </w:r>
      <w:r>
        <w:rPr>
          <w:rStyle w:val="CodeChar"/>
        </w:rPr>
        <w:t xml:space="preserve">unknown</w:t>
      </w:r>
      <w:r>
        <w:t xml:space="preserve"> (12 rows) and </w:t>
      </w:r>
      <w:r>
        <w:rPr>
          <w:rStyle w:val="CodeChar"/>
        </w:rPr>
        <w:t xml:space="preserve">other</w:t>
      </w:r>
      <w:r>
        <w:t xml:space="preserve"> (1) where the generator uses </w:t>
      </w:r>
      <w:r>
        <w:rPr>
          <w:rStyle w:val="CodeChar"/>
        </w:rPr>
        <w:t xml:space="preserve">public</w:t>
      </w:r>
      <w:r>
        <w:t xml:space="preserve"> and </w:t>
      </w:r>
      <w:r>
        <w:rPr>
          <w:rStyle w:val="CodeChar"/>
        </w:rPr>
        <w:t xml:space="preserve">private</w:t>
      </w:r>
      <w:r>
        <w:t xml:space="preserve">. Those two categories carry no synthetic probability at all and were excluded from the chi-square, so the reported statistic understates the gap.</w:t>
      </w:r>
    </w:p>
    <w:p>
      <w:pPr/>
      <w:r>
        <w:rPr>
          <w:b/>
        </w:rPr>
        <w:t xml:space="preserve">Sex already matched</w:t>
      </w:r>
      <w:r>
        <w:t xml:space="preserve"> before calibration and matches almost perfectly after (V = 0.014).</w:t>
      </w:r>
    </w:p>
    <w:p>
      <w:pPr>
        <w:pStyle w:val="Heading2"/>
      </w:pPr>
      <w:r>
        <w:t xml:space="preserve">9. Correlation structure</w:t>
      </w:r>
    </w:p>
    <w:p>
      <w:pPr/>
      <w:r>
        <w:t xml:space="preserve">Fisher's z-test compares each correlation between datasets. Vital–vital pairs use Pearson; anything involving ESI uses Spearman, because ESI is ordinal.</w:t>
      </w:r>
    </w:p>
    <w:tbl>
      <w:tblPr>
        <w:tblStyle w:val="TableGrid"/>
        <w:tblW w:w="0" w:type="auto"/>
        <w:tblLayout w:type="autofit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Pair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r synthetic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r calibrated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r MIMIC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z (original vs MIMIC)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p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Holm p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sz w:val="15"/>
              </w:rPr>
              <w:t xml:space="preserve">p (calibrated vs MIMIC)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Pain ↔ ESI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−0.498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−0.082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+0.203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−10.17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2.8 × 10⁻²⁴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2.2 × 10⁻²³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9.6 × 10⁻⁵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Systolic ↔ diastolic BP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0.131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0.025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0.472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−5.27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1.4 × 10⁻⁷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9.8 × 10⁻⁷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1.5 × 10⁻¹¹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Heart rate ↔ ESI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−0.491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−0.250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−0.167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−5.11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3.2 × 10⁻⁷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1.9 × 10⁻⁶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0.23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Respiratory rate ↔ ESI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−0.489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−0.241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−0.183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−4.86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1.2 × 10⁻⁶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6.0 × 10⁻⁶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0.40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SpO₂ ↔ ESI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0.475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0.289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0.193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4.45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8.5 × 10⁻⁶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3.4 × 10⁻⁵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0.16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SpO₂ ↔ respiratory rate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−0.425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−0.317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−0.169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−3.92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8.7 × 10⁻⁵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2.6 × 10⁻⁴</w:t>
            </w:r>
          </w:p>
        </w:tc>
        <w:tc>
          <w:tcPr>
            <w:tcW w:w="1170" w:type="dxa"/>
          </w:tcPr>
          <w:p>
            <w:pPr/>
            <w:r>
              <w:rPr>
                <w:b/>
                <w:sz w:val="15"/>
              </w:rPr>
              <w:t xml:space="preserve">0.029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Heart rate ↔ respiratory rate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0.373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0.219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0.234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2.13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0.033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0.066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0.83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sz w:val="15"/>
              </w:rPr>
              <w:t xml:space="preserve">Heart rate ↔ systolic BP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−0.098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−0.131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−0.108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0.14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0.89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0.89</w:t>
            </w:r>
          </w:p>
        </w:tc>
        <w:tc>
          <w:tcPr>
            <w:tcW w:w="1170" w:type="dxa"/>
          </w:tcPr>
          <w:p>
            <w:pPr/>
            <w:r>
              <w:rPr>
                <w:sz w:val="15"/>
              </w:rPr>
              <w:t xml:space="preserve">0.75</w:t>
            </w:r>
          </w:p>
        </w:tc>
      </w:tr>
    </w:tbl>
    <w:p>
      <w:pPr/>
      <w:r>
        <w:t xml:space="preserve">Paired across the 8 pairs, the average gap to MIMIC falls from </w:t>
      </w:r>
      <w:r>
        <w:rPr>
          <w:b/>
        </w:rPr>
        <w:t xml:space="preserve">0.295 to 0.144</w:t>
      </w:r>
      <w:r>
        <w:t xml:space="preserve"> after calibration (paired t = −2.62, df = 7, p = 0.034; Wilcoxon p = 0.039).</w:t>
      </w:r>
    </w:p>
    <w:p>
      <w:pPr/>
      <w:r>
        <w:t xml:space="preserve">Three findings matter for the model.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Pain points the wrong way.</w:t>
      </w:r>
      <w:r>
        <w:t xml:space="preserve"> In the synthetic data, higher pain goes with a lower ESI number, i.e. more acute (r = −0.50). In MIMIC the relationship is reversed (r = +0.20): real patients with the highest pain scores are often ESI 3–4, while ESI 1 patients are frequently unresponsive and score 0. A model trained on the synthetic sign will systematically misread pain on real data. Calibration weakens the synthetic correlation (−0.50 → −0.08) but does not flip it, and the gap stays significant.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Vitals are too predictive of acuity in the synthetic data.</w:t>
      </w:r>
      <w:r>
        <w:t xml:space="preserve"> Heart rate, respiratory rate and SpO₂ all correlate with ESI 2–3 times more strongly than in MIMIC, because the generator builds ESI from a vitals scorecard. Real triage nurses use judgement, history and appearance, so real correlations are weaker. After calibration these three are no longer significantly different from MIMIC.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Physiological structure is missing.</w:t>
      </w:r>
      <w:r>
        <w:t xml:space="preserve"> Systolic and diastolic BP correlate at 0.47 in real patients and only 0.13 in the synthetic data (0.03 after calibration), because the generator samples them independently within a band. This is the one structural gap calibration made slightly worse.</w:t>
      </w:r>
    </w:p>
    <w:p>
      <w:pPr>
        <w:pStyle w:val="Heading2"/>
      </w:pPr>
      <w:r>
        <w:t xml:space="preserve">10. Equivalence testing</w:t>
      </w:r>
    </w:p>
    <w:p>
      <w:pPr/>
      <w:r>
        <w:t xml:space="preserve">A non-significant t-test does not show two datasets are similar. Two one-sided tests (TOST) turn the question around and ask whether the difference is small enough to ignore. The margin here is </w:t>
      </w:r>
      <w:r>
        <w:rPr>
          <w:b/>
        </w:rPr>
        <w:t xml:space="preserve">±0.2 × the MIMIC standard deviation</w:t>
      </w:r>
      <w:r>
        <w:t xml:space="preserve"> — the same "negligible effect" threshold used above.</w:t>
      </w:r>
    </w:p>
    <w:tbl>
      <w:tblPr>
        <w:tblStyle w:val="TableGrid"/>
        <w:tblW w:w="0" w:type="auto"/>
        <w:tblLayout w:type="autofi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Feature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Margin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Difference, original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Equivalent?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Difference, calibrated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TOST 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rPr>
                <w:sz w:val="15"/>
              </w:rPr>
              <w:t xml:space="preserve">Equivalent?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Heart rate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±3.78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−0.41</w:t>
            </w:r>
          </w:p>
        </w:tc>
        <w:tc>
          <w:tcPr>
            <w:tcW w:w="1337" w:type="dxa"/>
          </w:tcPr>
          <w:p>
            <w:pPr/>
            <w:r>
              <w:rPr>
                <w:b/>
                <w:sz w:val="15"/>
              </w:rPr>
              <w:t xml:space="preserve">Yes</w:t>
            </w:r>
            <w:r>
              <w:rPr>
                <w:sz w:val="15"/>
              </w:rPr>
              <w:t xml:space="preserve"> (p = 0.007)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1.80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0.073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Respiratory rate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±0.60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0.44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0.59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0.47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Systolic BP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±5.57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−8.48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−2.11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0.042</w:t>
            </w:r>
          </w:p>
        </w:tc>
        <w:tc>
          <w:tcPr>
            <w:tcW w:w="1337" w:type="dxa"/>
          </w:tcPr>
          <w:p>
            <w:pPr/>
            <w:r>
              <w:rPr>
                <w:b/>
                <w:sz w:val="15"/>
              </w:rPr>
              <w:t xml:space="preserve">Yes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Diastolic BP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±3.16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6.67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5.21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0.96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SpO₂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±0.54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−1.42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−0.83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0.93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Temperature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±0.10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0.38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−0.03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0.054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 (borderline)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Pain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±0.80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0.12</w:t>
            </w:r>
          </w:p>
        </w:tc>
        <w:tc>
          <w:tcPr>
            <w:tcW w:w="1337" w:type="dxa"/>
          </w:tcPr>
          <w:p>
            <w:pPr/>
            <w:r>
              <w:rPr>
                <w:b/>
                <w:sz w:val="15"/>
              </w:rPr>
              <w:t xml:space="preserve">Yes</w:t>
            </w:r>
            <w:r>
              <w:rPr>
                <w:sz w:val="15"/>
              </w:rPr>
              <w:t xml:space="preserve"> (p = 0.010)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0.44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0.11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Shock index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±0.04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0.03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0.04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0.30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sz w:val="15"/>
              </w:rPr>
              <w:t xml:space="preserve">Pulse pressure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±4.94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−15.34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−7.50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0.92</w:t>
            </w:r>
          </w:p>
        </w:tc>
        <w:tc>
          <w:tcPr>
            <w:tcW w:w="1337" w:type="dxa"/>
          </w:tcPr>
          <w:p>
            <w:pPr/>
            <w:r>
              <w:rPr>
                <w:sz w:val="15"/>
              </w:rPr>
              <w:t xml:space="preserve">No</w:t>
            </w:r>
          </w:p>
        </w:tc>
      </w:tr>
    </w:tbl>
    <w:p>
      <w:pPr/>
      <w:r>
        <w:t xml:space="preserve">Only </w:t>
      </w:r>
      <w:r>
        <w:rPr>
          <w:b/>
        </w:rPr>
        <w:t xml:space="preserve">1 of 9 features</w:t>
      </w:r>
      <w:r>
        <w:t xml:space="preserve"> is statistically equivalent to MIMIC after calibration, and the set even changes: heart rate and pain were equivalent before calibration and are not after, because calibration moved their means while shrinking their gaps elsewhere.</w:t>
      </w:r>
    </w:p>
    <w:p>
      <w:pPr/>
      <w:r>
        <w:t xml:space="preserve">This is the most important corrective in the analysis. Section 5 shows that most calibrated features are </w:t>
      </w:r>
      <w:r>
        <w:rPr>
          <w:i/>
        </w:rPr>
        <w:t xml:space="preserve">no longer significantly different</w:t>
      </w:r>
      <w:r>
        <w:t xml:space="preserve"> from MIMIC; this section shows that almost none of them are </w:t>
      </w:r>
      <w:r>
        <w:rPr>
          <w:i/>
        </w:rPr>
        <w:t xml:space="preserve">demonstrably similar</w:t>
      </w:r>
      <w:r>
        <w:t xml:space="preserve">. With 207 reference rows, the confidence intervals are simply too wide to prove similarity at a 0.2 SD margin — a larger real sample would be needed, not a better generator.</w:t>
      </w:r>
    </w:p>
    <w:p>
      <w:pPr>
        <w:pStyle w:val="Heading2"/>
      </w:pPr>
      <w:r>
        <w:t xml:space="preserve">11. Interpretation, limitations and reproduction</w:t>
      </w:r>
    </w:p>
    <w:p>
      <w:pPr>
        <w:pStyle w:val="Heading3"/>
      </w:pPr>
      <w:r>
        <w:t xml:space="preserve">11.1 What this means for the triage model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Consequence for </w:t>
            </w:r>
            <w:r>
              <w:rPr>
                <w:rStyle w:val="CodeChar"/>
              </w:rPr>
              <w:t xml:space="preserve">triage_model_v1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ESI mix differs sharply before calibration (χ² p = 1.8 × 10⁻³⁵)</w:t>
            </w:r>
          </w:p>
        </w:tc>
        <w:tc>
          <w:tcPr>
            <w:tcW w:w="4680" w:type="dxa"/>
          </w:tcPr>
          <w:p>
            <w:pPr/>
            <w:r>
              <w:t xml:space="preserve">The model's class priors are wrong for a real ED, which is the main reason accuracy drops from 79% to 44% on MIMIC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Pain–acuity correlation has the opposite sign (−0.50 vs +0.20)</w:t>
            </w:r>
          </w:p>
        </w:tc>
        <w:tc>
          <w:tcPr>
            <w:tcW w:w="4680" w:type="dxa"/>
          </w:tcPr>
          <w:p>
            <w:pPr/>
            <w:r>
              <w:t xml:space="preserve">Pain is actively misleading as a learned feature; it should be watched in any SHAP review of real-data predictions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Vitals–acuity correlations 2–3× too strong</w:t>
            </w:r>
          </w:p>
        </w:tc>
        <w:tc>
          <w:tcPr>
            <w:tcW w:w="4680" w:type="dxa"/>
          </w:tcPr>
          <w:p>
            <w:pPr/>
            <w:r>
              <w:t xml:space="preserve">The model is more confident from vitals alone than real triage data justifies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Systolic–diastolic correlation missing (0.13 vs 0.47)</w:t>
            </w:r>
          </w:p>
        </w:tc>
        <w:tc>
          <w:tcPr>
            <w:tcW w:w="4680" w:type="dxa"/>
          </w:tcPr>
          <w:p>
            <w:pPr/>
            <w:r>
              <w:t xml:space="preserve">The generator samples BP components independently; adding a correlated draw would be a cheap, targeted 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Arrival transport far off (V = 0.30 even after calibration)</w:t>
            </w:r>
          </w:p>
        </w:tc>
        <w:tc>
          <w:tcPr>
            <w:tcW w:w="4680" w:type="dxa"/>
          </w:tcPr>
          <w:p>
            <w:pPr/>
            <w:r>
              <w:t xml:space="preserve">A one-hot feature the model sees in proportions no real ED produces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Calibration fixes the ESI mix but not the sign or structure problems</w:t>
            </w:r>
          </w:p>
        </w:tc>
        <w:tc>
          <w:tcPr>
            <w:tcW w:w="4680" w:type="dxa"/>
          </w:tcPr>
          <w:p>
            <w:pPr/>
            <w:r>
              <w:t xml:space="preserve">Consistent with the observed result that calibration improved accuracy (0.44 → 0.53) but not macro-F1 or ESI 1–2 recall</w:t>
            </w:r>
          </w:p>
        </w:tc>
      </w:tr>
    </w:tbl>
    <w:p>
      <w:pPr>
        <w:pStyle w:val="Heading3"/>
      </w:pPr>
      <w:r>
        <w:t xml:space="preserve">11.2 Limitations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 = 207 real rows, 64 patients.</w:t>
      </w:r>
      <w:r>
        <w:t xml:space="preserve"> Repeat visits by one patient are not accounted for, so the effective sample is smaller than it looks and p-values are mildly optimistic.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The demo is not representative.</w:t>
      </w:r>
      <w:r>
        <w:t xml:space="preserve"> It has no ESI 5 and 2 ESI 4 rows, so all class-conditional conclusions rest on ESI 1–3.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Constructed pairing.</w:t>
      </w:r>
      <w:r>
        <w:t xml:space="preserve"> Forms (a) and (b) create pairs that do not exist in the data; their p-values measure distribution differences, not patient-level ones.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Multiplicity.</w:t>
      </w:r>
      <w:r>
        <w:t xml:space="preserve"> More than 60 tests are reported. Holm and Benjamini–Hochberg corrections are applied within each family, not across all of them.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Circularity in one place.</w:t>
      </w:r>
      <w:r>
        <w:t xml:space="preserve"> The calibrated dataset was tuned using these same 207 rows, so Section 7 measures fit to the reference, not generalisation.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age</w:t>
      </w:r>
      <w:r>
        <w:rPr>
          <w:b/>
        </w:rPr>
        <w:t xml:space="preserve"> untested.</w:t>
      </w:r>
      <w:r>
        <w:t xml:space="preserve"> It is entirely missing in the demo.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Statistical similarity is not clinical validity.</w:t>
      </w:r>
      <w:r>
        <w:t xml:space="preserve"> Nothing here says a model trained on either dataset triages patients correctly.</w:t>
      </w:r>
    </w:p>
    <w:p>
      <w:pPr>
        <w:pStyle w:val="Heading3"/>
      </w:pPr>
      <w:r>
        <w:t xml:space="preserve">11.3 Reproducing this</w:t>
      </w:r>
    </w:p>
    <w:p>
      <w:pPr>
        <w:pStyle w:val="Code"/>
      </w:pPr>
      <w:bookmarkStart w:id="2" w:name="bongo_lang_bash_2"/>
      <w:bookmarkEnd w:id="2"/>
      <w:r>
        <w:t xml:space="preserve">python ml/experiments/run_statistical_tests.py .</w:t>
      </w:r>
    </w:p>
    <w:p>
      <w:pPr/>
      <w:r>
        <w:t xml:space="preserve">The script reads the two generated CSVs and the MIMIC demo files, and writes every number in this document to </w:t>
      </w:r>
      <w:r>
        <w:rPr>
          <w:rStyle w:val="CodeChar"/>
        </w:rPr>
        <w:t xml:space="preserve">ml/experiments/results/statistical_tests.json</w:t>
      </w:r>
      <w:r>
        <w:t xml:space="preserve">. It changes nothing in the model, the generator or the training pipeline. Fixed inputs: seed 42, cleaning by </w:t>
      </w:r>
      <w:r>
        <w:rPr>
          <w:rStyle w:val="CodeChar"/>
        </w:rPr>
        <w:t xml:space="preserve">ml/config.py</w:t>
      </w:r>
      <w:r>
        <w:t xml:space="preserve">'s </w:t>
      </w:r>
      <w:r>
        <w:rPr>
          <w:rStyle w:val="CodeChar"/>
        </w:rPr>
        <w:t xml:space="preserve">FEATURE_RANGES</w:t>
      </w:r>
      <w:r>
        <w:t xml:space="preserve">, complete cases per feature, two-sided α = 0.05, Holm and Benjamini–Hochberg corrections within each test family. Libraries: SciPy 1.18, pandas, NumPy.</w:t>
      </w:r>
    </w:p>
    <w:p>
      <w:pPr>
        <w:pStyle w:val="Heading3"/>
      </w:pPr>
      <w:r>
        <w:t xml:space="preserve">11.4 Sources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ml/data/generated/synthetic_original.csv</w:t>
      </w:r>
      <w:r>
        <w:t xml:space="preserve">, </w:t>
      </w:r>
      <w:r>
        <w:rPr>
          <w:rStyle w:val="CodeChar"/>
        </w:rPr>
        <w:t xml:space="preserve">ml/data/generated/synthetic_mimic_calibrated.csv</w:t>
      </w:r>
    </w:p>
    <w:p>
      <w:pPr>
        <w:pStyle w:val="ListParagraph"/>
        <w:numPr>
          <w:ilvl w:val="0"/>
          <w:numId w:val="5"/>
        </w:numPr>
      </w:pPr>
      <w:hyperlink r:id="rId4" w:history="1">
        <w:r>
          <w:rPr>
            <w:rStyle w:val="Hyperlink"/>
          </w:rPr>
          <w:t xml:space="preserve">MIMIC-IV-ED Demo v2.2</w:t>
        </w:r>
      </w:hyperlink>
      <w:r>
        <w:t xml:space="preserve"> — </w:t>
      </w:r>
      <w:r>
        <w:rPr>
          <w:rStyle w:val="CodeChar"/>
        </w:rPr>
        <w:t xml:space="preserve">edstays.csv.gz</w:t>
      </w:r>
      <w:r>
        <w:t xml:space="preserve">, </w:t>
      </w:r>
      <w:r>
        <w:rPr>
          <w:rStyle w:val="CodeChar"/>
        </w:rPr>
        <w:t xml:space="preserve">triage.csv.gz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docs/SYNTHETIC_VS_MIMIC_DOMAIN_SHIFT.md</w:t>
      </w:r>
      <w:r>
        <w:t xml:space="preserve">, </w:t>
      </w:r>
      <w:r>
        <w:rPr>
          <w:rStyle w:val="CodeChar"/>
        </w:rPr>
        <w:t xml:space="preserve">docs/MIMIC_SYNTHETIC_CALIBRATION.md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ml/experiments/results/statistical_tests.json</w:t>
      </w:r>
      <w:r>
        <w:t xml:space="preserve"> (produced by this analysis)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physionet.org/content/mimic-iv-ed-demo/2.2/" TargetMode="External"/><Relationship Id="rId5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vs MIMIC-IV-ED — Statistical Analysis</dc:title>
  <dc:description>Claude Docs node/a9f470e7-11ba@12 docx-w5</dc:description>
  <cp:revision>12</cp:revision>
</cp:coreProperties>
</file>